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74B8C88" w14:textId="13361FDD" w:rsidR="2EE093EF" w:rsidRDefault="2EE093EF" w:rsidP="4858BE59">
      <w:pPr>
        <w:rPr>
          <w:rFonts w:eastAsia="Arial"/>
          <w:color w:val="000000" w:themeColor="text1"/>
        </w:rPr>
      </w:pPr>
      <w:r w:rsidRPr="4858BE59">
        <w:rPr>
          <w:rFonts w:eastAsia="Arial"/>
          <w:b/>
          <w:bCs/>
          <w:color w:val="000000" w:themeColor="text1"/>
        </w:rPr>
        <w:t>MGVIVA a.s.</w:t>
      </w:r>
    </w:p>
    <w:p w14:paraId="7A36AD98" w14:textId="623F2B63" w:rsidR="2EE093EF" w:rsidRDefault="2EE093EF" w:rsidP="4858BE59">
      <w:pPr>
        <w:rPr>
          <w:rFonts w:eastAsia="Arial"/>
          <w:color w:val="000000" w:themeColor="text1"/>
        </w:rPr>
      </w:pPr>
      <w:r w:rsidRPr="4858BE59">
        <w:rPr>
          <w:rFonts w:eastAsia="Arial"/>
          <w:color w:val="000000" w:themeColor="text1"/>
        </w:rPr>
        <w:t>IČ: 17321611</w:t>
      </w:r>
    </w:p>
    <w:p w14:paraId="267B3328" w14:textId="10552794" w:rsidR="2EE093EF" w:rsidRDefault="2EE093EF" w:rsidP="4858BE59">
      <w:pPr>
        <w:rPr>
          <w:rFonts w:eastAsia="Arial"/>
          <w:color w:val="000000" w:themeColor="text1"/>
        </w:rPr>
      </w:pPr>
      <w:r w:rsidRPr="4858BE59">
        <w:rPr>
          <w:rFonts w:eastAsia="Arial"/>
          <w:color w:val="000000" w:themeColor="text1"/>
        </w:rPr>
        <w:t>DIČ: CZ17321611</w:t>
      </w:r>
    </w:p>
    <w:p w14:paraId="758C706B" w14:textId="19110253" w:rsidR="2EE093EF" w:rsidRDefault="2EE093EF" w:rsidP="4858BE59">
      <w:pPr>
        <w:rPr>
          <w:rFonts w:eastAsia="Arial"/>
          <w:color w:val="000000" w:themeColor="text1"/>
        </w:rPr>
      </w:pPr>
      <w:r w:rsidRPr="4858BE59">
        <w:rPr>
          <w:rFonts w:eastAsia="Arial"/>
          <w:color w:val="000000" w:themeColor="text1"/>
        </w:rPr>
        <w:t>se sídlem: Křenova 438/3, 162 00 Praha 6</w:t>
      </w:r>
    </w:p>
    <w:p w14:paraId="428865C4" w14:textId="15557621" w:rsidR="2EE093EF" w:rsidRDefault="2EE093EF" w:rsidP="4858BE59">
      <w:pPr>
        <w:rPr>
          <w:rFonts w:eastAsia="Arial"/>
          <w:color w:val="000000" w:themeColor="text1"/>
        </w:rPr>
      </w:pPr>
      <w:r w:rsidRPr="4858BE59">
        <w:rPr>
          <w:rFonts w:eastAsia="Arial"/>
          <w:color w:val="000000" w:themeColor="text1"/>
        </w:rPr>
        <w:t xml:space="preserve">zastoupena: Ing. Lenkou Hesovou, člen správní rady, </w:t>
      </w:r>
    </w:p>
    <w:p w14:paraId="17E88FBC" w14:textId="12C8A54B" w:rsidR="2EE093EF" w:rsidRDefault="2EE093EF" w:rsidP="4858BE59">
      <w:pPr>
        <w:rPr>
          <w:rFonts w:eastAsia="Arial"/>
          <w:color w:val="000000" w:themeColor="text1"/>
        </w:rPr>
      </w:pPr>
      <w:r w:rsidRPr="4858BE59">
        <w:rPr>
          <w:rFonts w:eastAsia="Arial"/>
          <w:color w:val="000000" w:themeColor="text1"/>
        </w:rPr>
        <w:t>bankovní spojení: ČSOB a.s.</w:t>
      </w:r>
    </w:p>
    <w:p w14:paraId="26C59507" w14:textId="1904DF3A" w:rsidR="2EE093EF" w:rsidRDefault="2EE093EF" w:rsidP="4858BE59">
      <w:pPr>
        <w:rPr>
          <w:rFonts w:eastAsia="Arial"/>
          <w:color w:val="000000" w:themeColor="text1"/>
        </w:rPr>
      </w:pPr>
      <w:r w:rsidRPr="4858BE59">
        <w:rPr>
          <w:rFonts w:eastAsia="Arial"/>
          <w:color w:val="000000" w:themeColor="text1"/>
        </w:rPr>
        <w:t>číslo účtu: 309611512/0300</w:t>
      </w:r>
    </w:p>
    <w:p w14:paraId="4DA5E4E5" w14:textId="14D03683" w:rsidR="2EE093EF" w:rsidRDefault="2EE093EF" w:rsidP="4858BE59">
      <w:pPr>
        <w:rPr>
          <w:rFonts w:eastAsia="Arial"/>
          <w:color w:val="000000" w:themeColor="text1"/>
        </w:rPr>
      </w:pPr>
      <w:r w:rsidRPr="4858BE59">
        <w:rPr>
          <w:rFonts w:eastAsia="Arial"/>
          <w:color w:val="000000" w:themeColor="text1"/>
        </w:rPr>
        <w:t>zapsána v obchodním rejstříku vedeném Městským soudem v Praze, oddíl B, 27447</w:t>
      </w:r>
    </w:p>
    <w:p w14:paraId="4B01786D" w14:textId="66C95EFE" w:rsidR="4858BE59" w:rsidRDefault="4858BE59" w:rsidP="4858BE59">
      <w:pPr>
        <w:rPr>
          <w:highlight w:val="yellow"/>
        </w:rPr>
      </w:pP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2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719E4C7A" w:rsidR="00095C75" w:rsidRPr="00CF0C56" w:rsidRDefault="00095C75" w:rsidP="00A05D45">
      <w:pPr>
        <w:pStyle w:val="Odstavecsmlouvy"/>
        <w:numPr>
          <w:ilvl w:val="1"/>
          <w:numId w:val="2"/>
        </w:numPr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88327D" w:rsidRPr="000B77DB">
        <w:rPr>
          <w:rFonts w:eastAsia="Arial"/>
        </w:rPr>
        <w:t>Nákup cystoskopických optik</w:t>
      </w:r>
      <w:r w:rsidR="719E714E" w:rsidRPr="38690F1A">
        <w:rPr>
          <w:rFonts w:eastAsia="Arial"/>
        </w:rPr>
        <w:t>“</w:t>
      </w:r>
      <w:r>
        <w:t>,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2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2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2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2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45D7AB98" w:rsidR="00BA5EEC" w:rsidRDefault="00BA5EEC" w:rsidP="00BA5EEC">
      <w:pPr>
        <w:pStyle w:val="Odstavecsmlouvy"/>
        <w:numPr>
          <w:ilvl w:val="1"/>
          <w:numId w:val="2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proofErr w:type="spellStart"/>
      <w:r w:rsidR="001E2240" w:rsidRPr="00D859C2">
        <w:rPr>
          <w:b/>
        </w:rPr>
        <w:t>ZoZP</w:t>
      </w:r>
      <w:proofErr w:type="spellEnd"/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4BC619D4" w14:textId="77777777" w:rsidR="00AE1C01" w:rsidRDefault="00AE1C01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6719D2AE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0C6185">
        <w:t xml:space="preserve"> 2</w:t>
      </w:r>
      <w:r w:rsidR="002F4F30" w:rsidRPr="00D859C2">
        <w:t xml:space="preserve"> ks </w:t>
      </w:r>
      <w:r w:rsidR="00C7152D">
        <w:t>cysto</w:t>
      </w:r>
      <w:r w:rsidR="002F1C71">
        <w:t>skopické optiky</w:t>
      </w:r>
      <w:r w:rsidR="008645D8" w:rsidRPr="00D859C2">
        <w:rPr>
          <w:b/>
        </w:rPr>
        <w:t>, typ</w:t>
      </w:r>
      <w:r w:rsidR="002F1C71">
        <w:rPr>
          <w:b/>
        </w:rPr>
        <w:t>:</w:t>
      </w:r>
      <w:r w:rsidR="00E5337B">
        <w:rPr>
          <w:b/>
        </w:rPr>
        <w:t xml:space="preserve"> 8650.415</w:t>
      </w:r>
      <w:r w:rsidR="004453FF" w:rsidRPr="00D859C2">
        <w:rPr>
          <w:b/>
        </w:rPr>
        <w:t xml:space="preserve">, výrobce </w:t>
      </w:r>
      <w:r w:rsidR="00AD3D25" w:rsidRPr="00E5337B">
        <w:rPr>
          <w:b/>
        </w:rPr>
        <w:t>Richard Wolf GmbH</w:t>
      </w:r>
      <w:r w:rsidR="004453FF" w:rsidRPr="00E5337B">
        <w:rPr>
          <w:i/>
        </w:rPr>
        <w:t>,</w:t>
      </w:r>
      <w:r w:rsidR="004453FF" w:rsidRPr="00D859C2">
        <w:rPr>
          <w:i/>
        </w:rPr>
        <w:t xml:space="preserve">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1736C4E4" w:rsidR="003F7B02" w:rsidRPr="00D859C2" w:rsidRDefault="003A1056" w:rsidP="38690F1A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</w:t>
      </w:r>
      <w:r w:rsidR="003F7B02" w:rsidRPr="000B77DB">
        <w:t xml:space="preserve">nejpozději </w:t>
      </w:r>
      <w:r w:rsidR="0088327D" w:rsidRPr="000B77DB">
        <w:rPr>
          <w:b/>
        </w:rPr>
        <w:t>do 6</w:t>
      </w:r>
      <w:r w:rsidR="00AE1C01" w:rsidRPr="000B77DB">
        <w:rPr>
          <w:b/>
        </w:rPr>
        <w:t xml:space="preserve"> týdnů</w:t>
      </w:r>
      <w:r w:rsidRPr="000B77DB">
        <w:t xml:space="preserve"> </w:t>
      </w:r>
      <w:r w:rsidR="003F7B02" w:rsidRPr="000B77DB">
        <w:t xml:space="preserve">ode </w:t>
      </w:r>
      <w:r w:rsidR="003F7B02">
        <w:t xml:space="preserve">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Současně, </w:t>
      </w:r>
      <w:r w:rsidR="19907203" w:rsidRPr="38690F1A">
        <w:rPr>
          <w:b/>
          <w:bCs/>
        </w:rPr>
        <w:t>5 dnů před plánovaným předáním, je prodávající povinen zaslat na uvedený e-mail vyplněnou Importní tabulku</w:t>
      </w:r>
      <w:r w:rsidR="19907203" w:rsidRPr="38690F1A">
        <w:t>, která byla součástí výzvy k podání nabídky, a to v elektronické podobě.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2F26577E" w:rsidR="00BE2371" w:rsidRPr="000B77DB" w:rsidRDefault="003F7B02" w:rsidP="00D859C2">
      <w:pPr>
        <w:pStyle w:val="Odstavecsmlouvy"/>
      </w:pPr>
      <w:r>
        <w:t xml:space="preserve">Místem dodání Zboží </w:t>
      </w:r>
      <w:r w:rsidR="0088327D">
        <w:t xml:space="preserve">jsou Centrální </w:t>
      </w:r>
      <w:r w:rsidR="0088327D" w:rsidRPr="000B77DB">
        <w:t>operační sály I</w:t>
      </w:r>
      <w:r w:rsidR="00760066" w:rsidRPr="000B77DB">
        <w:t>, FN Brno, Jihlavská 20, 625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667C0844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003A3C03">
        <w:t xml:space="preserve"> ……………</w:t>
      </w:r>
      <w:r w:rsidR="00760066" w:rsidRPr="000B77DB">
        <w:t xml:space="preserve">, tel.: </w:t>
      </w:r>
      <w:r w:rsidR="003A3C03">
        <w:t xml:space="preserve">………………… </w:t>
      </w:r>
      <w:r w:rsidR="00760066" w:rsidRPr="000B77DB">
        <w:t>a písemně na e-mail:</w:t>
      </w:r>
      <w:r w:rsidR="003A3C03">
        <w:t xml:space="preserve"> …………………</w:t>
      </w:r>
      <w:r w:rsidRPr="000B77DB">
        <w:t xml:space="preserve">. Bez </w:t>
      </w:r>
      <w:r>
        <w:t>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3" w14:textId="65E659BD" w:rsidR="00A4060F" w:rsidRPr="00D859C2" w:rsidRDefault="00B76CBC" w:rsidP="00715F22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>“). Prodávající i Kupující jsou oprávněni v předávacím protokolu uvést jakékoliv záznamy, vady, nedodělky, připomínky či výhrady; tyto se však nepovažují za změnu této smlouvy či dodatek k této smlouvě. Kupující je v předávacím protokolu oprávněn stanovit přiměřenou lhůtu pro odstranění vad a nedodělků, které do předávacího protokolu uvedl.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2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4F4BF10B" w:rsidR="00D859C2" w:rsidRPr="005B49AA" w:rsidRDefault="008D3874">
            <w:pPr>
              <w:pStyle w:val="Zkladntext3"/>
              <w:rPr>
                <w:b/>
                <w:sz w:val="22"/>
                <w:szCs w:val="22"/>
              </w:rPr>
            </w:pPr>
            <w:r w:rsidRPr="00D6624A">
              <w:rPr>
                <w:b/>
                <w:sz w:val="22"/>
                <w:szCs w:val="22"/>
              </w:rPr>
              <w:t>135</w:t>
            </w:r>
            <w:r w:rsidR="00824BD4">
              <w:rPr>
                <w:b/>
                <w:sz w:val="22"/>
                <w:szCs w:val="22"/>
              </w:rPr>
              <w:t> </w:t>
            </w:r>
            <w:r w:rsidR="00604137" w:rsidRPr="00D6624A">
              <w:rPr>
                <w:b/>
                <w:sz w:val="22"/>
                <w:szCs w:val="22"/>
              </w:rPr>
              <w:t>674</w:t>
            </w:r>
            <w:r w:rsidR="00824BD4">
              <w:rPr>
                <w:b/>
                <w:sz w:val="22"/>
                <w:szCs w:val="22"/>
              </w:rPr>
              <w:t xml:space="preserve">,00 </w:t>
            </w:r>
            <w:r w:rsidR="00D859C2" w:rsidRPr="005B49AA">
              <w:rPr>
                <w:b/>
                <w:sz w:val="22"/>
                <w:szCs w:val="22"/>
              </w:rPr>
              <w:t>Kč</w:t>
            </w:r>
          </w:p>
        </w:tc>
      </w:tr>
      <w:tr w:rsidR="00D859C2" w:rsidRPr="005B49AA" w14:paraId="33392E42" w14:textId="77777777">
        <w:tc>
          <w:tcPr>
            <w:tcW w:w="5211" w:type="dxa"/>
            <w:shd w:val="clear" w:color="auto" w:fill="auto"/>
          </w:tcPr>
          <w:p w14:paraId="193C9961" w14:textId="1B3DF438" w:rsidR="00D859C2" w:rsidRPr="005B49AA" w:rsidRDefault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DE370C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48D21B9A" w:rsidR="00D859C2" w:rsidRPr="00B34FD3" w:rsidRDefault="00B34FD3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34FD3">
              <w:rPr>
                <w:b/>
                <w:sz w:val="22"/>
                <w:szCs w:val="22"/>
              </w:rPr>
              <w:t>28 491,54</w:t>
            </w:r>
            <w:r w:rsidR="00D859C2" w:rsidRPr="00B34FD3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33EB32D5" w:rsidR="00D859C2" w:rsidRPr="005B49AA" w:rsidRDefault="00E852D4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164</w:t>
            </w:r>
            <w:r w:rsidR="00A21D40">
              <w:rPr>
                <w:b/>
                <w:sz w:val="22"/>
                <w:szCs w:val="22"/>
              </w:rPr>
              <w:t xml:space="preserve"> 165,54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08BB99E7" w:rsidR="00D70368" w:rsidRPr="00D859C2" w:rsidRDefault="00D70368" w:rsidP="00D70368">
      <w:pPr>
        <w:pStyle w:val="Odstavecsmlouvy"/>
        <w:numPr>
          <w:ilvl w:val="1"/>
          <w:numId w:val="2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 xml:space="preserve">, ověření přenosu dat do archivu MARIE PACS a 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77777777" w:rsidR="00B76CBC" w:rsidRPr="00D859C2" w:rsidRDefault="00B76CBC" w:rsidP="00B76CBC">
      <w:pPr>
        <w:pStyle w:val="Odstavecsmlouvy"/>
        <w:numPr>
          <w:ilvl w:val="1"/>
          <w:numId w:val="2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74F12307" w:rsidR="00183727" w:rsidRPr="00D859C2" w:rsidRDefault="00A17F49" w:rsidP="00094B12">
      <w:pPr>
        <w:pStyle w:val="Odstavecsmlouvy"/>
      </w:pPr>
      <w:r w:rsidRPr="00D859C2">
        <w:t>Částka přeúčtovaného poplatku na recykl</w:t>
      </w:r>
      <w:r w:rsidR="00BF5838" w:rsidRPr="00D859C2">
        <w:t xml:space="preserve">aci </w:t>
      </w:r>
      <w:r w:rsidRPr="00D859C2">
        <w:t>elektroodpadu dle zákona č. </w:t>
      </w:r>
      <w:r w:rsidR="00997C0A">
        <w:t>541/2020</w:t>
      </w:r>
      <w:r w:rsidRPr="00D859C2">
        <w:t> Sb., o odpadech, ve znění pozdějších předpisů, bude na faktuře uvedena zvlášť.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1" w14:textId="3C518007" w:rsidR="001A3D28" w:rsidRPr="00D859C2" w:rsidRDefault="003E0DE8" w:rsidP="00715F2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2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15B0B937" w14:textId="5F9F64F2" w:rsidR="00B76CBC" w:rsidRPr="00D859C2" w:rsidRDefault="00B76CBC" w:rsidP="00B76CBC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039E8C52" w14:textId="77777777" w:rsidR="00B76CBC" w:rsidRDefault="00B76CBC" w:rsidP="00B76CBC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D4D27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2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2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2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4BC81B96" w:rsidR="00327588" w:rsidRPr="00DD0537" w:rsidRDefault="00903293" w:rsidP="00094B12">
      <w:pPr>
        <w:pStyle w:val="Odstavecsmlouvy"/>
      </w:pPr>
      <w:r w:rsidRPr="00DD0537">
        <w:rPr>
          <w:snapToGrid w:val="0"/>
        </w:rPr>
        <w:t xml:space="preserve">Tato smlouva je sepsána ve </w:t>
      </w:r>
      <w:r w:rsidR="00760066" w:rsidRPr="00DD0537">
        <w:rPr>
          <w:snapToGrid w:val="0"/>
        </w:rPr>
        <w:t xml:space="preserve">dvou </w:t>
      </w:r>
      <w:r w:rsidRPr="00DD0537">
        <w:rPr>
          <w:snapToGrid w:val="0"/>
        </w:rPr>
        <w:t>vyhotoveních stejné platnosti a závaznosti, přičemž Prodávající obdrží jedno vyhotovení a Kupující obdrží jedno vyhotovení. Případně je tato smlouva vyhotovena elektronicky a podepsána uznávaným elektronickým podpisem. V takovém případě obdrží každá smluvní strana elektronický originál oboustranně podepsané smlouvy.</w:t>
      </w:r>
      <w:r w:rsidR="00966A9F" w:rsidRPr="00DD0537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2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4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21"/>
        <w:gridCol w:w="997"/>
        <w:gridCol w:w="3787"/>
      </w:tblGrid>
      <w:tr w:rsidR="00094B12" w:rsidRPr="00D722DC" w14:paraId="3036FF83" w14:textId="77777777" w:rsidTr="4858BE59">
        <w:tc>
          <w:tcPr>
            <w:tcW w:w="3802" w:type="dxa"/>
            <w:shd w:val="clear" w:color="auto" w:fill="auto"/>
          </w:tcPr>
          <w:p w14:paraId="69B3B101" w14:textId="3F560DF7" w:rsidR="00094B12" w:rsidRPr="00D722DC" w:rsidRDefault="00094B12">
            <w:pPr>
              <w:pStyle w:val="slovn"/>
              <w:numPr>
                <w:ilvl w:val="1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4858BE59">
              <w:rPr>
                <w:sz w:val="22"/>
                <w:szCs w:val="22"/>
              </w:rPr>
              <w:t>V</w:t>
            </w:r>
            <w:r w:rsidR="3AE0F7E8" w:rsidRPr="4858BE59">
              <w:rPr>
                <w:sz w:val="22"/>
                <w:szCs w:val="22"/>
              </w:rPr>
              <w:t xml:space="preserve"> Praze </w:t>
            </w:r>
            <w:r w:rsidRPr="4858BE59">
              <w:rPr>
                <w:sz w:val="22"/>
                <w:szCs w:val="22"/>
              </w:rPr>
              <w:t>dne</w:t>
            </w:r>
            <w:r w:rsidR="003A3C03">
              <w:rPr>
                <w:sz w:val="22"/>
                <w:szCs w:val="22"/>
              </w:rPr>
              <w:t xml:space="preserve"> 6. 3. 2024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6362A0D5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3A3C03">
              <w:rPr>
                <w:sz w:val="22"/>
                <w:szCs w:val="22"/>
              </w:rPr>
              <w:t xml:space="preserve"> 11. 3. 2024</w:t>
            </w:r>
            <w:bookmarkStart w:id="5" w:name="_GoBack"/>
            <w:bookmarkEnd w:id="5"/>
          </w:p>
        </w:tc>
      </w:tr>
      <w:tr w:rsidR="00094B12" w:rsidRPr="00D722DC" w14:paraId="7446DD0B" w14:textId="77777777" w:rsidTr="4858BE59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DA973DF" w14:textId="77777777" w:rsidR="00715F22" w:rsidRDefault="00715F2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8CEF800" w14:textId="77777777" w:rsidR="00715F22" w:rsidRPr="00D722DC" w:rsidRDefault="00715F2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4858BE59">
        <w:trPr>
          <w:trHeight w:val="405"/>
        </w:trPr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4F1D8336" w14:textId="3DD87732" w:rsidR="00094B12" w:rsidRPr="00D722DC" w:rsidRDefault="283166DE" w:rsidP="4858BE59">
            <w:pPr>
              <w:pStyle w:val="slovn"/>
              <w:numPr>
                <w:ilvl w:val="1"/>
                <w:numId w:val="0"/>
              </w:numPr>
              <w:spacing w:after="0"/>
              <w:ind w:left="720"/>
              <w:jc w:val="center"/>
              <w:rPr>
                <w:b/>
                <w:bCs/>
                <w:sz w:val="22"/>
                <w:szCs w:val="22"/>
              </w:rPr>
            </w:pPr>
            <w:r w:rsidRPr="4858BE59">
              <w:rPr>
                <w:b/>
                <w:bCs/>
                <w:sz w:val="22"/>
                <w:szCs w:val="22"/>
              </w:rPr>
              <w:t>MGVIVA a.s.</w:t>
            </w:r>
          </w:p>
          <w:p w14:paraId="17D23793" w14:textId="7583DC6C" w:rsidR="00094B12" w:rsidRPr="00D722DC" w:rsidRDefault="283166DE" w:rsidP="4858BE59">
            <w:pPr>
              <w:pStyle w:val="slovn"/>
              <w:numPr>
                <w:ilvl w:val="1"/>
                <w:numId w:val="0"/>
              </w:numPr>
              <w:spacing w:after="0" w:line="280" w:lineRule="atLeast"/>
              <w:ind w:left="720"/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4858BE59">
              <w:rPr>
                <w:rFonts w:eastAsia="Arial"/>
                <w:color w:val="000000" w:themeColor="text1"/>
                <w:sz w:val="22"/>
                <w:szCs w:val="22"/>
              </w:rPr>
              <w:t>Ing. Lenka Hesová, člen správní rady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1AE2C0E5" w14:textId="77777777" w:rsidR="00715F22" w:rsidRDefault="004802D2" w:rsidP="00094B12">
      <w:pPr>
        <w:jc w:val="center"/>
        <w:rPr>
          <w:b/>
        </w:rPr>
      </w:pPr>
      <w:r>
        <w:rPr>
          <w:b/>
        </w:rPr>
        <w:br/>
      </w:r>
      <w:r>
        <w:rPr>
          <w:b/>
        </w:rPr>
        <w:br/>
      </w:r>
    </w:p>
    <w:p w14:paraId="1B5A6BAB" w14:textId="77777777" w:rsidR="00715F22" w:rsidRDefault="00715F22" w:rsidP="00094B12">
      <w:pPr>
        <w:jc w:val="center"/>
        <w:rPr>
          <w:b/>
        </w:rPr>
      </w:pPr>
    </w:p>
    <w:p w14:paraId="5869C330" w14:textId="3973679B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40EAF197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  <w:r w:rsidR="00AD190E">
        <w:rPr>
          <w:b/>
        </w:rPr>
        <w:br/>
      </w:r>
    </w:p>
    <w:p w14:paraId="07C81FA8" w14:textId="77777777" w:rsidR="00AD190E" w:rsidRDefault="00AD190E" w:rsidP="00AD190E">
      <w:pPr>
        <w:pStyle w:val="Nadpis1"/>
      </w:pPr>
      <w:r>
        <w:t xml:space="preserve">Optika 4 mm, 70 st. </w:t>
      </w:r>
    </w:p>
    <w:p w14:paraId="6A0B7245" w14:textId="77777777" w:rsidR="00AC75CA" w:rsidRDefault="00AC75CA" w:rsidP="00AC75C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C75CA" w14:paraId="084F95A3" w14:textId="77777777" w:rsidTr="00AC75CA">
        <w:tc>
          <w:tcPr>
            <w:tcW w:w="1812" w:type="dxa"/>
          </w:tcPr>
          <w:p w14:paraId="72BB7ECF" w14:textId="36E6D240" w:rsidR="00AC75CA" w:rsidRPr="00AC75CA" w:rsidRDefault="00AC75CA" w:rsidP="00AC75CA">
            <w:pPr>
              <w:jc w:val="center"/>
              <w:rPr>
                <w:sz w:val="18"/>
                <w:szCs w:val="18"/>
              </w:rPr>
            </w:pPr>
            <w:proofErr w:type="spellStart"/>
            <w:r w:rsidRPr="00AC75CA">
              <w:rPr>
                <w:sz w:val="18"/>
                <w:szCs w:val="18"/>
              </w:rPr>
              <w:t>Viewing</w:t>
            </w:r>
            <w:proofErr w:type="spellEnd"/>
            <w:r w:rsidRPr="00AC75CA">
              <w:rPr>
                <w:sz w:val="18"/>
                <w:szCs w:val="18"/>
              </w:rPr>
              <w:t xml:space="preserve"> </w:t>
            </w:r>
            <w:proofErr w:type="spellStart"/>
            <w:r w:rsidRPr="00AC75CA">
              <w:rPr>
                <w:sz w:val="18"/>
                <w:szCs w:val="18"/>
              </w:rPr>
              <w:t>direction</w:t>
            </w:r>
            <w:proofErr w:type="spellEnd"/>
          </w:p>
        </w:tc>
        <w:tc>
          <w:tcPr>
            <w:tcW w:w="1812" w:type="dxa"/>
          </w:tcPr>
          <w:p w14:paraId="0BCFBD7D" w14:textId="2251AA56" w:rsidR="00AC75CA" w:rsidRPr="00AC75CA" w:rsidRDefault="00AC75CA" w:rsidP="00AC75CA">
            <w:pPr>
              <w:jc w:val="center"/>
              <w:rPr>
                <w:sz w:val="18"/>
                <w:szCs w:val="18"/>
              </w:rPr>
            </w:pPr>
            <w:proofErr w:type="spellStart"/>
            <w:r w:rsidRPr="00AC75CA">
              <w:rPr>
                <w:sz w:val="18"/>
                <w:szCs w:val="18"/>
              </w:rPr>
              <w:t>Color</w:t>
            </w:r>
            <w:proofErr w:type="spellEnd"/>
            <w:r w:rsidRPr="00AC75CA">
              <w:rPr>
                <w:sz w:val="18"/>
                <w:szCs w:val="18"/>
              </w:rPr>
              <w:t xml:space="preserve"> </w:t>
            </w:r>
            <w:proofErr w:type="spellStart"/>
            <w:r w:rsidRPr="00AC75CA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812" w:type="dxa"/>
          </w:tcPr>
          <w:p w14:paraId="3BA52D8A" w14:textId="595E8C2B" w:rsidR="00AC75CA" w:rsidRPr="00AC75CA" w:rsidRDefault="00AC75CA" w:rsidP="00AC75CA">
            <w:pPr>
              <w:jc w:val="center"/>
              <w:rPr>
                <w:sz w:val="18"/>
                <w:szCs w:val="18"/>
              </w:rPr>
            </w:pPr>
            <w:proofErr w:type="spellStart"/>
            <w:r w:rsidRPr="00AC75CA">
              <w:rPr>
                <w:sz w:val="18"/>
                <w:szCs w:val="18"/>
              </w:rPr>
              <w:t>Application</w:t>
            </w:r>
            <w:proofErr w:type="spellEnd"/>
          </w:p>
        </w:tc>
        <w:tc>
          <w:tcPr>
            <w:tcW w:w="1813" w:type="dxa"/>
          </w:tcPr>
          <w:p w14:paraId="4AD0EBC3" w14:textId="2A3EC3F3" w:rsidR="00AC75CA" w:rsidRPr="00AC75CA" w:rsidRDefault="00AC75CA" w:rsidP="00AC75CA">
            <w:pPr>
              <w:jc w:val="center"/>
              <w:rPr>
                <w:sz w:val="18"/>
                <w:szCs w:val="18"/>
              </w:rPr>
            </w:pPr>
            <w:r w:rsidRPr="00AC75CA">
              <w:rPr>
                <w:rFonts w:ascii="Cambria Math" w:hAnsi="Cambria Math" w:cs="Cambria Math"/>
                <w:color w:val="040C28"/>
                <w:sz w:val="18"/>
                <w:szCs w:val="18"/>
              </w:rPr>
              <w:t>⌀</w:t>
            </w:r>
            <w:r w:rsidRPr="00AC75CA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813" w:type="dxa"/>
          </w:tcPr>
          <w:p w14:paraId="79ACE566" w14:textId="77777777" w:rsidR="00AC75CA" w:rsidRPr="00AC75CA" w:rsidRDefault="00AC75CA" w:rsidP="00AC75CA">
            <w:pPr>
              <w:jc w:val="center"/>
              <w:rPr>
                <w:sz w:val="18"/>
                <w:szCs w:val="18"/>
                <w:lang w:val="en-US"/>
              </w:rPr>
            </w:pPr>
            <w:r w:rsidRPr="00AC75CA">
              <w:rPr>
                <w:sz w:val="18"/>
                <w:szCs w:val="18"/>
                <w:lang w:val="en-US"/>
              </w:rPr>
              <w:t>Autoclave</w:t>
            </w:r>
          </w:p>
          <w:p w14:paraId="4BF16F81" w14:textId="55858872" w:rsidR="00AC75CA" w:rsidRPr="00AC75CA" w:rsidRDefault="00AC75CA" w:rsidP="00AC75CA">
            <w:pPr>
              <w:jc w:val="center"/>
              <w:rPr>
                <w:sz w:val="18"/>
                <w:szCs w:val="18"/>
              </w:rPr>
            </w:pPr>
            <w:r w:rsidRPr="00AC75CA">
              <w:rPr>
                <w:sz w:val="18"/>
                <w:szCs w:val="18"/>
                <w:lang w:val="en-US"/>
              </w:rPr>
              <w:t>134</w:t>
            </w:r>
            <w:r w:rsidRPr="00AC75CA">
              <w:rPr>
                <w:color w:val="040C28"/>
                <w:sz w:val="18"/>
                <w:szCs w:val="18"/>
              </w:rPr>
              <w:t>°</w:t>
            </w:r>
            <w:r w:rsidRPr="00AC75CA">
              <w:rPr>
                <w:sz w:val="18"/>
                <w:szCs w:val="18"/>
                <w:lang w:val="en-US"/>
              </w:rPr>
              <w:t>C/273</w:t>
            </w:r>
            <w:r w:rsidRPr="00AC75CA">
              <w:rPr>
                <w:color w:val="040C28"/>
                <w:sz w:val="18"/>
                <w:szCs w:val="18"/>
              </w:rPr>
              <w:t>°</w:t>
            </w:r>
            <w:r w:rsidRPr="00AC75CA">
              <w:rPr>
                <w:sz w:val="18"/>
                <w:szCs w:val="18"/>
                <w:lang w:val="en-US"/>
              </w:rPr>
              <w:t>F</w:t>
            </w:r>
          </w:p>
        </w:tc>
      </w:tr>
      <w:tr w:rsidR="00E65650" w14:paraId="656FF0F4" w14:textId="77777777" w:rsidTr="00AC75CA">
        <w:tc>
          <w:tcPr>
            <w:tcW w:w="1812" w:type="dxa"/>
            <w:vMerge w:val="restart"/>
          </w:tcPr>
          <w:p w14:paraId="0461F39F" w14:textId="3D46DE43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0</w:t>
            </w:r>
            <w:r w:rsidRPr="00E65650">
              <w:rPr>
                <w:color w:val="040C28"/>
                <w:sz w:val="18"/>
                <w:szCs w:val="18"/>
              </w:rPr>
              <w:t>°</w:t>
            </w:r>
          </w:p>
        </w:tc>
        <w:tc>
          <w:tcPr>
            <w:tcW w:w="1812" w:type="dxa"/>
            <w:vMerge w:val="restart"/>
          </w:tcPr>
          <w:p w14:paraId="63E03773" w14:textId="15030B17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Blue</w:t>
            </w:r>
          </w:p>
        </w:tc>
        <w:tc>
          <w:tcPr>
            <w:tcW w:w="1812" w:type="dxa"/>
          </w:tcPr>
          <w:p w14:paraId="2BBC1D48" w14:textId="6A95768C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Standart</w:t>
            </w:r>
          </w:p>
        </w:tc>
        <w:tc>
          <w:tcPr>
            <w:tcW w:w="1813" w:type="dxa"/>
          </w:tcPr>
          <w:p w14:paraId="6ABC1936" w14:textId="329DC470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14:paraId="4D202673" w14:textId="101ED30D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8650.414</w:t>
            </w:r>
          </w:p>
        </w:tc>
      </w:tr>
      <w:tr w:rsidR="00E65650" w14:paraId="40047573" w14:textId="77777777" w:rsidTr="00AC75CA">
        <w:tc>
          <w:tcPr>
            <w:tcW w:w="1812" w:type="dxa"/>
            <w:vMerge/>
          </w:tcPr>
          <w:p w14:paraId="72E75DFE" w14:textId="77777777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14:paraId="1B983BA1" w14:textId="3CCBD641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3A343E2B" w14:textId="64B8DF21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PDD blue</w:t>
            </w:r>
          </w:p>
        </w:tc>
        <w:tc>
          <w:tcPr>
            <w:tcW w:w="1813" w:type="dxa"/>
          </w:tcPr>
          <w:p w14:paraId="0141D7AF" w14:textId="6985D46D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14:paraId="55FC02CE" w14:textId="488363AD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8650.514**</w:t>
            </w:r>
          </w:p>
        </w:tc>
      </w:tr>
      <w:tr w:rsidR="00E65650" w14:paraId="771A0784" w14:textId="77777777" w:rsidTr="00AC75CA">
        <w:tc>
          <w:tcPr>
            <w:tcW w:w="1812" w:type="dxa"/>
            <w:vMerge/>
          </w:tcPr>
          <w:p w14:paraId="7874707C" w14:textId="77777777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14:paraId="702C45A9" w14:textId="310DC612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6D794E1E" w14:textId="13F4D50B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proofErr w:type="spellStart"/>
            <w:r w:rsidRPr="00E65650">
              <w:rPr>
                <w:sz w:val="18"/>
                <w:szCs w:val="18"/>
              </w:rPr>
              <w:t>Small</w:t>
            </w:r>
            <w:proofErr w:type="spellEnd"/>
            <w:r w:rsidRPr="00E65650">
              <w:rPr>
                <w:sz w:val="18"/>
                <w:szCs w:val="18"/>
              </w:rPr>
              <w:t xml:space="preserve"> </w:t>
            </w:r>
            <w:proofErr w:type="spellStart"/>
            <w:r w:rsidRPr="00E65650">
              <w:rPr>
                <w:sz w:val="18"/>
                <w:szCs w:val="18"/>
              </w:rPr>
              <w:t>colibre</w:t>
            </w:r>
            <w:proofErr w:type="spellEnd"/>
          </w:p>
        </w:tc>
        <w:tc>
          <w:tcPr>
            <w:tcW w:w="1813" w:type="dxa"/>
          </w:tcPr>
          <w:p w14:paraId="61B6BA20" w14:textId="3E501E8F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3.3</w:t>
            </w:r>
          </w:p>
        </w:tc>
        <w:tc>
          <w:tcPr>
            <w:tcW w:w="1813" w:type="dxa"/>
          </w:tcPr>
          <w:p w14:paraId="3A0F46C0" w14:textId="5C0A0E4F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8660.424</w:t>
            </w:r>
          </w:p>
        </w:tc>
      </w:tr>
      <w:tr w:rsidR="00E65650" w14:paraId="71089293" w14:textId="77777777" w:rsidTr="00AC75CA">
        <w:tc>
          <w:tcPr>
            <w:tcW w:w="1812" w:type="dxa"/>
            <w:vMerge w:val="restart"/>
          </w:tcPr>
          <w:p w14:paraId="3EB2A69E" w14:textId="081BD782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color w:val="040C28"/>
                <w:sz w:val="18"/>
                <w:szCs w:val="18"/>
              </w:rPr>
              <w:t>12°</w:t>
            </w:r>
          </w:p>
        </w:tc>
        <w:tc>
          <w:tcPr>
            <w:tcW w:w="1812" w:type="dxa"/>
            <w:vMerge w:val="restart"/>
          </w:tcPr>
          <w:p w14:paraId="3C9F5601" w14:textId="2FC61B73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Orange</w:t>
            </w:r>
          </w:p>
        </w:tc>
        <w:tc>
          <w:tcPr>
            <w:tcW w:w="1812" w:type="dxa"/>
          </w:tcPr>
          <w:p w14:paraId="47B3325D" w14:textId="0E18BC79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Standart</w:t>
            </w:r>
          </w:p>
        </w:tc>
        <w:tc>
          <w:tcPr>
            <w:tcW w:w="1813" w:type="dxa"/>
          </w:tcPr>
          <w:p w14:paraId="409FF6FF" w14:textId="22E6DCD3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14:paraId="53D36CFA" w14:textId="46C18CD9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8654.431</w:t>
            </w:r>
          </w:p>
        </w:tc>
      </w:tr>
      <w:tr w:rsidR="00E65650" w14:paraId="1691A92B" w14:textId="77777777" w:rsidTr="00AC75CA">
        <w:tc>
          <w:tcPr>
            <w:tcW w:w="1812" w:type="dxa"/>
            <w:vMerge/>
          </w:tcPr>
          <w:p w14:paraId="5AE705F6" w14:textId="77777777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14:paraId="70EC16D9" w14:textId="66AECC78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2C357001" w14:textId="66032D1F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PDD blue</w:t>
            </w:r>
          </w:p>
        </w:tc>
        <w:tc>
          <w:tcPr>
            <w:tcW w:w="1813" w:type="dxa"/>
          </w:tcPr>
          <w:p w14:paraId="1916A2DE" w14:textId="0DB246F9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14:paraId="1472E396" w14:textId="18E5D318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8654.531**</w:t>
            </w:r>
          </w:p>
        </w:tc>
      </w:tr>
      <w:tr w:rsidR="00E65650" w14:paraId="148CDB41" w14:textId="77777777" w:rsidTr="00AC75CA">
        <w:tc>
          <w:tcPr>
            <w:tcW w:w="1812" w:type="dxa"/>
            <w:vMerge w:val="restart"/>
          </w:tcPr>
          <w:p w14:paraId="09956612" w14:textId="66F9B1E9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>
              <w:rPr>
                <w:color w:val="040C28"/>
                <w:sz w:val="18"/>
                <w:szCs w:val="18"/>
              </w:rPr>
              <w:t>30</w:t>
            </w:r>
            <w:r w:rsidRPr="00E65650">
              <w:rPr>
                <w:color w:val="040C28"/>
                <w:sz w:val="18"/>
                <w:szCs w:val="18"/>
              </w:rPr>
              <w:t>°</w:t>
            </w:r>
          </w:p>
        </w:tc>
        <w:tc>
          <w:tcPr>
            <w:tcW w:w="1812" w:type="dxa"/>
            <w:vMerge w:val="restart"/>
          </w:tcPr>
          <w:p w14:paraId="6D138885" w14:textId="6CD7B5A3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Blue</w:t>
            </w:r>
          </w:p>
        </w:tc>
        <w:tc>
          <w:tcPr>
            <w:tcW w:w="1812" w:type="dxa"/>
          </w:tcPr>
          <w:p w14:paraId="21695579" w14:textId="1907D87B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Standart</w:t>
            </w:r>
          </w:p>
        </w:tc>
        <w:tc>
          <w:tcPr>
            <w:tcW w:w="1813" w:type="dxa"/>
          </w:tcPr>
          <w:p w14:paraId="6100BFDF" w14:textId="7A690E8F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14:paraId="74CDC1B3" w14:textId="7BC0D22B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8654.422</w:t>
            </w:r>
          </w:p>
        </w:tc>
      </w:tr>
      <w:tr w:rsidR="00E65650" w14:paraId="39AF4683" w14:textId="77777777" w:rsidTr="00AC75CA">
        <w:tc>
          <w:tcPr>
            <w:tcW w:w="1812" w:type="dxa"/>
            <w:vMerge/>
          </w:tcPr>
          <w:p w14:paraId="29842282" w14:textId="77777777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14:paraId="4D2C9C8F" w14:textId="77777777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437EF0CB" w14:textId="5D08A7B8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PDD blue</w:t>
            </w:r>
          </w:p>
        </w:tc>
        <w:tc>
          <w:tcPr>
            <w:tcW w:w="1813" w:type="dxa"/>
          </w:tcPr>
          <w:p w14:paraId="77E86339" w14:textId="2B6089D9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14:paraId="29338CDA" w14:textId="1C0B7922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8654.522**</w:t>
            </w:r>
          </w:p>
        </w:tc>
      </w:tr>
      <w:tr w:rsidR="00E65650" w14:paraId="461B488D" w14:textId="77777777" w:rsidTr="00AC75CA">
        <w:tc>
          <w:tcPr>
            <w:tcW w:w="1812" w:type="dxa"/>
            <w:vMerge/>
          </w:tcPr>
          <w:p w14:paraId="64A98EA2" w14:textId="77777777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14:paraId="57D1DA48" w14:textId="77777777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28AFD88B" w14:textId="30173129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proofErr w:type="spellStart"/>
            <w:r w:rsidRPr="00E65650">
              <w:rPr>
                <w:sz w:val="18"/>
                <w:szCs w:val="18"/>
              </w:rPr>
              <w:t>Small</w:t>
            </w:r>
            <w:proofErr w:type="spellEnd"/>
            <w:r w:rsidRPr="00E65650">
              <w:rPr>
                <w:sz w:val="18"/>
                <w:szCs w:val="18"/>
              </w:rPr>
              <w:t xml:space="preserve"> </w:t>
            </w:r>
            <w:proofErr w:type="spellStart"/>
            <w:r w:rsidRPr="00E65650">
              <w:rPr>
                <w:sz w:val="18"/>
                <w:szCs w:val="18"/>
              </w:rPr>
              <w:t>colibre</w:t>
            </w:r>
            <w:proofErr w:type="spellEnd"/>
          </w:p>
        </w:tc>
        <w:tc>
          <w:tcPr>
            <w:tcW w:w="1813" w:type="dxa"/>
          </w:tcPr>
          <w:p w14:paraId="7D1324E8" w14:textId="31951416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3.3</w:t>
            </w:r>
          </w:p>
        </w:tc>
        <w:tc>
          <w:tcPr>
            <w:tcW w:w="1813" w:type="dxa"/>
          </w:tcPr>
          <w:p w14:paraId="627BE55F" w14:textId="3287CB2E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8656.422</w:t>
            </w:r>
          </w:p>
        </w:tc>
      </w:tr>
      <w:tr w:rsidR="00E65650" w14:paraId="3ADF4071" w14:textId="77777777" w:rsidTr="00AC75CA">
        <w:tc>
          <w:tcPr>
            <w:tcW w:w="1812" w:type="dxa"/>
            <w:vMerge/>
          </w:tcPr>
          <w:p w14:paraId="42C1E8EE" w14:textId="77777777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14:paraId="2411BCA4" w14:textId="77777777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577EB2AC" w14:textId="3D6A5217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 xml:space="preserve">Long </w:t>
            </w:r>
            <w:proofErr w:type="spellStart"/>
            <w:r w:rsidRPr="00E65650">
              <w:rPr>
                <w:sz w:val="18"/>
                <w:szCs w:val="18"/>
              </w:rPr>
              <w:t>sheath</w:t>
            </w:r>
            <w:proofErr w:type="spellEnd"/>
          </w:p>
        </w:tc>
        <w:tc>
          <w:tcPr>
            <w:tcW w:w="1813" w:type="dxa"/>
          </w:tcPr>
          <w:p w14:paraId="32995B2F" w14:textId="3F306A0E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14:paraId="404BE6BA" w14:textId="39BC3315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8668.433**</w:t>
            </w:r>
          </w:p>
        </w:tc>
      </w:tr>
      <w:tr w:rsidR="00E65650" w14:paraId="5947963F" w14:textId="77777777" w:rsidTr="00AC75CA">
        <w:tc>
          <w:tcPr>
            <w:tcW w:w="1812" w:type="dxa"/>
            <w:vMerge w:val="restart"/>
          </w:tcPr>
          <w:p w14:paraId="5C1A3874" w14:textId="127F5E3F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color w:val="040C28"/>
                <w:sz w:val="18"/>
                <w:szCs w:val="18"/>
              </w:rPr>
              <w:t>70°</w:t>
            </w:r>
          </w:p>
        </w:tc>
        <w:tc>
          <w:tcPr>
            <w:tcW w:w="1812" w:type="dxa"/>
            <w:vMerge w:val="restart"/>
          </w:tcPr>
          <w:p w14:paraId="74F4A1EA" w14:textId="1EC4B70C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proofErr w:type="spellStart"/>
            <w:r w:rsidRPr="00E65650">
              <w:rPr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812" w:type="dxa"/>
          </w:tcPr>
          <w:p w14:paraId="67F47DCC" w14:textId="4FD4F337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Standart</w:t>
            </w:r>
          </w:p>
        </w:tc>
        <w:tc>
          <w:tcPr>
            <w:tcW w:w="1813" w:type="dxa"/>
          </w:tcPr>
          <w:p w14:paraId="298AFB9D" w14:textId="7BAEF85C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14:paraId="53E37D37" w14:textId="2761CF1F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8650.415</w:t>
            </w:r>
          </w:p>
        </w:tc>
      </w:tr>
      <w:tr w:rsidR="00E65650" w14:paraId="597F6EFC" w14:textId="77777777" w:rsidTr="00AC75CA">
        <w:tc>
          <w:tcPr>
            <w:tcW w:w="1812" w:type="dxa"/>
            <w:vMerge/>
          </w:tcPr>
          <w:p w14:paraId="16E2D2E4" w14:textId="77777777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14:paraId="16C140B2" w14:textId="77777777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0EDBAFEA" w14:textId="37836783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PDD blue</w:t>
            </w:r>
          </w:p>
        </w:tc>
        <w:tc>
          <w:tcPr>
            <w:tcW w:w="1813" w:type="dxa"/>
          </w:tcPr>
          <w:p w14:paraId="1CF86B88" w14:textId="027AE753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14:paraId="0141EF21" w14:textId="2CB1C5C1" w:rsidR="00E65650" w:rsidRPr="00E65650" w:rsidRDefault="00E65650" w:rsidP="00E65650">
            <w:pPr>
              <w:jc w:val="center"/>
              <w:rPr>
                <w:sz w:val="18"/>
                <w:szCs w:val="18"/>
              </w:rPr>
            </w:pPr>
            <w:r w:rsidRPr="00E65650">
              <w:rPr>
                <w:sz w:val="18"/>
                <w:szCs w:val="18"/>
              </w:rPr>
              <w:t>8650.515**</w:t>
            </w:r>
          </w:p>
        </w:tc>
      </w:tr>
    </w:tbl>
    <w:p w14:paraId="009A2C1D" w14:textId="77777777" w:rsidR="00AC75CA" w:rsidRDefault="00AC75CA" w:rsidP="00AC75CA"/>
    <w:p w14:paraId="5492C2D0" w14:textId="77777777" w:rsidR="00AC75CA" w:rsidRPr="00AC75CA" w:rsidRDefault="00AC75CA" w:rsidP="00AC75CA"/>
    <w:p w14:paraId="237316EC" w14:textId="77777777" w:rsidR="00AD190E" w:rsidRDefault="00AD190E" w:rsidP="00AD190E"/>
    <w:p w14:paraId="114319A1" w14:textId="368D176E" w:rsidR="00AD190E" w:rsidRDefault="00AD190E" w:rsidP="00AD190E"/>
    <w:p w14:paraId="563AEA50" w14:textId="77777777" w:rsidR="00AD190E" w:rsidRDefault="00AD190E" w:rsidP="00AD190E"/>
    <w:p w14:paraId="2D3BDB13" w14:textId="77777777" w:rsidR="00AD190E" w:rsidRDefault="00AD190E" w:rsidP="00AD190E">
      <w:pPr>
        <w:pStyle w:val="Odstavecseseznamem"/>
        <w:numPr>
          <w:ilvl w:val="0"/>
          <w:numId w:val="16"/>
        </w:numPr>
        <w:spacing w:after="0" w:line="240" w:lineRule="auto"/>
        <w:jc w:val="left"/>
      </w:pPr>
      <w:r>
        <w:t>Optika cystoskopická plně kompatibilní se systémem výrobce Richard Wolf bez nutnosti použití dalších přechodek či adaptérů</w:t>
      </w:r>
    </w:p>
    <w:p w14:paraId="6C5043D6" w14:textId="77777777" w:rsidR="00AD190E" w:rsidRDefault="00AD190E" w:rsidP="00AD190E">
      <w:pPr>
        <w:pStyle w:val="Odstavecseseznamem"/>
        <w:numPr>
          <w:ilvl w:val="0"/>
          <w:numId w:val="16"/>
        </w:numPr>
        <w:spacing w:after="0" w:line="240" w:lineRule="auto"/>
        <w:jc w:val="left"/>
      </w:pPr>
      <w:r>
        <w:t>Průměr: 4 mm</w:t>
      </w:r>
    </w:p>
    <w:p w14:paraId="5E476413" w14:textId="687ACAFC" w:rsidR="00AD190E" w:rsidRDefault="00AD190E" w:rsidP="00AD190E">
      <w:pPr>
        <w:pStyle w:val="Odstavecseseznamem"/>
        <w:numPr>
          <w:ilvl w:val="0"/>
          <w:numId w:val="16"/>
        </w:numPr>
        <w:spacing w:after="0" w:line="240" w:lineRule="auto"/>
        <w:jc w:val="left"/>
      </w:pPr>
      <w:r>
        <w:t xml:space="preserve">Úhel pohledu </w:t>
      </w:r>
      <w:r w:rsidR="005D72AE">
        <w:t>optiky</w:t>
      </w:r>
      <w:r>
        <w:t>: 70°</w:t>
      </w:r>
    </w:p>
    <w:p w14:paraId="73D70624" w14:textId="77777777" w:rsidR="00AD190E" w:rsidRDefault="00AD190E" w:rsidP="00AD190E">
      <w:pPr>
        <w:pStyle w:val="Odstavecseseznamem"/>
        <w:numPr>
          <w:ilvl w:val="0"/>
          <w:numId w:val="16"/>
        </w:numPr>
        <w:spacing w:after="0" w:line="240" w:lineRule="auto"/>
        <w:jc w:val="left"/>
      </w:pPr>
      <w:r>
        <w:t>Délka (WL): 302 mm</w:t>
      </w:r>
    </w:p>
    <w:p w14:paraId="1B1379BC" w14:textId="77777777" w:rsidR="00AD190E" w:rsidRDefault="00AD190E" w:rsidP="00AD190E">
      <w:pPr>
        <w:pStyle w:val="Odstavecseseznamem"/>
        <w:numPr>
          <w:ilvl w:val="0"/>
          <w:numId w:val="16"/>
        </w:numPr>
        <w:spacing w:after="0" w:line="240" w:lineRule="auto"/>
        <w:jc w:val="left"/>
      </w:pPr>
      <w:proofErr w:type="spellStart"/>
      <w:r>
        <w:t>Autoklávovatelné</w:t>
      </w:r>
      <w:proofErr w:type="spellEnd"/>
      <w:r>
        <w:t xml:space="preserve"> dle vyhlášky 306/2012 Sb. (134 ⁰C, 7 minut)</w:t>
      </w:r>
    </w:p>
    <w:p w14:paraId="5531CF14" w14:textId="77777777" w:rsidR="00AD190E" w:rsidRDefault="00AD190E" w:rsidP="00AD190E"/>
    <w:p w14:paraId="72E20B6D" w14:textId="77777777" w:rsidR="00AD190E" w:rsidRDefault="00AD190E" w:rsidP="00AD190E">
      <w:r>
        <w:t xml:space="preserve">Kompatibilita: </w:t>
      </w:r>
    </w:p>
    <w:p w14:paraId="239604AD" w14:textId="77777777" w:rsidR="00E65650" w:rsidRDefault="00E65650" w:rsidP="00AD190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276"/>
      </w:tblGrid>
      <w:tr w:rsidR="00E65650" w14:paraId="10DF7257" w14:textId="77777777" w:rsidTr="00DC3366">
        <w:tc>
          <w:tcPr>
            <w:tcW w:w="1271" w:type="dxa"/>
          </w:tcPr>
          <w:p w14:paraId="54527C2D" w14:textId="77777777" w:rsidR="00E65650" w:rsidRDefault="00E65650" w:rsidP="00DC3366">
            <w:r>
              <w:t>8650.0141</w:t>
            </w:r>
          </w:p>
        </w:tc>
        <w:tc>
          <w:tcPr>
            <w:tcW w:w="1276" w:type="dxa"/>
          </w:tcPr>
          <w:p w14:paraId="7B72A72E" w14:textId="77777777" w:rsidR="00E65650" w:rsidRDefault="00E65650" w:rsidP="00DC3366">
            <w:r>
              <w:t>8650.0145</w:t>
            </w:r>
          </w:p>
        </w:tc>
        <w:tc>
          <w:tcPr>
            <w:tcW w:w="1276" w:type="dxa"/>
          </w:tcPr>
          <w:p w14:paraId="788491EF" w14:textId="77777777" w:rsidR="00E65650" w:rsidRDefault="00E65650" w:rsidP="00DC3366">
            <w:r>
              <w:t>8650.0147</w:t>
            </w:r>
          </w:p>
        </w:tc>
      </w:tr>
      <w:tr w:rsidR="00E65650" w14:paraId="3828160E" w14:textId="77777777" w:rsidTr="00DC3366">
        <w:tc>
          <w:tcPr>
            <w:tcW w:w="1271" w:type="dxa"/>
          </w:tcPr>
          <w:p w14:paraId="67323876" w14:textId="77777777" w:rsidR="00E65650" w:rsidRDefault="00E65650" w:rsidP="00DC3366">
            <w:r>
              <w:t>8650.0241</w:t>
            </w:r>
          </w:p>
        </w:tc>
        <w:tc>
          <w:tcPr>
            <w:tcW w:w="1276" w:type="dxa"/>
          </w:tcPr>
          <w:p w14:paraId="0CAD044D" w14:textId="77777777" w:rsidR="00E65650" w:rsidRDefault="00E65650" w:rsidP="00DC3366">
            <w:r>
              <w:t>8650.0245</w:t>
            </w:r>
          </w:p>
        </w:tc>
        <w:tc>
          <w:tcPr>
            <w:tcW w:w="1276" w:type="dxa"/>
          </w:tcPr>
          <w:p w14:paraId="648AB3FE" w14:textId="77777777" w:rsidR="00E65650" w:rsidRDefault="00E65650" w:rsidP="00DC3366">
            <w:r>
              <w:t>8650.0247</w:t>
            </w:r>
          </w:p>
        </w:tc>
      </w:tr>
      <w:tr w:rsidR="00E65650" w:rsidRPr="00AC75CA" w14:paraId="38D75308" w14:textId="77777777" w:rsidTr="00DC3366">
        <w:tc>
          <w:tcPr>
            <w:tcW w:w="1271" w:type="dxa"/>
          </w:tcPr>
          <w:p w14:paraId="74E2D772" w14:textId="77777777" w:rsidR="00E65650" w:rsidRDefault="00E65650" w:rsidP="00DC3366">
            <w:r>
              <w:t>8650.0341</w:t>
            </w:r>
          </w:p>
        </w:tc>
        <w:tc>
          <w:tcPr>
            <w:tcW w:w="1276" w:type="dxa"/>
          </w:tcPr>
          <w:p w14:paraId="3D7031BE" w14:textId="77777777" w:rsidR="00E65650" w:rsidRDefault="00E65650" w:rsidP="00DC3366">
            <w:r>
              <w:t>8650.0345</w:t>
            </w:r>
          </w:p>
        </w:tc>
        <w:tc>
          <w:tcPr>
            <w:tcW w:w="1276" w:type="dxa"/>
          </w:tcPr>
          <w:p w14:paraId="14310D49" w14:textId="77777777" w:rsidR="00E65650" w:rsidRDefault="00E65650" w:rsidP="00DC3366">
            <w:r>
              <w:t>8650.0347</w:t>
            </w:r>
          </w:p>
        </w:tc>
      </w:tr>
      <w:tr w:rsidR="00E65650" w14:paraId="4461EFCE" w14:textId="77777777" w:rsidTr="00DC3366">
        <w:tc>
          <w:tcPr>
            <w:tcW w:w="1271" w:type="dxa"/>
          </w:tcPr>
          <w:p w14:paraId="37992582" w14:textId="77777777" w:rsidR="00E65650" w:rsidRDefault="00E65650" w:rsidP="00DC3366">
            <w:r>
              <w:t>8650.0441</w:t>
            </w:r>
          </w:p>
        </w:tc>
        <w:tc>
          <w:tcPr>
            <w:tcW w:w="1276" w:type="dxa"/>
          </w:tcPr>
          <w:p w14:paraId="0940D0A2" w14:textId="77777777" w:rsidR="00E65650" w:rsidRDefault="00E65650" w:rsidP="00DC3366">
            <w:r>
              <w:t>8650.0445</w:t>
            </w:r>
          </w:p>
        </w:tc>
        <w:tc>
          <w:tcPr>
            <w:tcW w:w="1276" w:type="dxa"/>
          </w:tcPr>
          <w:p w14:paraId="1690999E" w14:textId="77777777" w:rsidR="00E65650" w:rsidRDefault="00E65650" w:rsidP="00DC3366">
            <w:r>
              <w:t>8650.0447</w:t>
            </w:r>
          </w:p>
        </w:tc>
      </w:tr>
      <w:tr w:rsidR="00E65650" w14:paraId="715705AE" w14:textId="77777777" w:rsidTr="00DC3366">
        <w:tc>
          <w:tcPr>
            <w:tcW w:w="1271" w:type="dxa"/>
          </w:tcPr>
          <w:p w14:paraId="7C398E85" w14:textId="77777777" w:rsidR="00E65650" w:rsidRDefault="00E65650" w:rsidP="00DC3366">
            <w:r>
              <w:t>8650.0541</w:t>
            </w:r>
          </w:p>
        </w:tc>
        <w:tc>
          <w:tcPr>
            <w:tcW w:w="1276" w:type="dxa"/>
          </w:tcPr>
          <w:p w14:paraId="471D789B" w14:textId="77777777" w:rsidR="00E65650" w:rsidRDefault="00E65650" w:rsidP="00DC3366">
            <w:r>
              <w:t>8650.0545</w:t>
            </w:r>
          </w:p>
        </w:tc>
        <w:tc>
          <w:tcPr>
            <w:tcW w:w="1276" w:type="dxa"/>
          </w:tcPr>
          <w:p w14:paraId="50A8A88D" w14:textId="77777777" w:rsidR="00E65650" w:rsidRDefault="00E65650" w:rsidP="00DC3366">
            <w:r>
              <w:t>8650.0547</w:t>
            </w:r>
          </w:p>
        </w:tc>
      </w:tr>
      <w:tr w:rsidR="00E65650" w14:paraId="6ADD1A90" w14:textId="77777777" w:rsidTr="00DC3366">
        <w:tc>
          <w:tcPr>
            <w:tcW w:w="1271" w:type="dxa"/>
          </w:tcPr>
          <w:p w14:paraId="3281E9F6" w14:textId="77777777" w:rsidR="00E65650" w:rsidRDefault="00E65650" w:rsidP="00DC3366">
            <w:r>
              <w:t>8650.0641</w:t>
            </w:r>
          </w:p>
        </w:tc>
        <w:tc>
          <w:tcPr>
            <w:tcW w:w="1276" w:type="dxa"/>
          </w:tcPr>
          <w:p w14:paraId="3CF93EAF" w14:textId="77777777" w:rsidR="00E65650" w:rsidRDefault="00E65650" w:rsidP="00DC3366">
            <w:r>
              <w:t>8650.0645</w:t>
            </w:r>
          </w:p>
        </w:tc>
        <w:tc>
          <w:tcPr>
            <w:tcW w:w="1276" w:type="dxa"/>
          </w:tcPr>
          <w:p w14:paraId="40E6A1E1" w14:textId="77777777" w:rsidR="00E65650" w:rsidRDefault="00E65650" w:rsidP="00DC3366">
            <w:r>
              <w:t>8650.0647</w:t>
            </w:r>
          </w:p>
        </w:tc>
      </w:tr>
    </w:tbl>
    <w:p w14:paraId="139CD13C" w14:textId="3F5100BF" w:rsidR="00A05D45" w:rsidRPr="00994805" w:rsidRDefault="00A05D45" w:rsidP="00AD190E"/>
    <w:sectPr w:rsidR="00A05D45" w:rsidRPr="00994805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27293" w14:textId="77777777" w:rsidR="004F5A41" w:rsidRDefault="004F5A41" w:rsidP="00FF18EB">
      <w:pPr>
        <w:spacing w:line="240" w:lineRule="auto"/>
      </w:pPr>
      <w:r>
        <w:separator/>
      </w:r>
    </w:p>
    <w:p w14:paraId="41823716" w14:textId="77777777" w:rsidR="004F5A41" w:rsidRDefault="004F5A41"/>
  </w:endnote>
  <w:endnote w:type="continuationSeparator" w:id="0">
    <w:p w14:paraId="6FF321F6" w14:textId="77777777" w:rsidR="004F5A41" w:rsidRDefault="004F5A41" w:rsidP="00FF18EB">
      <w:pPr>
        <w:spacing w:line="240" w:lineRule="auto"/>
      </w:pPr>
      <w:r>
        <w:continuationSeparator/>
      </w:r>
    </w:p>
    <w:p w14:paraId="5D6ADD44" w14:textId="77777777" w:rsidR="004F5A41" w:rsidRDefault="004F5A41"/>
  </w:endnote>
  <w:endnote w:type="continuationNotice" w:id="1">
    <w:p w14:paraId="00EFB772" w14:textId="77777777" w:rsidR="004F5A41" w:rsidRDefault="004F5A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3A3C03" w:rsidRPr="003A3C03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D0244" w14:textId="77777777" w:rsidR="004F5A41" w:rsidRDefault="004F5A41" w:rsidP="00FF18EB">
      <w:pPr>
        <w:spacing w:line="240" w:lineRule="auto"/>
      </w:pPr>
      <w:r>
        <w:separator/>
      </w:r>
    </w:p>
    <w:p w14:paraId="435CC105" w14:textId="77777777" w:rsidR="004F5A41" w:rsidRDefault="004F5A41"/>
  </w:footnote>
  <w:footnote w:type="continuationSeparator" w:id="0">
    <w:p w14:paraId="528D0C26" w14:textId="77777777" w:rsidR="004F5A41" w:rsidRDefault="004F5A41" w:rsidP="00FF18EB">
      <w:pPr>
        <w:spacing w:line="240" w:lineRule="auto"/>
      </w:pPr>
      <w:r>
        <w:continuationSeparator/>
      </w:r>
    </w:p>
    <w:p w14:paraId="0817F0CA" w14:textId="77777777" w:rsidR="004F5A41" w:rsidRDefault="004F5A41"/>
  </w:footnote>
  <w:footnote w:type="continuationNotice" w:id="1">
    <w:p w14:paraId="7147B515" w14:textId="77777777" w:rsidR="004F5A41" w:rsidRDefault="004F5A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098D3" w14:textId="3D718EE6" w:rsidR="00715F22" w:rsidRPr="00715F22" w:rsidRDefault="00715F22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KP/0584/2024/</w:t>
    </w:r>
    <w:proofErr w:type="spellStart"/>
    <w:r>
      <w:rPr>
        <w:lang w:val="cs-CZ"/>
      </w:rPr>
      <w:t>Sr</w:t>
    </w:r>
    <w:proofErr w:type="spellEnd"/>
  </w:p>
  <w:p w14:paraId="7BF9FA3A" w14:textId="77777777" w:rsidR="00715F22" w:rsidRDefault="00715F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D1638"/>
    <w:multiLevelType w:val="hybridMultilevel"/>
    <w:tmpl w:val="2984F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</w:num>
  <w:num w:numId="4">
    <w:abstractNumId w:val="11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3"/>
  </w:num>
  <w:num w:numId="1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351D9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B77DB"/>
    <w:rsid w:val="000C21E4"/>
    <w:rsid w:val="000C5A3D"/>
    <w:rsid w:val="000C6185"/>
    <w:rsid w:val="000C69B9"/>
    <w:rsid w:val="000C793B"/>
    <w:rsid w:val="000D0498"/>
    <w:rsid w:val="000F4C59"/>
    <w:rsid w:val="00113B40"/>
    <w:rsid w:val="001254C1"/>
    <w:rsid w:val="00130E87"/>
    <w:rsid w:val="001315F9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2D93"/>
    <w:rsid w:val="00243FE4"/>
    <w:rsid w:val="002456A0"/>
    <w:rsid w:val="00250E90"/>
    <w:rsid w:val="00250F85"/>
    <w:rsid w:val="0025204E"/>
    <w:rsid w:val="002527F3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1C71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A3C03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02D2"/>
    <w:rsid w:val="004820A4"/>
    <w:rsid w:val="00487BCE"/>
    <w:rsid w:val="00494052"/>
    <w:rsid w:val="004A1880"/>
    <w:rsid w:val="004A23D7"/>
    <w:rsid w:val="004A6335"/>
    <w:rsid w:val="004B52F7"/>
    <w:rsid w:val="004B647F"/>
    <w:rsid w:val="004B7BE2"/>
    <w:rsid w:val="004C2151"/>
    <w:rsid w:val="004D237F"/>
    <w:rsid w:val="004E74F7"/>
    <w:rsid w:val="004F3A6F"/>
    <w:rsid w:val="004F5A41"/>
    <w:rsid w:val="005013EF"/>
    <w:rsid w:val="00503008"/>
    <w:rsid w:val="005153A4"/>
    <w:rsid w:val="0051540C"/>
    <w:rsid w:val="005203B5"/>
    <w:rsid w:val="00521953"/>
    <w:rsid w:val="00527574"/>
    <w:rsid w:val="005359DA"/>
    <w:rsid w:val="005371E9"/>
    <w:rsid w:val="00546C21"/>
    <w:rsid w:val="005515B0"/>
    <w:rsid w:val="00560C16"/>
    <w:rsid w:val="005627DD"/>
    <w:rsid w:val="00563528"/>
    <w:rsid w:val="00571D58"/>
    <w:rsid w:val="0058691F"/>
    <w:rsid w:val="00586BB3"/>
    <w:rsid w:val="005A31F8"/>
    <w:rsid w:val="005A3B45"/>
    <w:rsid w:val="005A6D97"/>
    <w:rsid w:val="005B791E"/>
    <w:rsid w:val="005D0FD1"/>
    <w:rsid w:val="005D1964"/>
    <w:rsid w:val="005D1F37"/>
    <w:rsid w:val="005D29BD"/>
    <w:rsid w:val="005D319C"/>
    <w:rsid w:val="005D72AE"/>
    <w:rsid w:val="005E39A9"/>
    <w:rsid w:val="005F3353"/>
    <w:rsid w:val="005F53C1"/>
    <w:rsid w:val="005F5EEB"/>
    <w:rsid w:val="006031DD"/>
    <w:rsid w:val="00604137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15F22"/>
    <w:rsid w:val="00735D41"/>
    <w:rsid w:val="0073763C"/>
    <w:rsid w:val="00743435"/>
    <w:rsid w:val="00744E5D"/>
    <w:rsid w:val="0075205D"/>
    <w:rsid w:val="00760066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24BD4"/>
    <w:rsid w:val="008338EF"/>
    <w:rsid w:val="00841443"/>
    <w:rsid w:val="00842E4D"/>
    <w:rsid w:val="00842E64"/>
    <w:rsid w:val="0085307C"/>
    <w:rsid w:val="008645D8"/>
    <w:rsid w:val="00865A8C"/>
    <w:rsid w:val="00871625"/>
    <w:rsid w:val="0088327D"/>
    <w:rsid w:val="008877B1"/>
    <w:rsid w:val="008903ED"/>
    <w:rsid w:val="008A4B00"/>
    <w:rsid w:val="008C0647"/>
    <w:rsid w:val="008D0213"/>
    <w:rsid w:val="008D17FE"/>
    <w:rsid w:val="008D3874"/>
    <w:rsid w:val="008D45BA"/>
    <w:rsid w:val="008E5700"/>
    <w:rsid w:val="008F1902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1D40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C75CA"/>
    <w:rsid w:val="00AD18F2"/>
    <w:rsid w:val="00AD190E"/>
    <w:rsid w:val="00AD1A46"/>
    <w:rsid w:val="00AD3810"/>
    <w:rsid w:val="00AD3D04"/>
    <w:rsid w:val="00AD3D25"/>
    <w:rsid w:val="00AE1C01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34FD3"/>
    <w:rsid w:val="00B406E7"/>
    <w:rsid w:val="00B41494"/>
    <w:rsid w:val="00B436FD"/>
    <w:rsid w:val="00B627E5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B33F6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52D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6624A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B68AA"/>
    <w:rsid w:val="00DD0537"/>
    <w:rsid w:val="00DD3E47"/>
    <w:rsid w:val="00DE370C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37B"/>
    <w:rsid w:val="00E53E14"/>
    <w:rsid w:val="00E54AC0"/>
    <w:rsid w:val="00E54D56"/>
    <w:rsid w:val="00E569E2"/>
    <w:rsid w:val="00E571BC"/>
    <w:rsid w:val="00E57C99"/>
    <w:rsid w:val="00E57DE7"/>
    <w:rsid w:val="00E65650"/>
    <w:rsid w:val="00E710A0"/>
    <w:rsid w:val="00E80D56"/>
    <w:rsid w:val="00E826DA"/>
    <w:rsid w:val="00E84314"/>
    <w:rsid w:val="00E852D4"/>
    <w:rsid w:val="00E858DB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0DBCD0"/>
    <w:rsid w:val="068DCB81"/>
    <w:rsid w:val="07A98D31"/>
    <w:rsid w:val="09455D92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50F301E"/>
    <w:rsid w:val="25F28361"/>
    <w:rsid w:val="2705C89A"/>
    <w:rsid w:val="283166DE"/>
    <w:rsid w:val="28366225"/>
    <w:rsid w:val="2B75525E"/>
    <w:rsid w:val="2EE093EF"/>
    <w:rsid w:val="3095AAC4"/>
    <w:rsid w:val="35964F08"/>
    <w:rsid w:val="36698B26"/>
    <w:rsid w:val="38690F1A"/>
    <w:rsid w:val="3AE0F7E8"/>
    <w:rsid w:val="3C6ED8A4"/>
    <w:rsid w:val="3CD0218A"/>
    <w:rsid w:val="3ECB0470"/>
    <w:rsid w:val="41D674D0"/>
    <w:rsid w:val="451756F3"/>
    <w:rsid w:val="46B32754"/>
    <w:rsid w:val="4858BE59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95F10ECF-6ECD-4FCB-AAE9-C020B0B9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3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3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4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5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b1995920-a81f-482b-bfd5-3601daa9be8d">
      <Url xsi:nil="true"/>
      <Description xsi:nil="true"/>
    </Odkaz>
    <lcf76f155ced4ddcb4097134ff3c332f xmlns="b1995920-a81f-482b-bfd5-3601daa9be8d">
      <Terms xmlns="http://schemas.microsoft.com/office/infopath/2007/PartnerControls"/>
    </lcf76f155ced4ddcb4097134ff3c332f>
    <TaxCatchAll xmlns="a9fcb88f-9ddf-4f6c-abaf-d04b552f03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A583891A04654D86A84F0F1230E583" ma:contentTypeVersion="18" ma:contentTypeDescription="Vytvoří nový dokument" ma:contentTypeScope="" ma:versionID="0f590fcd972977fdbff7ece90d1d66d9">
  <xsd:schema xmlns:xsd="http://www.w3.org/2001/XMLSchema" xmlns:xs="http://www.w3.org/2001/XMLSchema" xmlns:p="http://schemas.microsoft.com/office/2006/metadata/properties" xmlns:ns2="b1995920-a81f-482b-bfd5-3601daa9be8d" xmlns:ns3="a9fcb88f-9ddf-4f6c-abaf-d04b552f03b9" targetNamespace="http://schemas.microsoft.com/office/2006/metadata/properties" ma:root="true" ma:fieldsID="b3acb2d997a1988fac6d15944b5d0906" ns2:_="" ns3:_="">
    <xsd:import namespace="b1995920-a81f-482b-bfd5-3601daa9be8d"/>
    <xsd:import namespace="a9fcb88f-9ddf-4f6c-abaf-d04b552f0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95920-a81f-482b-bfd5-3601daa9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b41bb8-64df-43b4-a42d-94106909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dkaz" ma:index="22" nillable="true" ma:displayName="Odkaz 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cb88f-9ddf-4f6c-abaf-d04b552f0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18879d5-1238-4c55-ac37-326549dfbc6b}" ma:internalName="TaxCatchAll" ma:showField="CatchAllData" ma:web="a9fcb88f-9ddf-4f6c-abaf-d04b552f0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b1995920-a81f-482b-bfd5-3601daa9be8d"/>
    <ds:schemaRef ds:uri="a9fcb88f-9ddf-4f6c-abaf-d04b552f03b9"/>
  </ds:schemaRefs>
</ds:datastoreItem>
</file>

<file path=customXml/itemProps2.xml><?xml version="1.0" encoding="utf-8"?>
<ds:datastoreItem xmlns:ds="http://schemas.openxmlformats.org/officeDocument/2006/customXml" ds:itemID="{9729590D-70AB-4D6B-9ACE-3B2ADDB2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95920-a81f-482b-bfd5-3601daa9be8d"/>
    <ds:schemaRef ds:uri="a9fcb88f-9ddf-4f6c-abaf-d04b552f0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7ECB96-F858-4BAD-88D2-C1DD48D3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4571</Words>
  <Characters>26971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Radek Hrad</dc:creator>
  <cp:keywords/>
  <dc:description>verze 7-7-2016
KS - zdravotnický prostředek</dc:description>
  <cp:lastModifiedBy>Stravová Michaela</cp:lastModifiedBy>
  <cp:revision>4</cp:revision>
  <cp:lastPrinted>2022-05-10T17:07:00Z</cp:lastPrinted>
  <dcterms:created xsi:type="dcterms:W3CDTF">2024-02-21T08:46:00Z</dcterms:created>
  <dcterms:modified xsi:type="dcterms:W3CDTF">2024-03-12T11:02:00Z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