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3"/>
        <w:jc w:val="center"/>
        <w:rPr>
          <w:rFonts w:cs="Arial"/>
          <w:color w:val="auto"/>
          <w:sz w:val="20"/>
        </w:rPr>
      </w:pPr>
      <w:r>
        <w:rPr>
          <w:rFonts w:cs="Arial"/>
          <w:color w:val="auto"/>
          <w:sz w:val="20"/>
        </w:rPr>
      </w:r>
    </w:p>
    <w:p>
      <w:pPr>
        <w:pStyle w:val="BodyText3"/>
        <w:jc w:val="center"/>
        <w:rPr>
          <w:rFonts w:cs="Arial"/>
          <w:color w:val="auto"/>
          <w:sz w:val="20"/>
        </w:rPr>
      </w:pPr>
      <w:r>
        <w:rPr/>
        <w:drawing>
          <wp:inline distT="0" distB="0" distL="0" distR="0">
            <wp:extent cx="1059815" cy="756285"/>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2"/>
                    <a:stretch>
                      <a:fillRect/>
                    </a:stretch>
                  </pic:blipFill>
                  <pic:spPr bwMode="auto">
                    <a:xfrm>
                      <a:off x="0" y="0"/>
                      <a:ext cx="1059815" cy="756285"/>
                    </a:xfrm>
                    <a:prstGeom prst="rect">
                      <a:avLst/>
                    </a:prstGeom>
                  </pic:spPr>
                </pic:pic>
              </a:graphicData>
            </a:graphic>
          </wp:inline>
        </w:drawing>
      </w:r>
    </w:p>
    <w:p>
      <w:pPr>
        <w:pStyle w:val="BodyText3"/>
        <w:jc w:val="center"/>
        <w:rPr>
          <w:rFonts w:cs="Arial"/>
          <w:b/>
          <w:b/>
          <w:sz w:val="20"/>
          <w:szCs w:val="32"/>
        </w:rPr>
      </w:pPr>
      <w:r>
        <w:rPr>
          <w:rFonts w:cs="Arial"/>
          <w:b/>
          <w:sz w:val="20"/>
          <w:szCs w:val="32"/>
        </w:rPr>
      </w:r>
    </w:p>
    <w:p>
      <w:pPr>
        <w:pStyle w:val="BodyText3"/>
        <w:jc w:val="center"/>
        <w:rPr>
          <w:rFonts w:ascii="Tahoma" w:hAnsi="Tahoma" w:cs="Tahoma"/>
          <w:color w:val="auto"/>
          <w:sz w:val="20"/>
        </w:rPr>
      </w:pPr>
      <w:r>
        <w:rPr>
          <w:rFonts w:cs="Tahoma" w:ascii="Tahoma" w:hAnsi="Tahoma"/>
          <w:b/>
          <w:sz w:val="32"/>
          <w:szCs w:val="32"/>
        </w:rPr>
        <w:t>SMLOUVA O VYTVOŘENÍ UMĚLECKÉHO VÝKONU                      A POSKYTNUTÍ OPRÁVNĚNÍ UMĚLECKÝ VÝKON UŽÍT</w:t>
      </w:r>
    </w:p>
    <w:p>
      <w:pPr>
        <w:pStyle w:val="Normal"/>
        <w:tabs>
          <w:tab w:val="clear" w:pos="708"/>
          <w:tab w:val="left" w:pos="426" w:leader="none"/>
        </w:tabs>
        <w:jc w:val="center"/>
        <w:rPr>
          <w:rFonts w:ascii="Tahoma" w:hAnsi="Tahoma" w:cs="Tahoma"/>
          <w:sz w:val="22"/>
          <w:szCs w:val="22"/>
        </w:rPr>
      </w:pPr>
      <w:r>
        <w:rPr>
          <w:rFonts w:cs="Tahoma" w:ascii="Tahoma" w:hAnsi="Tahoma"/>
          <w:sz w:val="22"/>
          <w:szCs w:val="22"/>
        </w:rPr>
        <w:t>(dále jen „smlouva“)</w:t>
      </w:r>
    </w:p>
    <w:p>
      <w:pPr>
        <w:pStyle w:val="Normal"/>
        <w:tabs>
          <w:tab w:val="clear" w:pos="708"/>
          <w:tab w:val="left" w:pos="426" w:leader="none"/>
        </w:tabs>
        <w:jc w:val="center"/>
        <w:rPr>
          <w:rFonts w:ascii="Tahoma" w:hAnsi="Tahoma" w:cs="Tahoma"/>
          <w:sz w:val="22"/>
          <w:szCs w:val="22"/>
        </w:rPr>
      </w:pPr>
      <w:r>
        <w:rPr>
          <w:rFonts w:cs="Tahoma" w:ascii="Tahoma" w:hAnsi="Tahoma"/>
          <w:sz w:val="22"/>
          <w:szCs w:val="22"/>
        </w:rPr>
      </w:r>
    </w:p>
    <w:p>
      <w:pPr>
        <w:pStyle w:val="Normal"/>
        <w:tabs>
          <w:tab w:val="clear" w:pos="708"/>
          <w:tab w:val="left" w:pos="426" w:leader="none"/>
        </w:tabs>
        <w:jc w:val="center"/>
        <w:rPr>
          <w:rFonts w:ascii="Tahoma" w:hAnsi="Tahoma" w:cs="Tahoma"/>
          <w:sz w:val="22"/>
          <w:szCs w:val="22"/>
        </w:rPr>
      </w:pPr>
      <w:r>
        <w:rPr>
          <w:rFonts w:cs="Tahoma" w:ascii="Tahoma" w:hAnsi="Tahoma"/>
          <w:sz w:val="22"/>
          <w:szCs w:val="22"/>
        </w:rPr>
        <w:t>Níže uvedeného dne, měsíce a roku uzavřeli</w:t>
      </w:r>
    </w:p>
    <w:p>
      <w:pPr>
        <w:pStyle w:val="Normal"/>
        <w:jc w:val="both"/>
        <w:rPr>
          <w:rFonts w:ascii="Times New Roman" w:hAnsi="Times New Roman"/>
          <w:b/>
          <w:b/>
          <w:szCs w:val="24"/>
        </w:rPr>
      </w:pPr>
      <w:r>
        <w:rPr>
          <w:rFonts w:ascii="Times New Roman" w:hAnsi="Times New Roman"/>
          <w:b/>
          <w:szCs w:val="24"/>
        </w:rPr>
      </w:r>
    </w:p>
    <w:p>
      <w:pPr>
        <w:pStyle w:val="Normal"/>
        <w:jc w:val="both"/>
        <w:rPr/>
      </w:pPr>
      <w:r>
        <w:rPr>
          <w:rFonts w:ascii="Times New Roman" w:hAnsi="Times New Roman"/>
          <w:b/>
          <w:szCs w:val="24"/>
        </w:rPr>
        <w:t>1. Městské kulturní středisko Jaroměř</w:t>
      </w:r>
    </w:p>
    <w:p>
      <w:pPr>
        <w:pStyle w:val="Normal"/>
        <w:jc w:val="both"/>
        <w:rPr>
          <w:rFonts w:ascii="Times New Roman" w:hAnsi="Times New Roman"/>
          <w:b w:val="false"/>
          <w:b w:val="false"/>
          <w:bCs w:val="false"/>
          <w:szCs w:val="24"/>
        </w:rPr>
      </w:pPr>
      <w:r>
        <w:rPr>
          <w:rFonts w:ascii="Times New Roman" w:hAnsi="Times New Roman"/>
          <w:b w:val="false"/>
          <w:bCs w:val="false"/>
          <w:szCs w:val="24"/>
        </w:rPr>
        <w:t xml:space="preserve">    </w:t>
      </w:r>
      <w:r>
        <w:rPr>
          <w:rFonts w:ascii="Times New Roman" w:hAnsi="Times New Roman"/>
          <w:b w:val="false"/>
          <w:bCs w:val="false"/>
          <w:szCs w:val="24"/>
        </w:rPr>
        <w:t>se sídlem: nám. Dukelských hrdinů 240, Jaroměř, 551 01</w:t>
      </w:r>
    </w:p>
    <w:p>
      <w:pPr>
        <w:pStyle w:val="Normal"/>
        <w:jc w:val="both"/>
        <w:rPr>
          <w:rFonts w:ascii="Times New Roman" w:hAnsi="Times New Roman"/>
          <w:szCs w:val="24"/>
        </w:rPr>
      </w:pPr>
      <w:r>
        <w:rPr>
          <w:rFonts w:ascii="Times New Roman" w:hAnsi="Times New Roman"/>
          <w:szCs w:val="24"/>
        </w:rPr>
        <w:t xml:space="preserve">    </w:t>
      </w:r>
      <w:r>
        <w:rPr>
          <w:rFonts w:ascii="Times New Roman" w:hAnsi="Times New Roman"/>
          <w:szCs w:val="24"/>
        </w:rPr>
        <w:t xml:space="preserve">IČO: 13585185 </w:t>
      </w:r>
    </w:p>
    <w:p>
      <w:pPr>
        <w:pStyle w:val="Normal"/>
        <w:jc w:val="both"/>
        <w:rPr/>
      </w:pPr>
      <w:r>
        <w:rPr>
          <w:rFonts w:ascii="Times New Roman" w:hAnsi="Times New Roman"/>
          <w:szCs w:val="24"/>
        </w:rPr>
        <w:t xml:space="preserve">    </w:t>
      </w:r>
      <w:r>
        <w:rPr>
          <w:rFonts w:ascii="Times New Roman" w:hAnsi="Times New Roman"/>
          <w:szCs w:val="24"/>
        </w:rPr>
        <w:t>DIČ: nejsme plátci DPH</w:t>
      </w:r>
    </w:p>
    <w:p>
      <w:pPr>
        <w:pStyle w:val="Normal"/>
        <w:jc w:val="both"/>
        <w:rPr/>
      </w:pPr>
      <w:r>
        <w:rPr>
          <w:rFonts w:ascii="Times New Roman" w:hAnsi="Times New Roman"/>
          <w:szCs w:val="24"/>
        </w:rPr>
        <w:t xml:space="preserve">    </w:t>
      </w:r>
      <w:r>
        <w:rPr>
          <w:rFonts w:ascii="Times New Roman" w:hAnsi="Times New Roman"/>
          <w:szCs w:val="24"/>
        </w:rPr>
        <w:t>Zastoupení: ředitelkou Monikou Brychovou</w:t>
      </w:r>
    </w:p>
    <w:p>
      <w:pPr>
        <w:pStyle w:val="Normal"/>
        <w:jc w:val="both"/>
        <w:rPr/>
      </w:pPr>
      <w:r>
        <w:rPr>
          <w:rFonts w:ascii="Times New Roman" w:hAnsi="Times New Roman"/>
          <w:szCs w:val="24"/>
        </w:rPr>
        <w:t xml:space="preserve">    </w:t>
      </w:r>
      <w:r>
        <w:rPr>
          <w:rFonts w:ascii="Times New Roman" w:hAnsi="Times New Roman"/>
          <w:szCs w:val="24"/>
        </w:rPr>
        <w:t xml:space="preserve">Kontakt: </w:t>
      </w:r>
      <w:r>
        <w:rPr>
          <w:rFonts w:eastAsia="Times New Roman" w:cs="Times New Roman" w:ascii="Times New Roman" w:hAnsi="Times New Roman"/>
          <w:color w:val="auto"/>
          <w:kern w:val="0"/>
          <w:sz w:val="24"/>
          <w:szCs w:val="24"/>
          <w:lang w:val="cs-CZ" w:eastAsia="cs-CZ" w:bidi="ar-SA"/>
        </w:rPr>
        <w:t>xxx</w:t>
      </w:r>
      <w:r>
        <w:rPr>
          <w:rFonts w:ascii="Times New Roman" w:hAnsi="Times New Roman"/>
          <w:szCs w:val="24"/>
        </w:rPr>
        <w:t xml:space="preserve">, email: </w:t>
      </w:r>
      <w:r>
        <w:rPr>
          <w:rFonts w:eastAsia="Times New Roman" w:cs="Times New Roman" w:ascii="Times New Roman" w:hAnsi="Times New Roman"/>
          <w:color w:val="auto"/>
          <w:kern w:val="0"/>
          <w:sz w:val="24"/>
          <w:szCs w:val="24"/>
          <w:lang w:val="cs-CZ" w:eastAsia="cs-CZ" w:bidi="ar-SA"/>
        </w:rPr>
        <w:t>xxx</w:t>
      </w:r>
    </w:p>
    <w:p>
      <w:pPr>
        <w:pStyle w:val="Normal"/>
        <w:jc w:val="both"/>
        <w:rPr>
          <w:rFonts w:ascii="Times New Roman" w:hAnsi="Times New Roman"/>
          <w:szCs w:val="24"/>
        </w:rPr>
      </w:pPr>
      <w:r>
        <w:rPr>
          <w:rFonts w:ascii="Times New Roman" w:hAnsi="Times New Roman"/>
          <w:b/>
          <w:szCs w:val="24"/>
        </w:rPr>
        <w:t xml:space="preserve">    </w:t>
      </w:r>
      <w:r>
        <w:rPr>
          <w:rFonts w:ascii="Times New Roman" w:hAnsi="Times New Roman"/>
          <w:szCs w:val="24"/>
        </w:rPr>
        <w:t xml:space="preserve">(dále jen </w:t>
      </w:r>
      <w:r>
        <w:rPr>
          <w:rFonts w:ascii="Times New Roman" w:hAnsi="Times New Roman"/>
          <w:b/>
          <w:szCs w:val="24"/>
        </w:rPr>
        <w:t>„pořadatel“</w:t>
      </w:r>
      <w:r>
        <w:rPr>
          <w:rFonts w:ascii="Times New Roman" w:hAnsi="Times New Roman"/>
          <w:szCs w:val="24"/>
        </w:rPr>
        <w:t xml:space="preserve">) </w:t>
      </w:r>
      <w:r>
        <w:rPr>
          <w:rFonts w:ascii="Times New Roman" w:hAnsi="Times New Roman"/>
          <w:i/>
          <w:iCs/>
          <w:szCs w:val="24"/>
        </w:rPr>
        <w:t>na straně jedné</w:t>
      </w:r>
    </w:p>
    <w:p>
      <w:pPr>
        <w:pStyle w:val="Normal"/>
        <w:tabs>
          <w:tab w:val="clear" w:pos="708"/>
          <w:tab w:val="left" w:pos="426" w:leader="none"/>
        </w:tabs>
        <w:ind w:left="780" w:hanging="0"/>
        <w:jc w:val="both"/>
        <w:rPr>
          <w:rFonts w:ascii="Times New Roman" w:hAnsi="Times New Roman"/>
          <w:b/>
          <w:b/>
          <w:szCs w:val="24"/>
        </w:rPr>
      </w:pPr>
      <w:r>
        <w:rPr>
          <w:rFonts w:ascii="Times New Roman" w:hAnsi="Times New Roman"/>
          <w:b/>
          <w:szCs w:val="24"/>
        </w:rPr>
      </w:r>
    </w:p>
    <w:p>
      <w:pPr>
        <w:pStyle w:val="Normal"/>
        <w:jc w:val="both"/>
        <w:rPr>
          <w:rFonts w:ascii="Times New Roman" w:hAnsi="Times New Roman"/>
          <w:b/>
          <w:b/>
          <w:szCs w:val="24"/>
        </w:rPr>
      </w:pPr>
      <w:r>
        <w:rPr>
          <w:rFonts w:ascii="Times New Roman" w:hAnsi="Times New Roman"/>
          <w:b/>
          <w:szCs w:val="24"/>
        </w:rPr>
      </w:r>
    </w:p>
    <w:p>
      <w:pPr>
        <w:pStyle w:val="Normal"/>
        <w:jc w:val="both"/>
        <w:rPr>
          <w:rFonts w:ascii="Times New Roman" w:hAnsi="Times New Roman"/>
          <w:b/>
          <w:b/>
          <w:szCs w:val="24"/>
        </w:rPr>
      </w:pPr>
      <w:r>
        <w:rPr>
          <w:rFonts w:ascii="Times New Roman" w:hAnsi="Times New Roman"/>
          <w:b/>
          <w:szCs w:val="24"/>
        </w:rPr>
        <w:t>2. Janis Sidovský</w:t>
      </w:r>
    </w:p>
    <w:p>
      <w:pPr>
        <w:pStyle w:val="Normal"/>
        <w:jc w:val="both"/>
        <w:rPr>
          <w:rFonts w:ascii="Times New Roman" w:hAnsi="Times New Roman"/>
          <w:bCs/>
          <w:szCs w:val="24"/>
        </w:rPr>
      </w:pPr>
      <w:r>
        <w:rPr>
          <w:rFonts w:ascii="Times New Roman" w:hAnsi="Times New Roman"/>
          <w:b/>
          <w:szCs w:val="24"/>
        </w:rPr>
        <w:t xml:space="preserve">    </w:t>
      </w:r>
      <w:r>
        <w:rPr>
          <w:rFonts w:ascii="Times New Roman" w:hAnsi="Times New Roman"/>
          <w:bCs/>
          <w:szCs w:val="24"/>
        </w:rPr>
        <w:t>se sídlem: Budňany, Karlštejn 136, okres Beroun, 267 18</w:t>
      </w:r>
    </w:p>
    <w:p>
      <w:pPr>
        <w:pStyle w:val="Normal"/>
        <w:jc w:val="both"/>
        <w:rPr>
          <w:rFonts w:ascii="Times New Roman" w:hAnsi="Times New Roman"/>
          <w:bCs/>
          <w:szCs w:val="24"/>
        </w:rPr>
      </w:pPr>
      <w:r>
        <w:rPr>
          <w:rFonts w:ascii="Times New Roman" w:hAnsi="Times New Roman"/>
          <w:bCs/>
          <w:szCs w:val="24"/>
        </w:rPr>
        <w:t xml:space="preserve">    </w:t>
      </w:r>
      <w:r>
        <w:rPr>
          <w:rFonts w:ascii="Times New Roman" w:hAnsi="Times New Roman"/>
          <w:bCs/>
          <w:szCs w:val="24"/>
        </w:rPr>
        <w:t>IČO: 6137568</w:t>
      </w:r>
    </w:p>
    <w:p>
      <w:pPr>
        <w:pStyle w:val="Normal"/>
        <w:jc w:val="both"/>
        <w:rPr/>
      </w:pPr>
      <w:r>
        <w:rPr>
          <w:rFonts w:ascii="Times New Roman" w:hAnsi="Times New Roman"/>
          <w:bCs/>
          <w:szCs w:val="24"/>
        </w:rPr>
        <w:t xml:space="preserve">    </w:t>
      </w:r>
      <w:r>
        <w:rPr>
          <w:rFonts w:ascii="Times New Roman" w:hAnsi="Times New Roman"/>
          <w:bCs/>
          <w:szCs w:val="24"/>
        </w:rPr>
        <w:t xml:space="preserve">kontaktní spojení: Janis Sidovský, telefon </w:t>
      </w:r>
      <w:r>
        <w:rPr>
          <w:rFonts w:eastAsia="Times New Roman" w:cs="Times New Roman" w:ascii="Times New Roman" w:hAnsi="Times New Roman"/>
          <w:bCs/>
          <w:color w:val="auto"/>
          <w:kern w:val="0"/>
          <w:sz w:val="24"/>
          <w:szCs w:val="24"/>
          <w:lang w:val="cs-CZ" w:eastAsia="cs-CZ" w:bidi="ar-SA"/>
        </w:rPr>
        <w:t>xxx</w:t>
      </w:r>
      <w:r>
        <w:rPr>
          <w:rFonts w:ascii="Times New Roman" w:hAnsi="Times New Roman"/>
          <w:bCs/>
          <w:szCs w:val="24"/>
        </w:rPr>
        <w:t xml:space="preserve">, email: </w:t>
      </w:r>
      <w:r>
        <w:rPr>
          <w:rFonts w:eastAsia="Times New Roman" w:cs="Times New Roman" w:ascii="Times New Roman" w:hAnsi="Times New Roman"/>
          <w:bCs/>
          <w:color w:val="auto"/>
          <w:kern w:val="0"/>
          <w:sz w:val="24"/>
          <w:szCs w:val="24"/>
          <w:lang w:val="cs-CZ" w:eastAsia="cs-CZ" w:bidi="ar-SA"/>
        </w:rPr>
        <w:t>xxx</w:t>
      </w:r>
    </w:p>
    <w:p>
      <w:pPr>
        <w:pStyle w:val="Normal"/>
        <w:jc w:val="both"/>
        <w:rPr>
          <w:rFonts w:ascii="Times New Roman" w:hAnsi="Times New Roman"/>
          <w:szCs w:val="24"/>
        </w:rPr>
      </w:pPr>
      <w:r>
        <w:rPr>
          <w:rFonts w:ascii="Times New Roman" w:hAnsi="Times New Roman"/>
          <w:bCs/>
          <w:szCs w:val="24"/>
        </w:rPr>
        <w:t xml:space="preserve">  </w:t>
      </w:r>
      <w:r>
        <w:rPr>
          <w:rFonts w:ascii="Times New Roman" w:hAnsi="Times New Roman"/>
          <w:b/>
          <w:szCs w:val="24"/>
        </w:rPr>
        <w:t xml:space="preserve"> </w:t>
      </w:r>
      <w:r>
        <w:rPr>
          <w:rFonts w:ascii="Times New Roman" w:hAnsi="Times New Roman"/>
          <w:szCs w:val="24"/>
        </w:rPr>
        <w:t>(dále jen „</w:t>
      </w:r>
      <w:r>
        <w:rPr>
          <w:rFonts w:ascii="Times New Roman" w:hAnsi="Times New Roman"/>
          <w:b/>
          <w:szCs w:val="24"/>
        </w:rPr>
        <w:t>partner</w:t>
      </w:r>
      <w:r>
        <w:rPr>
          <w:rFonts w:ascii="Times New Roman" w:hAnsi="Times New Roman"/>
          <w:szCs w:val="24"/>
        </w:rPr>
        <w:t xml:space="preserve">“) </w:t>
      </w:r>
      <w:r>
        <w:rPr>
          <w:rFonts w:ascii="Times New Roman" w:hAnsi="Times New Roman"/>
          <w:i/>
          <w:iCs/>
          <w:szCs w:val="24"/>
        </w:rPr>
        <w:t>na straně druhé</w:t>
      </w:r>
    </w:p>
    <w:p>
      <w:pPr>
        <w:pStyle w:val="Normal"/>
        <w:jc w:val="both"/>
        <w:rPr>
          <w:rFonts w:ascii="Times New Roman" w:hAnsi="Times New Roman"/>
          <w:szCs w:val="24"/>
        </w:rPr>
      </w:pPr>
      <w:r>
        <w:rPr>
          <w:rFonts w:ascii="Times New Roman" w:hAnsi="Times New Roman"/>
          <w:szCs w:val="24"/>
        </w:rPr>
      </w:r>
    </w:p>
    <w:p>
      <w:pPr>
        <w:pStyle w:val="Normal"/>
        <w:jc w:val="both"/>
        <w:rPr>
          <w:rFonts w:ascii="Times New Roman" w:hAnsi="Times New Roman"/>
          <w:szCs w:val="24"/>
        </w:rPr>
      </w:pPr>
      <w:r>
        <w:rPr>
          <w:rFonts w:ascii="Times New Roman" w:hAnsi="Times New Roman"/>
          <w:szCs w:val="24"/>
        </w:rPr>
        <w:t>Smluvní strany se dohodly takto:</w:t>
      </w:r>
    </w:p>
    <w:p>
      <w:pPr>
        <w:pStyle w:val="Normal"/>
        <w:jc w:val="center"/>
        <w:rPr>
          <w:rFonts w:ascii="Times New Roman" w:hAnsi="Times New Roman"/>
          <w:b/>
          <w:b/>
          <w:szCs w:val="24"/>
        </w:rPr>
      </w:pPr>
      <w:r>
        <w:rPr>
          <w:rFonts w:ascii="Times New Roman" w:hAnsi="Times New Roman"/>
          <w:b/>
          <w:szCs w:val="24"/>
        </w:rPr>
        <w:t>I.</w:t>
      </w:r>
    </w:p>
    <w:p>
      <w:pPr>
        <w:pStyle w:val="Normal"/>
        <w:jc w:val="center"/>
        <w:rPr>
          <w:rFonts w:ascii="Times New Roman" w:hAnsi="Times New Roman"/>
          <w:b/>
          <w:b/>
          <w:szCs w:val="24"/>
          <w:u w:val="single"/>
        </w:rPr>
      </w:pPr>
      <w:r>
        <w:rPr>
          <w:rFonts w:ascii="Times New Roman" w:hAnsi="Times New Roman"/>
          <w:b/>
          <w:szCs w:val="24"/>
          <w:u w:val="single"/>
        </w:rPr>
        <w:t>Předmět smlouvy</w:t>
      </w:r>
    </w:p>
    <w:p>
      <w:pPr>
        <w:pStyle w:val="Normal"/>
        <w:jc w:val="center"/>
        <w:rPr>
          <w:rFonts w:ascii="Times New Roman" w:hAnsi="Times New Roman"/>
          <w:b/>
          <w:b/>
          <w:szCs w:val="24"/>
        </w:rPr>
      </w:pPr>
      <w:r>
        <w:rPr>
          <w:rFonts w:ascii="Times New Roman" w:hAnsi="Times New Roman"/>
          <w:b/>
          <w:szCs w:val="24"/>
        </w:rPr>
      </w:r>
    </w:p>
    <w:p>
      <w:pPr>
        <w:pStyle w:val="Normal"/>
        <w:ind w:left="426" w:hanging="0"/>
        <w:jc w:val="both"/>
        <w:rPr>
          <w:rFonts w:ascii="Times New Roman" w:hAnsi="Times New Roman"/>
          <w:szCs w:val="24"/>
        </w:rPr>
      </w:pPr>
      <w:r>
        <w:rPr>
          <w:rFonts w:ascii="Times New Roman" w:hAnsi="Times New Roman"/>
          <w:szCs w:val="24"/>
        </w:rPr>
        <w:t xml:space="preserve">Předmětem této smlouvy je definování práv a povinností smluvních stran při realizaci uměleckého výkonu </w:t>
      </w:r>
      <w:r>
        <w:rPr>
          <w:rFonts w:ascii="Times New Roman" w:hAnsi="Times New Roman"/>
          <w:b/>
          <w:szCs w:val="24"/>
        </w:rPr>
        <w:t>skupiny 4 Tenoři – Marian Vojtko, Pavel Vítek, Jan Kříž a Michal Bragagnolo za doprovodu Unique Quartet a hudebníků (</w:t>
      </w:r>
      <w:r>
        <w:rPr>
          <w:rFonts w:ascii="Times New Roman" w:hAnsi="Times New Roman"/>
          <w:szCs w:val="24"/>
        </w:rPr>
        <w:t>dále jen „vystoupení“ nebo „výkon“) na níže specifikované akci za níže stanovených podmínek (dále jen "akce"), organizačně zajišťované pořadatelem.</w:t>
      </w:r>
    </w:p>
    <w:p>
      <w:pPr>
        <w:pStyle w:val="Normal"/>
        <w:jc w:val="center"/>
        <w:rPr>
          <w:rFonts w:ascii="Times New Roman" w:hAnsi="Times New Roman"/>
          <w:b/>
          <w:b/>
          <w:szCs w:val="24"/>
        </w:rPr>
      </w:pPr>
      <w:r>
        <w:rPr>
          <w:rFonts w:ascii="Times New Roman" w:hAnsi="Times New Roman"/>
          <w:b/>
          <w:szCs w:val="24"/>
        </w:rPr>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szCs w:val="24"/>
        </w:rPr>
      </w:pPr>
      <w:r>
        <w:rPr>
          <w:rFonts w:ascii="Times New Roman" w:hAnsi="Times New Roman"/>
          <w:b/>
          <w:szCs w:val="24"/>
        </w:rPr>
        <w:t>Název akce</w:t>
      </w:r>
      <w:r>
        <w:rPr>
          <w:rFonts w:ascii="Times New Roman" w:hAnsi="Times New Roman"/>
          <w:szCs w:val="24"/>
        </w:rPr>
        <w:t>:</w:t>
        <w:tab/>
        <w:tab/>
        <w:tab/>
        <w:t>4 Tenoři – Vánoční galakoncert</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szCs w:val="24"/>
        </w:rPr>
      </w:pPr>
      <w:r>
        <w:rPr>
          <w:rFonts w:ascii="Times New Roman" w:hAnsi="Times New Roman"/>
          <w:b/>
          <w:szCs w:val="24"/>
        </w:rPr>
        <w:t>Místo konání akce</w:t>
      </w:r>
      <w:r>
        <w:rPr>
          <w:rFonts w:ascii="Times New Roman" w:hAnsi="Times New Roman"/>
          <w:szCs w:val="24"/>
        </w:rPr>
        <w:t>:</w:t>
        <w:tab/>
        <w:tab/>
        <w:t>MKS Jaroměř</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b/>
          <w:b/>
          <w:bCs/>
          <w:szCs w:val="24"/>
        </w:rPr>
      </w:pPr>
      <w:r>
        <w:rPr>
          <w:rFonts w:ascii="Times New Roman" w:hAnsi="Times New Roman"/>
          <w:b/>
          <w:bCs/>
          <w:szCs w:val="24"/>
        </w:rPr>
        <w:t xml:space="preserve">Maximální kapacita hlediště: </w:t>
      </w:r>
      <w:r>
        <w:rPr>
          <w:rFonts w:ascii="Times New Roman" w:hAnsi="Times New Roman"/>
          <w:szCs w:val="24"/>
        </w:rPr>
        <w:t>399 osob</w:t>
      </w:r>
    </w:p>
    <w:p>
      <w:pPr>
        <w:pStyle w:val="Normal"/>
        <w:numPr>
          <w:ilvl w:val="0"/>
          <w:numId w:val="0"/>
        </w:numPr>
        <w:pBdr>
          <w:top w:val="single" w:sz="4" w:space="1" w:color="000000"/>
          <w:left w:val="single" w:sz="4" w:space="4" w:color="000000"/>
          <w:bottom w:val="single" w:sz="4" w:space="0" w:color="000000"/>
          <w:right w:val="single" w:sz="4" w:space="4" w:color="000000"/>
        </w:pBdr>
        <w:jc w:val="both"/>
        <w:outlineLvl w:val="0"/>
        <w:rPr>
          <w:rFonts w:ascii="Times New Roman" w:hAnsi="Times New Roman"/>
          <w:szCs w:val="24"/>
        </w:rPr>
      </w:pPr>
      <w:r>
        <w:rPr>
          <w:rFonts w:ascii="Times New Roman" w:hAnsi="Times New Roman"/>
          <w:b/>
          <w:szCs w:val="24"/>
        </w:rPr>
        <w:t>Datum konání akce</w:t>
      </w:r>
      <w:r>
        <w:rPr>
          <w:rFonts w:ascii="Times New Roman" w:hAnsi="Times New Roman"/>
          <w:szCs w:val="24"/>
        </w:rPr>
        <w:t>:</w:t>
        <w:tab/>
        <w:tab/>
        <w:t>sobota 7. prosince 2024</w:t>
      </w:r>
    </w:p>
    <w:p>
      <w:pPr>
        <w:pStyle w:val="Normal"/>
        <w:numPr>
          <w:ilvl w:val="0"/>
          <w:numId w:val="0"/>
        </w:numPr>
        <w:pBdr>
          <w:top w:val="single" w:sz="4" w:space="1" w:color="000000"/>
          <w:left w:val="single" w:sz="4" w:space="4" w:color="000000"/>
          <w:bottom w:val="single" w:sz="4" w:space="0" w:color="000000"/>
          <w:right w:val="single" w:sz="4" w:space="4" w:color="000000"/>
        </w:pBdr>
        <w:jc w:val="both"/>
        <w:outlineLvl w:val="0"/>
        <w:rPr>
          <w:rFonts w:ascii="Times New Roman" w:hAnsi="Times New Roman"/>
          <w:szCs w:val="24"/>
        </w:rPr>
      </w:pPr>
      <w:r>
        <w:rPr>
          <w:rFonts w:ascii="Times New Roman" w:hAnsi="Times New Roman"/>
          <w:b/>
          <w:szCs w:val="24"/>
        </w:rPr>
        <w:t>Začátek vystoupení</w:t>
      </w:r>
      <w:r>
        <w:rPr>
          <w:rFonts w:ascii="Times New Roman" w:hAnsi="Times New Roman"/>
          <w:szCs w:val="24"/>
        </w:rPr>
        <w:t>:</w:t>
        <w:tab/>
        <w:tab/>
        <w:t>19:00</w:t>
      </w:r>
    </w:p>
    <w:p>
      <w:pPr>
        <w:pStyle w:val="Normal"/>
        <w:numPr>
          <w:ilvl w:val="0"/>
          <w:numId w:val="0"/>
        </w:numPr>
        <w:pBdr>
          <w:top w:val="single" w:sz="4" w:space="1" w:color="000000"/>
          <w:left w:val="single" w:sz="4" w:space="4" w:color="000000"/>
          <w:bottom w:val="single" w:sz="4" w:space="0" w:color="000000"/>
          <w:right w:val="single" w:sz="4" w:space="4" w:color="000000"/>
        </w:pBdr>
        <w:jc w:val="both"/>
        <w:outlineLvl w:val="0"/>
        <w:rPr>
          <w:rFonts w:ascii="Times New Roman" w:hAnsi="Times New Roman"/>
          <w:szCs w:val="24"/>
        </w:rPr>
      </w:pPr>
      <w:r>
        <w:rPr>
          <w:rFonts w:ascii="Times New Roman" w:hAnsi="Times New Roman"/>
          <w:b/>
          <w:szCs w:val="24"/>
        </w:rPr>
        <w:t>Konec vystoupení</w:t>
      </w:r>
      <w:r>
        <w:rPr>
          <w:rFonts w:ascii="Times New Roman" w:hAnsi="Times New Roman"/>
          <w:szCs w:val="24"/>
        </w:rPr>
        <w:t>:</w:t>
        <w:tab/>
        <w:tab/>
        <w:t>20:30</w:t>
      </w:r>
    </w:p>
    <w:p>
      <w:pPr>
        <w:pStyle w:val="Normal"/>
        <w:numPr>
          <w:ilvl w:val="0"/>
          <w:numId w:val="0"/>
        </w:numPr>
        <w:pBdr>
          <w:top w:val="single" w:sz="4" w:space="1" w:color="000000"/>
          <w:left w:val="single" w:sz="4" w:space="4" w:color="000000"/>
          <w:bottom w:val="single" w:sz="4" w:space="0" w:color="000000"/>
          <w:right w:val="single" w:sz="4" w:space="4" w:color="000000"/>
        </w:pBdr>
        <w:jc w:val="both"/>
        <w:outlineLvl w:val="0"/>
        <w:rPr>
          <w:rFonts w:ascii="Times New Roman" w:hAnsi="Times New Roman"/>
          <w:szCs w:val="24"/>
        </w:rPr>
      </w:pPr>
      <w:r>
        <w:rPr>
          <w:rFonts w:ascii="Times New Roman" w:hAnsi="Times New Roman"/>
          <w:b/>
          <w:szCs w:val="24"/>
        </w:rPr>
        <w:t>Zvuková zkouška:</w:t>
        <w:tab/>
        <w:tab/>
      </w:r>
      <w:r>
        <w:rPr>
          <w:rFonts w:ascii="Times New Roman" w:hAnsi="Times New Roman"/>
          <w:bCs/>
          <w:szCs w:val="24"/>
        </w:rPr>
        <w:t>17:15</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szCs w:val="24"/>
        </w:rPr>
      </w:pPr>
      <w:r>
        <w:rPr>
          <w:rFonts w:ascii="Times New Roman" w:hAnsi="Times New Roman"/>
          <w:b/>
          <w:szCs w:val="24"/>
        </w:rPr>
        <w:t>Rozsah vystoupení</w:t>
      </w:r>
      <w:r>
        <w:rPr>
          <w:rFonts w:ascii="Times New Roman" w:hAnsi="Times New Roman"/>
          <w:szCs w:val="24"/>
        </w:rPr>
        <w:tab/>
        <w:t>:</w:t>
        <w:tab/>
        <w:t>90 minut bez přestávky</w:t>
      </w:r>
    </w:p>
    <w:p>
      <w:pPr>
        <w:pStyle w:val="Normal"/>
        <w:numPr>
          <w:ilvl w:val="0"/>
          <w:numId w:val="0"/>
        </w:numPr>
        <w:jc w:val="cente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t>II.</w:t>
      </w:r>
    </w:p>
    <w:p>
      <w:pPr>
        <w:pStyle w:val="Normal"/>
        <w:numPr>
          <w:ilvl w:val="0"/>
          <w:numId w:val="0"/>
        </w:numPr>
        <w:jc w:val="center"/>
        <w:outlineLvl w:val="0"/>
        <w:rPr>
          <w:rFonts w:ascii="Times New Roman" w:hAnsi="Times New Roman"/>
          <w:b/>
          <w:b/>
          <w:szCs w:val="24"/>
          <w:u w:val="single"/>
        </w:rPr>
      </w:pPr>
      <w:r>
        <w:rPr>
          <w:rFonts w:ascii="Times New Roman" w:hAnsi="Times New Roman"/>
          <w:b/>
          <w:szCs w:val="24"/>
          <w:u w:val="single"/>
        </w:rPr>
        <w:t>Práva a povinnosti pořadatele</w:t>
      </w:r>
    </w:p>
    <w:p>
      <w:pPr>
        <w:pStyle w:val="Normln1"/>
        <w:spacing w:lineRule="auto" w:line="218"/>
        <w:jc w:val="both"/>
        <w:rPr>
          <w:szCs w:val="24"/>
        </w:rPr>
      </w:pPr>
      <w:r>
        <w:rPr>
          <w:szCs w:val="24"/>
        </w:rPr>
      </w:r>
    </w:p>
    <w:p>
      <w:pPr>
        <w:pStyle w:val="Normal"/>
        <w:numPr>
          <w:ilvl w:val="0"/>
          <w:numId w:val="1"/>
        </w:numPr>
        <w:jc w:val="both"/>
        <w:rPr>
          <w:rFonts w:ascii="Times New Roman" w:hAnsi="Times New Roman" w:eastAsia="Arial Unicode MS"/>
          <w:szCs w:val="24"/>
        </w:rPr>
      </w:pPr>
      <w:r>
        <w:rPr>
          <w:rFonts w:eastAsia="Arial Unicode MS" w:ascii="Times New Roman" w:hAnsi="Times New Roman"/>
          <w:szCs w:val="24"/>
        </w:rPr>
        <w:t>Pořadatel se zavazuje řádně zajistit organizaci akce, zejména zajistit potřebná povolení k jejímu pořádání a dostatečnou pořadatelskou službu.</w:t>
      </w:r>
    </w:p>
    <w:p>
      <w:pPr>
        <w:pStyle w:val="Normal"/>
        <w:ind w:left="360" w:hanging="0"/>
        <w:jc w:val="both"/>
        <w:rPr>
          <w:rFonts w:ascii="Times New Roman" w:hAnsi="Times New Roman" w:eastAsia="Arial Unicode MS"/>
          <w:szCs w:val="24"/>
        </w:rPr>
      </w:pPr>
      <w:r>
        <w:rPr>
          <w:rFonts w:eastAsia="Arial Unicode MS" w:ascii="Times New Roman" w:hAnsi="Times New Roman"/>
          <w:szCs w:val="24"/>
        </w:rPr>
      </w:r>
    </w:p>
    <w:p>
      <w:pPr>
        <w:pStyle w:val="Normal"/>
        <w:numPr>
          <w:ilvl w:val="0"/>
          <w:numId w:val="1"/>
        </w:numPr>
        <w:jc w:val="both"/>
        <w:rPr/>
      </w:pPr>
      <w:r>
        <w:rPr>
          <w:rFonts w:ascii="Times New Roman" w:hAnsi="Times New Roman"/>
          <w:szCs w:val="24"/>
        </w:rPr>
        <w:t xml:space="preserve">Pořadatel se zavazuje zajistit a dodržet technické podmínky vystoupení dle přílohy této smlouvy. Kontakt na technika je Jan Včelák: </w:t>
      </w:r>
      <w:r>
        <w:rPr>
          <w:rFonts w:eastAsia="Times New Roman" w:cs="Times New Roman" w:ascii="Times New Roman" w:hAnsi="Times New Roman"/>
          <w:color w:val="auto"/>
          <w:kern w:val="0"/>
          <w:sz w:val="24"/>
          <w:szCs w:val="24"/>
          <w:lang w:val="cs-CZ" w:eastAsia="cs-CZ" w:bidi="ar-SA"/>
        </w:rPr>
        <w:t>xxx</w:t>
      </w:r>
    </w:p>
    <w:p>
      <w:pPr>
        <w:pStyle w:val="Normal"/>
        <w:ind w:left="720" w:hanging="0"/>
        <w:jc w:val="both"/>
        <w:rPr>
          <w:rFonts w:ascii="Times New Roman" w:hAnsi="Times New Roman" w:eastAsia="Arial Unicode MS"/>
          <w:color w:val="FF0000"/>
          <w:szCs w:val="24"/>
        </w:rPr>
      </w:pPr>
      <w:r>
        <w:rPr>
          <w:rFonts w:eastAsia="Arial Unicode MS" w:ascii="Times New Roman" w:hAnsi="Times New Roman"/>
          <w:color w:val="FF0000"/>
          <w:szCs w:val="24"/>
        </w:rPr>
      </w:r>
    </w:p>
    <w:p>
      <w:pPr>
        <w:pStyle w:val="Normal"/>
        <w:numPr>
          <w:ilvl w:val="0"/>
          <w:numId w:val="1"/>
        </w:numPr>
        <w:jc w:val="both"/>
        <w:rPr>
          <w:rFonts w:ascii="Times New Roman" w:hAnsi="Times New Roman" w:eastAsia="Arial Unicode MS"/>
          <w:color w:val="FF0000"/>
          <w:szCs w:val="24"/>
        </w:rPr>
      </w:pPr>
      <w:r>
        <w:rPr>
          <w:rFonts w:ascii="Times New Roman" w:hAnsi="Times New Roman"/>
          <w:szCs w:val="24"/>
        </w:rPr>
        <w:t>Pořadatel zajistí bezplatné parkování pro 5 vozidel v blízkosti konání vystoupení.</w:t>
      </w:r>
    </w:p>
    <w:p>
      <w:pPr>
        <w:pStyle w:val="Normal"/>
        <w:jc w:val="both"/>
        <w:rPr>
          <w:rFonts w:ascii="Times New Roman" w:hAnsi="Times New Roman" w:eastAsia="Arial Unicode MS"/>
          <w:szCs w:val="24"/>
        </w:rPr>
      </w:pPr>
      <w:r>
        <w:rPr>
          <w:rFonts w:eastAsia="Arial Unicode MS" w:ascii="Times New Roman" w:hAnsi="Times New Roman"/>
          <w:szCs w:val="24"/>
        </w:rPr>
      </w:r>
    </w:p>
    <w:p>
      <w:pPr>
        <w:pStyle w:val="Normal"/>
        <w:numPr>
          <w:ilvl w:val="0"/>
          <w:numId w:val="1"/>
        </w:numPr>
        <w:jc w:val="both"/>
        <w:rPr>
          <w:rFonts w:ascii="Times New Roman" w:hAnsi="Times New Roman"/>
          <w:szCs w:val="24"/>
        </w:rPr>
      </w:pPr>
      <w:r>
        <w:rPr>
          <w:rFonts w:ascii="Times New Roman" w:hAnsi="Times New Roman"/>
          <w:szCs w:val="24"/>
        </w:rPr>
        <w:t>Pořadatel garantuje, že na jevišti včetně horizontu nebudou po dobu vystoupení 4 Tenorů žádná loga komerčních ani státních subjektů, neziskových organizací ani politických stran.</w:t>
      </w:r>
    </w:p>
    <w:p>
      <w:pPr>
        <w:pStyle w:val="Normal"/>
        <w:jc w:val="both"/>
        <w:rPr>
          <w:rFonts w:ascii="Times New Roman" w:hAnsi="Times New Roman" w:eastAsia="Arial Unicode MS"/>
          <w:szCs w:val="24"/>
        </w:rPr>
      </w:pPr>
      <w:r>
        <w:rPr>
          <w:rFonts w:eastAsia="Arial Unicode MS" w:ascii="Times New Roman" w:hAnsi="Times New Roman"/>
          <w:szCs w:val="24"/>
        </w:rPr>
      </w:r>
    </w:p>
    <w:p>
      <w:pPr>
        <w:pStyle w:val="Normal"/>
        <w:numPr>
          <w:ilvl w:val="0"/>
          <w:numId w:val="1"/>
        </w:numPr>
        <w:overflowPunct w:val="false"/>
        <w:jc w:val="both"/>
        <w:textAlignment w:val="baseline"/>
        <w:rPr>
          <w:rFonts w:ascii="Times New Roman" w:hAnsi="Times New Roman" w:eastAsia="Arial Unicode MS"/>
          <w:szCs w:val="24"/>
        </w:rPr>
      </w:pPr>
      <w:r>
        <w:rPr>
          <w:rFonts w:eastAsia="Arial Unicode MS" w:ascii="Times New Roman" w:hAnsi="Times New Roman"/>
          <w:szCs w:val="24"/>
        </w:rPr>
        <w:t>Partner uděluje pořadateli svolení, aby pro účely propagace akce použil přiměřeným způsobem a v přiměřeném rozsahu způsobem nepoškozujícím oprávněné zájmy skupiny 4 Tenoři, jméno a příjmení sólistů a obrazové snímky, a to bez nároku na další odměnu.</w:t>
      </w:r>
    </w:p>
    <w:p>
      <w:pPr>
        <w:pStyle w:val="Normal"/>
        <w:overflowPunct w:val="false"/>
        <w:jc w:val="both"/>
        <w:textAlignment w:val="baseline"/>
        <w:rPr>
          <w:rFonts w:ascii="Times New Roman" w:hAnsi="Times New Roman" w:eastAsia="Arial Unicode MS"/>
          <w:szCs w:val="24"/>
        </w:rPr>
      </w:pPr>
      <w:r>
        <w:rPr>
          <w:rFonts w:eastAsia="Arial Unicode MS" w:ascii="Times New Roman" w:hAnsi="Times New Roman"/>
          <w:szCs w:val="24"/>
        </w:rPr>
      </w:r>
    </w:p>
    <w:p>
      <w:pPr>
        <w:pStyle w:val="Normal"/>
        <w:numPr>
          <w:ilvl w:val="0"/>
          <w:numId w:val="1"/>
        </w:numPr>
        <w:overflowPunct w:val="false"/>
        <w:jc w:val="both"/>
        <w:textAlignment w:val="baseline"/>
        <w:rPr>
          <w:rFonts w:ascii="Times New Roman" w:hAnsi="Times New Roman" w:eastAsia="Arial Unicode MS"/>
          <w:szCs w:val="24"/>
        </w:rPr>
      </w:pPr>
      <w:r>
        <w:rPr>
          <w:rFonts w:eastAsia="Arial Unicode MS" w:ascii="Times New Roman" w:hAnsi="Times New Roman"/>
          <w:szCs w:val="24"/>
        </w:rPr>
        <w:t>Pořadatel je povinen včas a v plné výši uhradit sjednanou odměnu uvedenou ve čl. IV této smlouvy.</w:t>
      </w:r>
    </w:p>
    <w:p>
      <w:pPr>
        <w:pStyle w:val="Normal"/>
        <w:rPr>
          <w:rFonts w:ascii="Times New Roman" w:hAnsi="Times New Roman" w:eastAsia="Arial Unicode MS"/>
          <w:szCs w:val="24"/>
        </w:rPr>
      </w:pPr>
      <w:r>
        <w:rPr>
          <w:rFonts w:eastAsia="Arial Unicode MS" w:ascii="Times New Roman" w:hAnsi="Times New Roman"/>
          <w:szCs w:val="24"/>
        </w:rPr>
      </w:r>
    </w:p>
    <w:p>
      <w:pPr>
        <w:pStyle w:val="Normal"/>
        <w:numPr>
          <w:ilvl w:val="0"/>
          <w:numId w:val="1"/>
        </w:numPr>
        <w:overflowPunct w:val="false"/>
        <w:jc w:val="both"/>
        <w:textAlignment w:val="baseline"/>
        <w:rPr>
          <w:rFonts w:ascii="Times New Roman" w:hAnsi="Times New Roman" w:eastAsia="Arial Unicode MS"/>
          <w:szCs w:val="24"/>
        </w:rPr>
      </w:pPr>
      <w:r>
        <w:rPr>
          <w:rFonts w:eastAsia="Arial Unicode MS" w:ascii="Times New Roman" w:hAnsi="Times New Roman"/>
          <w:szCs w:val="24"/>
        </w:rPr>
        <w:t>Pořadatel se zavazuje zajistit před vystoupením občerstvení pro 12 osob dle požadavků umělce, které musí být pořadateli sděleny nejpozději 7 dní před konáním akce.</w:t>
      </w:r>
    </w:p>
    <w:p>
      <w:pPr>
        <w:pStyle w:val="ListParagraph"/>
        <w:rPr>
          <w:rFonts w:ascii="Times New Roman" w:hAnsi="Times New Roman" w:eastAsia="Arial Unicode MS"/>
          <w:szCs w:val="24"/>
        </w:rPr>
      </w:pPr>
      <w:r>
        <w:rPr>
          <w:rFonts w:eastAsia="Arial Unicode MS" w:ascii="Times New Roman" w:hAnsi="Times New Roman"/>
          <w:szCs w:val="24"/>
        </w:rPr>
      </w:r>
    </w:p>
    <w:p>
      <w:pPr>
        <w:pStyle w:val="Normal"/>
        <w:numPr>
          <w:ilvl w:val="0"/>
          <w:numId w:val="1"/>
        </w:numPr>
        <w:jc w:val="both"/>
        <w:rPr>
          <w:rFonts w:ascii="Times New Roman" w:hAnsi="Times New Roman"/>
          <w:szCs w:val="24"/>
        </w:rPr>
      </w:pPr>
      <w:r>
        <w:rPr>
          <w:rFonts w:ascii="Times New Roman" w:hAnsi="Times New Roman"/>
          <w:szCs w:val="24"/>
        </w:rPr>
        <w:t>Pořadatel umožní na místě konání koncertu prodej upomínkových předmětů a CD skupiny 4 Tenoři. Prodej zajistí partner na vlastní náklady, není-li dohodnuto jinak.</w:t>
      </w:r>
    </w:p>
    <w:p>
      <w:pPr>
        <w:pStyle w:val="Normal"/>
        <w:overflowPunct w:val="false"/>
        <w:jc w:val="both"/>
        <w:textAlignment w:val="baseline"/>
        <w:rPr>
          <w:rFonts w:ascii="Times New Roman" w:hAnsi="Times New Roman" w:eastAsia="Arial Unicode MS"/>
          <w:szCs w:val="24"/>
        </w:rPr>
      </w:pPr>
      <w:r>
        <w:rPr>
          <w:rFonts w:eastAsia="Arial Unicode MS" w:ascii="Times New Roman" w:hAnsi="Times New Roman"/>
          <w:szCs w:val="24"/>
        </w:rPr>
      </w:r>
    </w:p>
    <w:p>
      <w:pPr>
        <w:pStyle w:val="Normal"/>
        <w:overflowPunct w:val="false"/>
        <w:jc w:val="center"/>
        <w:textAlignment w:val="baseline"/>
        <w:rPr>
          <w:rFonts w:ascii="Times New Roman" w:hAnsi="Times New Roman" w:eastAsia="Arial Unicode MS"/>
          <w:b/>
          <w:b/>
          <w:szCs w:val="24"/>
        </w:rPr>
      </w:pPr>
      <w:r>
        <w:rPr>
          <w:rFonts w:eastAsia="Arial Unicode MS" w:ascii="Times New Roman" w:hAnsi="Times New Roman"/>
          <w:b/>
          <w:szCs w:val="24"/>
        </w:rPr>
        <w:t>III.</w:t>
      </w:r>
    </w:p>
    <w:p>
      <w:pPr>
        <w:pStyle w:val="Normal"/>
        <w:overflowPunct w:val="false"/>
        <w:jc w:val="center"/>
        <w:textAlignment w:val="baseline"/>
        <w:rPr>
          <w:rFonts w:ascii="Times New Roman" w:hAnsi="Times New Roman" w:eastAsia="Arial Unicode MS"/>
          <w:b/>
          <w:b/>
          <w:bCs/>
          <w:iCs/>
          <w:szCs w:val="24"/>
          <w:u w:val="single"/>
        </w:rPr>
      </w:pPr>
      <w:r>
        <w:rPr>
          <w:rFonts w:eastAsia="Arial Unicode MS" w:ascii="Times New Roman" w:hAnsi="Times New Roman"/>
          <w:b/>
          <w:bCs/>
          <w:iCs/>
          <w:szCs w:val="24"/>
          <w:u w:val="single"/>
        </w:rPr>
        <w:t>Práva a povinnosti partnera</w:t>
      </w:r>
    </w:p>
    <w:p>
      <w:pPr>
        <w:pStyle w:val="Normal"/>
        <w:overflowPunct w:val="false"/>
        <w:jc w:val="center"/>
        <w:textAlignment w:val="baseline"/>
        <w:rPr>
          <w:rFonts w:ascii="Times New Roman" w:hAnsi="Times New Roman" w:eastAsia="Arial Unicode MS"/>
          <w:szCs w:val="24"/>
        </w:rPr>
      </w:pPr>
      <w:r>
        <w:rPr>
          <w:rFonts w:eastAsia="Arial Unicode MS" w:ascii="Times New Roman" w:hAnsi="Times New Roman"/>
          <w:szCs w:val="24"/>
        </w:rPr>
      </w:r>
    </w:p>
    <w:p>
      <w:pPr>
        <w:pStyle w:val="Normal"/>
        <w:numPr>
          <w:ilvl w:val="0"/>
          <w:numId w:val="2"/>
        </w:numPr>
        <w:overflowPunct w:val="false"/>
        <w:jc w:val="both"/>
        <w:textAlignment w:val="baseline"/>
        <w:rPr>
          <w:rFonts w:ascii="Times New Roman" w:hAnsi="Times New Roman" w:eastAsia="Arial Unicode MS"/>
          <w:szCs w:val="24"/>
        </w:rPr>
      </w:pPr>
      <w:r>
        <w:rPr>
          <w:rFonts w:eastAsia="Arial Unicode MS" w:ascii="Times New Roman" w:hAnsi="Times New Roman"/>
          <w:szCs w:val="24"/>
        </w:rPr>
        <w:t>Partner je povinen zajistit, aby se umělec na místo konání akce dostavil s dostatečným předstihem před začátkem zvukové zkoušky a vystoupení.</w:t>
      </w:r>
    </w:p>
    <w:p>
      <w:pPr>
        <w:pStyle w:val="Normal"/>
        <w:overflowPunct w:val="false"/>
        <w:jc w:val="both"/>
        <w:textAlignment w:val="baseline"/>
        <w:rPr>
          <w:rFonts w:ascii="Times New Roman" w:hAnsi="Times New Roman" w:eastAsia="Arial Unicode MS"/>
          <w:szCs w:val="24"/>
        </w:rPr>
      </w:pPr>
      <w:r>
        <w:rPr>
          <w:rFonts w:eastAsia="Arial Unicode MS" w:ascii="Times New Roman" w:hAnsi="Times New Roman"/>
          <w:szCs w:val="24"/>
        </w:rPr>
      </w:r>
    </w:p>
    <w:p>
      <w:pPr>
        <w:pStyle w:val="Normal"/>
        <w:numPr>
          <w:ilvl w:val="0"/>
          <w:numId w:val="2"/>
        </w:numPr>
        <w:overflowPunct w:val="false"/>
        <w:jc w:val="both"/>
        <w:textAlignment w:val="baseline"/>
        <w:rPr>
          <w:rFonts w:ascii="Times New Roman" w:hAnsi="Times New Roman" w:eastAsia="Arial Unicode MS"/>
          <w:szCs w:val="24"/>
        </w:rPr>
      </w:pPr>
      <w:r>
        <w:rPr>
          <w:rFonts w:eastAsia="Arial Unicode MS" w:ascii="Times New Roman" w:hAnsi="Times New Roman"/>
          <w:szCs w:val="24"/>
        </w:rPr>
        <w:t xml:space="preserve">Partner je povinen zajistit, aby se umělec k provedení výkonu dostavil dokonale připravený a v takové kondici, aby mohl podat řádný a kvalitní výkon. </w:t>
      </w:r>
    </w:p>
    <w:p>
      <w:pPr>
        <w:pStyle w:val="Normal"/>
        <w:overflowPunct w:val="false"/>
        <w:jc w:val="both"/>
        <w:textAlignment w:val="baseline"/>
        <w:rPr>
          <w:rFonts w:ascii="Times New Roman" w:hAnsi="Times New Roman" w:eastAsia="Arial Unicode MS"/>
          <w:szCs w:val="24"/>
        </w:rPr>
      </w:pPr>
      <w:r>
        <w:rPr>
          <w:rFonts w:eastAsia="Arial Unicode MS" w:ascii="Times New Roman" w:hAnsi="Times New Roman"/>
          <w:szCs w:val="24"/>
        </w:rPr>
      </w:r>
    </w:p>
    <w:p>
      <w:pPr>
        <w:pStyle w:val="Normal"/>
        <w:numPr>
          <w:ilvl w:val="0"/>
          <w:numId w:val="2"/>
        </w:numPr>
        <w:jc w:val="both"/>
        <w:rPr>
          <w:rFonts w:ascii="Times New Roman" w:hAnsi="Times New Roman"/>
          <w:szCs w:val="24"/>
        </w:rPr>
      </w:pPr>
      <w:r>
        <w:rPr>
          <w:rFonts w:ascii="Times New Roman" w:hAnsi="Times New Roman"/>
          <w:szCs w:val="24"/>
        </w:rPr>
        <w:t xml:space="preserve">Partner prohlašuje, že je oprávněn k výkonu majetkových autorských práv skupiny 4 Tenoři, a to v rozsahu závazků převzatých touto smlouvou. </w:t>
      </w:r>
    </w:p>
    <w:p>
      <w:pPr>
        <w:pStyle w:val="ListParagraph"/>
        <w:rPr>
          <w:rFonts w:ascii="Times New Roman" w:hAnsi="Times New Roman"/>
          <w:szCs w:val="24"/>
        </w:rPr>
      </w:pPr>
      <w:r>
        <w:rPr>
          <w:rFonts w:ascii="Times New Roman" w:hAnsi="Times New Roman"/>
          <w:szCs w:val="24"/>
        </w:rPr>
      </w:r>
    </w:p>
    <w:p>
      <w:pPr>
        <w:pStyle w:val="Default"/>
        <w:numPr>
          <w:ilvl w:val="0"/>
          <w:numId w:val="2"/>
        </w:numPr>
        <w:rPr>
          <w:rFonts w:ascii="Times New Roman" w:hAnsi="Times New Roman" w:cs="Times New Roman"/>
        </w:rPr>
      </w:pPr>
      <w:r>
        <w:rPr>
          <w:rFonts w:cs="Times New Roman" w:ascii="Times New Roman" w:hAnsi="Times New Roman"/>
          <w:sz w:val="22"/>
          <w:szCs w:val="22"/>
        </w:rPr>
        <w:t>Není – li uvedeno jinak, partner zajišťuje pro umělce na vlastní náklady vše potřebné pro vlastní realizaci uměleckého výkonu (notové pulty, noty)</w:t>
      </w:r>
    </w:p>
    <w:p>
      <w:pPr>
        <w:pStyle w:val="ListParagraph"/>
        <w:rPr/>
      </w:pPr>
      <w:r>
        <w:rPr/>
      </w:r>
    </w:p>
    <w:p>
      <w:pPr>
        <w:pStyle w:val="Default"/>
        <w:numPr>
          <w:ilvl w:val="0"/>
          <w:numId w:val="2"/>
        </w:numPr>
        <w:rPr>
          <w:rFonts w:ascii="Times New Roman" w:hAnsi="Times New Roman" w:cs="Times New Roman"/>
        </w:rPr>
      </w:pPr>
      <w:r>
        <w:rPr>
          <w:rFonts w:cs="Times New Roman" w:ascii="Times New Roman" w:hAnsi="Times New Roman"/>
        </w:rPr>
        <w:t xml:space="preserve">Partner zveřejní termín a místo konání akce na webu a na FB profilu 4 Tenoři včetně linku na předprodej za předpokladu, že mu pořadatel poskytne včas a úplné informace.   </w:t>
      </w:r>
    </w:p>
    <w:p>
      <w:pPr>
        <w:pStyle w:val="Normal"/>
        <w:jc w:val="both"/>
        <w:rPr>
          <w:rFonts w:ascii="Times New Roman" w:hAnsi="Times New Roman"/>
          <w:szCs w:val="24"/>
        </w:rPr>
      </w:pPr>
      <w:r>
        <w:rPr>
          <w:rFonts w:ascii="Times New Roman" w:hAnsi="Times New Roman"/>
          <w:szCs w:val="24"/>
        </w:rPr>
      </w:r>
    </w:p>
    <w:p>
      <w:pPr>
        <w:pStyle w:val="Normal"/>
        <w:ind w:left="360" w:hanging="0"/>
        <w:jc w:val="center"/>
        <w:rPr>
          <w:rFonts w:ascii="Times New Roman" w:hAnsi="Times New Roman" w:eastAsia="Arial Unicode MS"/>
          <w:b/>
          <w:b/>
          <w:szCs w:val="24"/>
        </w:rPr>
      </w:pPr>
      <w:r>
        <w:rPr>
          <w:rFonts w:eastAsia="Arial Unicode MS" w:ascii="Times New Roman" w:hAnsi="Times New Roman"/>
          <w:b/>
          <w:szCs w:val="24"/>
        </w:rPr>
        <w:t>IV.</w:t>
      </w:r>
    </w:p>
    <w:p>
      <w:pPr>
        <w:pStyle w:val="Normal"/>
        <w:ind w:left="360" w:hanging="0"/>
        <w:jc w:val="center"/>
        <w:rPr>
          <w:rFonts w:ascii="Times New Roman" w:hAnsi="Times New Roman" w:eastAsia="Arial Unicode MS"/>
          <w:b/>
          <w:b/>
          <w:bCs/>
          <w:iCs/>
          <w:szCs w:val="24"/>
          <w:u w:val="single"/>
        </w:rPr>
      </w:pPr>
      <w:r>
        <w:rPr>
          <w:rFonts w:eastAsia="Arial Unicode MS" w:ascii="Times New Roman" w:hAnsi="Times New Roman"/>
          <w:b/>
          <w:bCs/>
          <w:iCs/>
          <w:szCs w:val="24"/>
          <w:u w:val="single"/>
        </w:rPr>
        <w:t xml:space="preserve">Odměna za umělecký výkon a platební podmínky </w:t>
      </w:r>
    </w:p>
    <w:p>
      <w:pPr>
        <w:pStyle w:val="Normal"/>
        <w:ind w:left="360" w:hanging="0"/>
        <w:jc w:val="center"/>
        <w:rPr>
          <w:rFonts w:ascii="Times New Roman" w:hAnsi="Times New Roman" w:eastAsia="Arial Unicode MS"/>
          <w:b/>
          <w:b/>
          <w:bCs/>
          <w:iCs/>
          <w:szCs w:val="24"/>
          <w:u w:val="single"/>
        </w:rPr>
      </w:pPr>
      <w:r>
        <w:rPr>
          <w:rFonts w:eastAsia="Arial Unicode MS" w:ascii="Times New Roman" w:hAnsi="Times New Roman"/>
          <w:b/>
          <w:bCs/>
          <w:iCs/>
          <w:szCs w:val="24"/>
          <w:u w:val="single"/>
        </w:rPr>
      </w:r>
    </w:p>
    <w:p>
      <w:pPr>
        <w:pStyle w:val="Normln1"/>
        <w:numPr>
          <w:ilvl w:val="0"/>
          <w:numId w:val="5"/>
        </w:numPr>
        <w:spacing w:lineRule="auto" w:line="218"/>
        <w:jc w:val="both"/>
        <w:rPr/>
      </w:pPr>
      <w:r>
        <w:rPr>
          <w:szCs w:val="24"/>
        </w:rPr>
        <w:t xml:space="preserve">Pořadatel se zavazuje za vytvoření uměleckého výkonu a poskytnutí oprávnění k užití uměleckého výkonu uhradit partnerovi smluvní odměnu ve výši </w:t>
      </w:r>
      <w:r>
        <w:rPr>
          <w:rFonts w:eastAsia="Times New Roman" w:cs="Times New Roman"/>
          <w:b/>
          <w:color w:val="auto"/>
          <w:kern w:val="0"/>
          <w:sz w:val="24"/>
          <w:szCs w:val="24"/>
          <w:lang w:val="cs-CZ" w:eastAsia="en-US" w:bidi="ar-SA"/>
        </w:rPr>
        <w:t>xxx</w:t>
      </w:r>
      <w:r>
        <w:rPr>
          <w:b/>
          <w:szCs w:val="24"/>
        </w:rPr>
        <w:t xml:space="preserve"> Kč.</w:t>
      </w:r>
    </w:p>
    <w:p>
      <w:pPr>
        <w:pStyle w:val="Normln1"/>
        <w:spacing w:lineRule="auto" w:line="218"/>
        <w:jc w:val="both"/>
        <w:rPr>
          <w:szCs w:val="24"/>
        </w:rPr>
      </w:pPr>
      <w:r>
        <w:rPr>
          <w:szCs w:val="24"/>
        </w:rPr>
      </w:r>
    </w:p>
    <w:p>
      <w:pPr>
        <w:pStyle w:val="Normln1"/>
        <w:numPr>
          <w:ilvl w:val="0"/>
          <w:numId w:val="5"/>
        </w:numPr>
        <w:tabs>
          <w:tab w:val="clear" w:pos="708"/>
          <w:tab w:val="left" w:pos="993" w:leader="none"/>
        </w:tabs>
        <w:spacing w:lineRule="auto" w:line="218"/>
        <w:ind w:left="993" w:hanging="567"/>
        <w:jc w:val="both"/>
        <w:rPr>
          <w:szCs w:val="24"/>
        </w:rPr>
      </w:pPr>
      <w:r>
        <w:rPr>
          <w:szCs w:val="24"/>
        </w:rPr>
        <w:t xml:space="preserve">Odměna je splatná převodem na základě daňového dokladu – faktury </w:t>
      </w:r>
      <w:r>
        <w:rPr>
          <w:b/>
          <w:szCs w:val="24"/>
        </w:rPr>
        <w:t xml:space="preserve">nejpozději jeden pracovní den před plánovaným termínem konání akce </w:t>
      </w:r>
      <w:r>
        <w:rPr>
          <w:szCs w:val="24"/>
        </w:rPr>
        <w:t>tj. 6. prosince 2024</w:t>
      </w:r>
    </w:p>
    <w:p>
      <w:pPr>
        <w:pStyle w:val="Normln1"/>
        <w:tabs>
          <w:tab w:val="clear" w:pos="708"/>
          <w:tab w:val="left" w:pos="993" w:leader="none"/>
        </w:tabs>
        <w:spacing w:lineRule="auto" w:line="218"/>
        <w:ind w:left="993" w:hanging="567"/>
        <w:jc w:val="both"/>
        <w:rPr>
          <w:szCs w:val="24"/>
        </w:rPr>
      </w:pPr>
      <w:r>
        <w:rPr>
          <w:szCs w:val="24"/>
        </w:rPr>
      </w:r>
    </w:p>
    <w:p>
      <w:pPr>
        <w:pStyle w:val="Normln1"/>
        <w:numPr>
          <w:ilvl w:val="0"/>
          <w:numId w:val="5"/>
        </w:numPr>
        <w:tabs>
          <w:tab w:val="clear" w:pos="708"/>
          <w:tab w:val="left" w:pos="993" w:leader="none"/>
        </w:tabs>
        <w:spacing w:lineRule="auto" w:line="218"/>
        <w:ind w:left="993" w:hanging="567"/>
        <w:jc w:val="both"/>
        <w:rPr>
          <w:rFonts w:eastAsia="Arial Unicode MS"/>
          <w:bCs/>
          <w:iCs/>
          <w:szCs w:val="24"/>
        </w:rPr>
      </w:pPr>
      <w:r>
        <w:rPr>
          <w:rFonts w:eastAsia="Arial Unicode MS"/>
          <w:bCs/>
          <w:iCs/>
          <w:szCs w:val="24"/>
        </w:rPr>
        <w:t xml:space="preserve">Dnem uskutečnění zdanitelného plnění je den konání akce. Celková částka bude vyúčtována ke dni uskutečnění akce. </w:t>
      </w:r>
    </w:p>
    <w:p>
      <w:pPr>
        <w:pStyle w:val="Normln1"/>
        <w:tabs>
          <w:tab w:val="clear" w:pos="708"/>
          <w:tab w:val="left" w:pos="993" w:leader="none"/>
        </w:tabs>
        <w:spacing w:lineRule="auto" w:line="218"/>
        <w:jc w:val="both"/>
        <w:rPr>
          <w:rFonts w:eastAsia="Arial Unicode MS"/>
          <w:bCs/>
          <w:iCs/>
          <w:szCs w:val="24"/>
        </w:rPr>
      </w:pPr>
      <w:r>
        <w:rPr>
          <w:rFonts w:eastAsia="Arial Unicode MS"/>
          <w:bCs/>
          <w:iCs/>
          <w:szCs w:val="24"/>
        </w:rPr>
      </w:r>
    </w:p>
    <w:p>
      <w:pPr>
        <w:pStyle w:val="Normln1"/>
        <w:numPr>
          <w:ilvl w:val="0"/>
          <w:numId w:val="5"/>
        </w:numPr>
        <w:spacing w:lineRule="auto" w:line="218"/>
        <w:jc w:val="both"/>
        <w:rPr/>
      </w:pPr>
      <w:r>
        <w:rPr>
          <w:szCs w:val="24"/>
        </w:rPr>
        <w:t xml:space="preserve">Odměna nezahrnuje náklady na dopravu ve výši </w:t>
      </w:r>
      <w:r>
        <w:rPr>
          <w:rFonts w:eastAsia="Times New Roman" w:cs="Times New Roman"/>
          <w:color w:val="auto"/>
          <w:kern w:val="0"/>
          <w:sz w:val="24"/>
          <w:szCs w:val="24"/>
          <w:lang w:val="cs-CZ" w:eastAsia="en-US" w:bidi="ar-SA"/>
        </w:rPr>
        <w:t>xxx</w:t>
      </w:r>
      <w:r>
        <w:rPr>
          <w:szCs w:val="24"/>
        </w:rPr>
        <w:t xml:space="preserve"> Kč, které budou vyúčtovány zvlášť. </w:t>
      </w:r>
    </w:p>
    <w:p>
      <w:pPr>
        <w:pStyle w:val="ListParagraph"/>
        <w:rPr>
          <w:szCs w:val="24"/>
        </w:rPr>
      </w:pPr>
      <w:r>
        <w:rPr>
          <w:szCs w:val="24"/>
        </w:rPr>
      </w:r>
    </w:p>
    <w:p>
      <w:pPr>
        <w:pStyle w:val="Default"/>
        <w:numPr>
          <w:ilvl w:val="0"/>
          <w:numId w:val="5"/>
        </w:numPr>
        <w:rPr>
          <w:rFonts w:ascii="Times New Roman" w:hAnsi="Times New Roman" w:cs="Times New Roman"/>
        </w:rPr>
      </w:pPr>
      <w:r>
        <w:rPr>
          <w:rFonts w:cs="Times New Roman" w:ascii="Times New Roman" w:hAnsi="Times New Roman"/>
        </w:rPr>
        <w:t>Ve sjednané odměně jsou zahrnuty veškeré účelně vynaložené náklady výkonného umělce nezbytné k vytvoření uměleckého výkonu.</w:t>
      </w:r>
    </w:p>
    <w:p>
      <w:pPr>
        <w:pStyle w:val="Normal"/>
        <w:numPr>
          <w:ilvl w:val="0"/>
          <w:numId w:val="0"/>
        </w:numP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t>V.</w:t>
      </w:r>
    </w:p>
    <w:p>
      <w:pPr>
        <w:pStyle w:val="Normal"/>
        <w:numPr>
          <w:ilvl w:val="0"/>
          <w:numId w:val="0"/>
        </w:numPr>
        <w:jc w:val="center"/>
        <w:outlineLvl w:val="0"/>
        <w:rPr>
          <w:rFonts w:ascii="Times New Roman" w:hAnsi="Times New Roman"/>
          <w:b/>
          <w:b/>
          <w:szCs w:val="24"/>
          <w:u w:val="single"/>
        </w:rPr>
      </w:pPr>
      <w:r>
        <w:rPr>
          <w:rFonts w:ascii="Times New Roman" w:hAnsi="Times New Roman"/>
          <w:b/>
          <w:szCs w:val="24"/>
          <w:u w:val="single"/>
        </w:rPr>
        <w:t>Oprávnění k výkonu užít výkon</w:t>
      </w:r>
    </w:p>
    <w:p>
      <w:pPr>
        <w:pStyle w:val="Normal"/>
        <w:numPr>
          <w:ilvl w:val="0"/>
          <w:numId w:val="0"/>
        </w:numPr>
        <w:ind w:left="4248" w:hanging="0"/>
        <w:jc w:val="center"/>
        <w:outlineLvl w:val="0"/>
        <w:rPr>
          <w:rFonts w:ascii="Times New Roman" w:hAnsi="Times New Roman"/>
          <w:szCs w:val="24"/>
        </w:rPr>
      </w:pPr>
      <w:r>
        <w:rPr>
          <w:rFonts w:ascii="Times New Roman" w:hAnsi="Times New Roman"/>
          <w:szCs w:val="24"/>
        </w:rPr>
      </w:r>
    </w:p>
    <w:p>
      <w:pPr>
        <w:pStyle w:val="Normal"/>
        <w:numPr>
          <w:ilvl w:val="0"/>
          <w:numId w:val="3"/>
        </w:numPr>
        <w:jc w:val="both"/>
        <w:rPr>
          <w:rFonts w:ascii="Times New Roman" w:hAnsi="Times New Roman"/>
          <w:szCs w:val="24"/>
        </w:rPr>
      </w:pPr>
      <w:r>
        <w:rPr>
          <w:rFonts w:ascii="Times New Roman" w:hAnsi="Times New Roman"/>
          <w:szCs w:val="24"/>
        </w:rPr>
        <w:t>Partner touto smlouvou uděluje pořadateli oprávnění k užití svého výkonu, a to nedivadelním veřejným provozováním.</w:t>
      </w:r>
    </w:p>
    <w:p>
      <w:pPr>
        <w:pStyle w:val="Normal"/>
        <w:ind w:left="360" w:hanging="0"/>
        <w:jc w:val="both"/>
        <w:rPr>
          <w:rFonts w:ascii="Times New Roman" w:hAnsi="Times New Roman"/>
          <w:szCs w:val="24"/>
        </w:rPr>
      </w:pPr>
      <w:r>
        <w:rPr>
          <w:rFonts w:ascii="Times New Roman" w:hAnsi="Times New Roman"/>
          <w:szCs w:val="24"/>
        </w:rPr>
      </w:r>
    </w:p>
    <w:p>
      <w:pPr>
        <w:pStyle w:val="Normal"/>
        <w:numPr>
          <w:ilvl w:val="0"/>
          <w:numId w:val="3"/>
        </w:numPr>
        <w:jc w:val="both"/>
        <w:rPr>
          <w:rFonts w:ascii="Times New Roman" w:hAnsi="Times New Roman"/>
          <w:szCs w:val="24"/>
        </w:rPr>
      </w:pPr>
      <w:r>
        <w:rPr>
          <w:rFonts w:ascii="Times New Roman" w:hAnsi="Times New Roman"/>
          <w:szCs w:val="24"/>
        </w:rPr>
        <w:t>Partner se zavazuje zajistit, že umělec udělí touto smlouvou pořadateli svolen                               k nekomerčnímu užití svého jména a schválené podobizny výhradně pro propagaci akce, která je předmětem této smlouvy, a to všemi způsoby propagace, např. uveřejněním v médiích, v tiskových materiálech, v teletextu, v síti Internet atd.</w:t>
      </w:r>
    </w:p>
    <w:p>
      <w:pPr>
        <w:pStyle w:val="Normal"/>
        <w:jc w:val="both"/>
        <w:rPr>
          <w:rFonts w:ascii="Times New Roman" w:hAnsi="Times New Roman"/>
          <w:szCs w:val="24"/>
        </w:rPr>
      </w:pPr>
      <w:r>
        <w:rPr>
          <w:rFonts w:ascii="Times New Roman" w:hAnsi="Times New Roman"/>
          <w:szCs w:val="24"/>
        </w:rPr>
      </w:r>
    </w:p>
    <w:p>
      <w:pPr>
        <w:pStyle w:val="Normal"/>
        <w:numPr>
          <w:ilvl w:val="0"/>
          <w:numId w:val="3"/>
        </w:numPr>
        <w:jc w:val="both"/>
        <w:rPr>
          <w:rFonts w:ascii="Times New Roman" w:hAnsi="Times New Roman"/>
          <w:szCs w:val="24"/>
        </w:rPr>
      </w:pPr>
      <w:r>
        <w:rPr>
          <w:rFonts w:ascii="Times New Roman" w:hAnsi="Times New Roman"/>
          <w:szCs w:val="24"/>
        </w:rPr>
        <w:t>Pořadatel není oprávněn oprávnění k užití výkonu jako celek nebo i jeho části poskytnout úplatně nebo i bezúplatně třetím osobám.</w:t>
      </w:r>
    </w:p>
    <w:p>
      <w:pPr>
        <w:pStyle w:val="Normal"/>
        <w:jc w:val="both"/>
        <w:rPr>
          <w:rFonts w:ascii="Times New Roman" w:hAnsi="Times New Roman"/>
          <w:szCs w:val="24"/>
        </w:rPr>
      </w:pPr>
      <w:r>
        <w:rPr>
          <w:rFonts w:ascii="Times New Roman" w:hAnsi="Times New Roman"/>
          <w:szCs w:val="24"/>
        </w:rPr>
      </w:r>
    </w:p>
    <w:p>
      <w:pPr>
        <w:pStyle w:val="Normal"/>
        <w:numPr>
          <w:ilvl w:val="0"/>
          <w:numId w:val="3"/>
        </w:numPr>
        <w:jc w:val="both"/>
        <w:rPr>
          <w:rFonts w:ascii="Times New Roman" w:hAnsi="Times New Roman"/>
          <w:szCs w:val="24"/>
        </w:rPr>
      </w:pPr>
      <w:r>
        <w:rPr>
          <w:rFonts w:ascii="Times New Roman" w:hAnsi="Times New Roman"/>
          <w:szCs w:val="24"/>
        </w:rPr>
        <w:t xml:space="preserve">Oprávnění k výkonu užít výkon je poskytováno na dobu určitou, a to na dobu konání akce, a dále v místě konání akce. </w:t>
      </w:r>
    </w:p>
    <w:p>
      <w:pPr>
        <w:pStyle w:val="Normal"/>
        <w:jc w:val="both"/>
        <w:rPr>
          <w:rFonts w:ascii="Times New Roman" w:hAnsi="Times New Roman"/>
          <w:szCs w:val="24"/>
        </w:rPr>
      </w:pPr>
      <w:r>
        <w:rPr>
          <w:rFonts w:ascii="Times New Roman" w:hAnsi="Times New Roman"/>
          <w:szCs w:val="24"/>
        </w:rPr>
      </w:r>
    </w:p>
    <w:p>
      <w:pPr>
        <w:pStyle w:val="Normal"/>
        <w:ind w:left="720" w:hanging="0"/>
        <w:jc w:val="center"/>
        <w:rPr>
          <w:rFonts w:ascii="Times New Roman" w:hAnsi="Times New Roman"/>
          <w:b/>
          <w:b/>
          <w:szCs w:val="24"/>
        </w:rPr>
      </w:pPr>
      <w:r>
        <w:rPr>
          <w:rFonts w:ascii="Times New Roman" w:hAnsi="Times New Roman"/>
          <w:b/>
          <w:szCs w:val="24"/>
        </w:rPr>
        <w:t>VI.</w:t>
      </w:r>
    </w:p>
    <w:p>
      <w:pPr>
        <w:pStyle w:val="Normal"/>
        <w:ind w:left="720" w:hanging="0"/>
        <w:jc w:val="center"/>
        <w:rPr>
          <w:rFonts w:ascii="Times New Roman" w:hAnsi="Times New Roman"/>
          <w:b/>
          <w:b/>
          <w:szCs w:val="24"/>
          <w:u w:val="single"/>
        </w:rPr>
      </w:pPr>
      <w:r>
        <w:rPr>
          <w:rFonts w:ascii="Times New Roman" w:hAnsi="Times New Roman"/>
          <w:b/>
          <w:szCs w:val="24"/>
          <w:u w:val="single"/>
        </w:rPr>
        <w:t>Odstoupení od smlouvy a smluvní pokuta</w:t>
      </w:r>
    </w:p>
    <w:p>
      <w:pPr>
        <w:pStyle w:val="Normal"/>
        <w:ind w:left="720" w:hanging="0"/>
        <w:rPr>
          <w:rFonts w:ascii="Times New Roman" w:hAnsi="Times New Roman"/>
          <w:b/>
          <w:b/>
          <w:szCs w:val="24"/>
          <w:u w:val="single"/>
        </w:rPr>
      </w:pPr>
      <w:r>
        <w:rPr>
          <w:rFonts w:ascii="Times New Roman" w:hAnsi="Times New Roman"/>
          <w:b/>
          <w:szCs w:val="24"/>
          <w:u w:val="single"/>
        </w:rPr>
      </w:r>
    </w:p>
    <w:p>
      <w:pPr>
        <w:pStyle w:val="Normal"/>
        <w:numPr>
          <w:ilvl w:val="0"/>
          <w:numId w:val="6"/>
        </w:numPr>
        <w:ind w:left="709" w:hanging="360"/>
        <w:rPr>
          <w:rFonts w:ascii="Times New Roman" w:hAnsi="Times New Roman"/>
          <w:szCs w:val="24"/>
        </w:rPr>
      </w:pPr>
      <w:r>
        <w:rPr>
          <w:rFonts w:ascii="Times New Roman" w:hAnsi="Times New Roman"/>
          <w:szCs w:val="24"/>
        </w:rPr>
        <w:t>Partner je oprávněn odstoupit od této smlouvy, pokud pořadatel poruší své povinnosti uvedenou v čl. II a čl. IV této smlouvy.</w:t>
      </w:r>
    </w:p>
    <w:p>
      <w:pPr>
        <w:pStyle w:val="Normal"/>
        <w:ind w:left="709" w:hanging="360"/>
        <w:rPr>
          <w:rFonts w:ascii="Times New Roman" w:hAnsi="Times New Roman"/>
          <w:szCs w:val="24"/>
        </w:rPr>
      </w:pPr>
      <w:r>
        <w:rPr>
          <w:rFonts w:ascii="Times New Roman" w:hAnsi="Times New Roman"/>
          <w:szCs w:val="24"/>
        </w:rPr>
      </w:r>
    </w:p>
    <w:p>
      <w:pPr>
        <w:pStyle w:val="Normal"/>
        <w:numPr>
          <w:ilvl w:val="0"/>
          <w:numId w:val="6"/>
        </w:numPr>
        <w:ind w:left="709" w:hanging="360"/>
        <w:rPr>
          <w:rFonts w:ascii="Times New Roman" w:hAnsi="Times New Roman"/>
          <w:szCs w:val="24"/>
        </w:rPr>
      </w:pPr>
      <w:r>
        <w:rPr>
          <w:rFonts w:ascii="Times New Roman" w:hAnsi="Times New Roman"/>
          <w:szCs w:val="24"/>
        </w:rPr>
        <w:t>Pořadatel je oprávněn od této smlouvy odstoupit, pokud partner poruší své povinnosti uvedené v čl. III této smlouvy.</w:t>
      </w:r>
    </w:p>
    <w:p>
      <w:pPr>
        <w:pStyle w:val="ListParagraph"/>
        <w:rPr>
          <w:rFonts w:ascii="Times New Roman" w:hAnsi="Times New Roman"/>
          <w:szCs w:val="24"/>
        </w:rPr>
      </w:pPr>
      <w:r>
        <w:rPr>
          <w:rFonts w:ascii="Times New Roman" w:hAnsi="Times New Roman"/>
          <w:szCs w:val="24"/>
        </w:rPr>
      </w:r>
    </w:p>
    <w:p>
      <w:pPr>
        <w:pStyle w:val="Normal"/>
        <w:numPr>
          <w:ilvl w:val="0"/>
          <w:numId w:val="6"/>
        </w:numPr>
        <w:jc w:val="both"/>
        <w:rPr>
          <w:rFonts w:ascii="Times New Roman" w:hAnsi="Times New Roman"/>
          <w:szCs w:val="24"/>
        </w:rPr>
      </w:pPr>
      <w:r>
        <w:rPr>
          <w:rFonts w:ascii="Times New Roman" w:hAnsi="Times New Roman"/>
          <w:szCs w:val="24"/>
        </w:rPr>
        <w:t xml:space="preserve">Bude-li vystoupení dle smlouvy znemožněno z důvodu vyšší moci, tj. z nepředvídatelných a neodstranitelných událostí ležících mimo smluvní strany (přírodní katastrofy, zvlášť závažná onemocnění, úmrtí v rodině, nouzový stav, mimořádné opatření podle pandemického zákona), mají obě smluvní strany právo od této smlouvy odstoupit bez nároku na odškodnění. Odstupující smluvní strana je povinna shora uvedené skutečnosti řádně doložit. Obě smluvní strany se zavazují k vzájemné informační povinnosti, a to bez zbytečného odkladu. V případě mimořádného opatření podle pandemického zákona bude stanoven nový termín konání akce za stejných podmínek. </w:t>
      </w:r>
    </w:p>
    <w:p>
      <w:pPr>
        <w:pStyle w:val="ListParagraph"/>
        <w:rPr>
          <w:rFonts w:ascii="Times New Roman" w:hAnsi="Times New Roman"/>
          <w:szCs w:val="24"/>
        </w:rPr>
      </w:pPr>
      <w:r>
        <w:rPr>
          <w:rFonts w:ascii="Times New Roman" w:hAnsi="Times New Roman"/>
          <w:szCs w:val="24"/>
        </w:rPr>
      </w:r>
    </w:p>
    <w:p>
      <w:pPr>
        <w:pStyle w:val="Normal"/>
        <w:numPr>
          <w:ilvl w:val="0"/>
          <w:numId w:val="6"/>
        </w:numPr>
        <w:jc w:val="both"/>
        <w:rPr>
          <w:rFonts w:ascii="Times New Roman" w:hAnsi="Times New Roman"/>
          <w:szCs w:val="24"/>
        </w:rPr>
      </w:pPr>
      <w:r>
        <w:rPr>
          <w:rFonts w:ascii="Times New Roman" w:hAnsi="Times New Roman"/>
          <w:szCs w:val="24"/>
        </w:rPr>
        <w:t>Bude-li termín nájmu a konání akce dle této smlouvy znemožněn z důvodu vyšší moci, tj. z nepředvídatelných a neodstranitelných událostí ležících mimo smluvní strany (přírodní katastrofy, mimořádné opatření vlády ČR v souvislosti s válkou na Ukrajině, opatření dle pandemického zákona atd.), nemá žádná ze smluvních stran nárok na odškodnění nebo zaplacení již vynaložených nákladů.</w:t>
      </w:r>
    </w:p>
    <w:p>
      <w:pPr>
        <w:pStyle w:val="ListParagraph"/>
        <w:rPr>
          <w:rFonts w:ascii="Times New Roman" w:hAnsi="Times New Roman"/>
          <w:szCs w:val="24"/>
        </w:rPr>
      </w:pPr>
      <w:r>
        <w:rPr>
          <w:rFonts w:ascii="Times New Roman" w:hAnsi="Times New Roman"/>
          <w:szCs w:val="24"/>
        </w:rPr>
      </w:r>
    </w:p>
    <w:p>
      <w:pPr>
        <w:pStyle w:val="ListParagraph"/>
        <w:numPr>
          <w:ilvl w:val="0"/>
          <w:numId w:val="6"/>
        </w:numPr>
        <w:rPr>
          <w:rFonts w:ascii="Times New Roman" w:hAnsi="Times New Roman"/>
        </w:rPr>
      </w:pPr>
      <w:r>
        <w:rPr>
          <w:rFonts w:ascii="Times New Roman" w:hAnsi="Times New Roman"/>
        </w:rPr>
        <w:t>Smluvní strany jsou povinny si vzájemně do pěti pracovních dnů od odstoupení vrátit plnění poskytnutá na základě této smlouvy.</w:t>
      </w:r>
    </w:p>
    <w:p>
      <w:pPr>
        <w:pStyle w:val="Normal"/>
        <w:rPr>
          <w:rFonts w:ascii="Times New Roman" w:hAnsi="Times New Roman"/>
          <w:szCs w:val="24"/>
          <w:u w:val="single"/>
        </w:rPr>
      </w:pPr>
      <w:r>
        <w:rPr>
          <w:rFonts w:ascii="Times New Roman" w:hAnsi="Times New Roman"/>
          <w:szCs w:val="24"/>
          <w:u w:val="single"/>
        </w:rPr>
      </w:r>
    </w:p>
    <w:p>
      <w:pPr>
        <w:pStyle w:val="Normal"/>
        <w:numPr>
          <w:ilvl w:val="0"/>
          <w:numId w:val="6"/>
        </w:numPr>
        <w:jc w:val="both"/>
        <w:rPr>
          <w:rFonts w:ascii="Times New Roman" w:hAnsi="Times New Roman"/>
          <w:szCs w:val="24"/>
        </w:rPr>
      </w:pPr>
      <w:r>
        <w:rPr>
          <w:rFonts w:ascii="Times New Roman" w:hAnsi="Times New Roman"/>
          <w:szCs w:val="24"/>
        </w:rPr>
        <w:t>V případě nedodržení splatnosti a výše odměny je pořadatel povinen zaplatit partnerovi úrok z prodlení ve výšce 0,05 % za každý i započatý den prodlení dle Obchodního zákoníku, § 373.</w:t>
      </w:r>
    </w:p>
    <w:p>
      <w:pPr>
        <w:pStyle w:val="Normal"/>
        <w:numPr>
          <w:ilvl w:val="0"/>
          <w:numId w:val="0"/>
        </w:numPr>
        <w:outlineLvl w:val="0"/>
        <w:rPr>
          <w:rFonts w:ascii="Times New Roman" w:hAnsi="Times New Roman"/>
          <w:b/>
          <w:b/>
          <w:szCs w:val="24"/>
        </w:rPr>
      </w:pPr>
      <w:r>
        <w:rPr>
          <w:rFonts w:ascii="Times New Roman" w:hAnsi="Times New Roman"/>
          <w:b/>
          <w:szCs w:val="24"/>
        </w:rPr>
      </w:r>
    </w:p>
    <w:p>
      <w:pPr>
        <w:pStyle w:val="Normal"/>
        <w:numPr>
          <w:ilvl w:val="0"/>
          <w:numId w:val="0"/>
        </w:numPr>
        <w:jc w:val="center"/>
        <w:outlineLvl w:val="0"/>
        <w:rPr>
          <w:rFonts w:ascii="Times New Roman" w:hAnsi="Times New Roman"/>
          <w:b/>
          <w:b/>
          <w:szCs w:val="24"/>
        </w:rPr>
      </w:pPr>
      <w:r>
        <w:rPr>
          <w:rFonts w:ascii="Times New Roman" w:hAnsi="Times New Roman"/>
          <w:b/>
          <w:szCs w:val="24"/>
        </w:rPr>
        <w:t>VII.</w:t>
      </w:r>
    </w:p>
    <w:p>
      <w:pPr>
        <w:pStyle w:val="Normal"/>
        <w:numPr>
          <w:ilvl w:val="0"/>
          <w:numId w:val="0"/>
        </w:numPr>
        <w:jc w:val="center"/>
        <w:outlineLvl w:val="0"/>
        <w:rPr>
          <w:rFonts w:ascii="Times New Roman" w:hAnsi="Times New Roman"/>
          <w:b/>
          <w:b/>
          <w:szCs w:val="24"/>
          <w:u w:val="single"/>
        </w:rPr>
      </w:pPr>
      <w:r>
        <w:rPr>
          <w:rFonts w:ascii="Times New Roman" w:hAnsi="Times New Roman"/>
          <w:b/>
          <w:szCs w:val="24"/>
          <w:u w:val="single"/>
        </w:rPr>
        <w:t>Závěrečná ustanovení</w:t>
      </w:r>
    </w:p>
    <w:p>
      <w:pPr>
        <w:pStyle w:val="Normal"/>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Malý zájem o vstupenky na akci, odstoupení sponzora akce nebo nepříznivé počasí, vyjma případů uvedených v čl. VI. odst. 3 této smlouvy, není důvodem ke zrušení smlouvy. Nekonání akce z uvedených důvodů nezbavuje pořadatele povinnosti zaplatit odměnu nebo smluvní pokutu umělci ve smyslu této smlouvy.</w:t>
      </w:r>
    </w:p>
    <w:p>
      <w:pPr>
        <w:pStyle w:val="Normal"/>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 xml:space="preserve">Smluvní strany se zavazují, že o všech důvěrných a utajovaných informacích a skutečnostech, o kterých se dozví v průběhu vzájemné spolupráce, budou zachovávat mlčení. Za důvěrné a utajované informace ve smyslu tohoto článku se považují veškeré informace, které jsou jako takové označeny anebo jsou takového charakteru, že mohou v případě zveřejnění přivodit kterékoliv smluvní straně újmu, bez ohledu na to, zda mají povahu osobních, obchodních či jiných informací. </w:t>
      </w:r>
    </w:p>
    <w:p>
      <w:pPr>
        <w:pStyle w:val="Normal"/>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Neplatnost některého ustanovení nemá za následek neplatnost celé smlouvy, pokud se nejedná o skutečnost, se kterou zákon spojuje takové účinky.</w:t>
      </w:r>
    </w:p>
    <w:p>
      <w:pPr>
        <w:pStyle w:val="Normal"/>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Případné konání akce pro politické účely je pořadatel povinen s partnerem projednat nejpozději v den podpisu této smlouvy. Partner si vyhrazuje právo z politických důvodů smlouvu neuzavřít.</w:t>
      </w:r>
    </w:p>
    <w:p>
      <w:pPr>
        <w:pStyle w:val="Normal"/>
        <w:ind w:left="360" w:hanging="0"/>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Smluvní strany se dohodly, že účast na veřejné autogramiádě není podle této smlouvy povinností umělce.</w:t>
      </w:r>
    </w:p>
    <w:p>
      <w:pPr>
        <w:pStyle w:val="Normal"/>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Tato smlouva je uzavřena podle českých obecně závazných předpisů a právní vztahy z ní vzniklé se řídí českými obecně závaznými předpisy, zejména občanským zákoníkem, obchodním zákoníkem a autorským zákonem.</w:t>
      </w:r>
    </w:p>
    <w:p>
      <w:pPr>
        <w:pStyle w:val="Normal"/>
        <w:jc w:val="both"/>
        <w:rPr>
          <w:rFonts w:ascii="Times New Roman" w:hAnsi="Times New Roman"/>
          <w:szCs w:val="24"/>
        </w:rPr>
      </w:pPr>
      <w:r>
        <w:rPr>
          <w:rFonts w:ascii="Times New Roman" w:hAnsi="Times New Roman"/>
          <w:szCs w:val="24"/>
        </w:rPr>
      </w:r>
    </w:p>
    <w:p>
      <w:pPr>
        <w:pStyle w:val="Normal"/>
        <w:numPr>
          <w:ilvl w:val="0"/>
          <w:numId w:val="4"/>
        </w:numPr>
        <w:tabs>
          <w:tab w:val="clear" w:pos="708"/>
          <w:tab w:val="left" w:pos="426" w:leader="none"/>
        </w:tabs>
        <w:jc w:val="both"/>
        <w:rPr>
          <w:rFonts w:ascii="Times New Roman" w:hAnsi="Times New Roman"/>
          <w:szCs w:val="24"/>
        </w:rPr>
      </w:pPr>
      <w:r>
        <w:rPr>
          <w:rFonts w:ascii="Times New Roman" w:hAnsi="Times New Roman"/>
          <w:szCs w:val="24"/>
        </w:rPr>
        <w:t xml:space="preserve">Tato smlouva ruší a nahrazuje veškeré písemné a ústní ujednání učiněné před podpisem této smlouvy. </w:t>
      </w:r>
    </w:p>
    <w:p>
      <w:pPr>
        <w:pStyle w:val="Normal"/>
        <w:tabs>
          <w:tab w:val="clear" w:pos="708"/>
          <w:tab w:val="left" w:pos="426" w:leader="none"/>
        </w:tabs>
        <w:jc w:val="both"/>
        <w:rPr>
          <w:rFonts w:ascii="Times New Roman" w:hAnsi="Times New Roman"/>
          <w:szCs w:val="24"/>
        </w:rPr>
      </w:pPr>
      <w:r>
        <w:rPr>
          <w:rFonts w:ascii="Times New Roman" w:hAnsi="Times New Roman"/>
          <w:szCs w:val="24"/>
        </w:rPr>
      </w:r>
    </w:p>
    <w:p>
      <w:pPr>
        <w:pStyle w:val="Normal"/>
        <w:numPr>
          <w:ilvl w:val="0"/>
          <w:numId w:val="4"/>
        </w:numPr>
        <w:jc w:val="both"/>
        <w:rPr>
          <w:rFonts w:ascii="Times New Roman" w:hAnsi="Times New Roman"/>
          <w:szCs w:val="24"/>
        </w:rPr>
      </w:pPr>
      <w:r>
        <w:rPr>
          <w:rFonts w:ascii="Times New Roman" w:hAnsi="Times New Roman"/>
          <w:szCs w:val="24"/>
        </w:rPr>
        <w:t>Tato smlouva nabývá platnosti a účinnosti dnem podpisu smluvních stran a je uzavřena na dobu určitou, po dobu poskytnutí oprávnění k výkonu užít výkon. Smlouva je vyhotovena ve dvou exemplářích, přičemž každá ze smluvních stran obdrží po jednom výtisku.</w:t>
      </w:r>
    </w:p>
    <w:p>
      <w:pPr>
        <w:pStyle w:val="Normal"/>
        <w:tabs>
          <w:tab w:val="clear" w:pos="708"/>
          <w:tab w:val="left" w:pos="426" w:leader="none"/>
        </w:tabs>
        <w:jc w:val="both"/>
        <w:rPr>
          <w:rFonts w:ascii="Times New Roman" w:hAnsi="Times New Roman"/>
          <w:szCs w:val="24"/>
        </w:rPr>
      </w:pPr>
      <w:r>
        <w:rPr>
          <w:rFonts w:ascii="Times New Roman" w:hAnsi="Times New Roman"/>
          <w:szCs w:val="24"/>
        </w:rPr>
      </w:r>
    </w:p>
    <w:p>
      <w:pPr>
        <w:pStyle w:val="Normal"/>
        <w:jc w:val="both"/>
        <w:rPr>
          <w:rFonts w:ascii="Times New Roman" w:hAnsi="Times New Roman"/>
          <w:szCs w:val="24"/>
        </w:rPr>
      </w:pPr>
      <w:r>
        <w:rPr>
          <w:rFonts w:ascii="Times New Roman" w:hAnsi="Times New Roman"/>
          <w:szCs w:val="24"/>
        </w:rPr>
      </w:r>
    </w:p>
    <w:p>
      <w:pPr>
        <w:pStyle w:val="Normal"/>
        <w:numPr>
          <w:ilvl w:val="0"/>
          <w:numId w:val="0"/>
        </w:numPr>
        <w:outlineLvl w:val="0"/>
        <w:rPr/>
      </w:pPr>
      <w:r>
        <w:rPr>
          <w:rFonts w:ascii="Times New Roman" w:hAnsi="Times New Roman"/>
          <w:szCs w:val="24"/>
        </w:rPr>
        <w:t xml:space="preserve">V Praze, dne </w:t>
      </w:r>
      <w:r>
        <w:rPr>
          <w:rFonts w:ascii="Times New Roman" w:hAnsi="Times New Roman"/>
          <w:szCs w:val="24"/>
        </w:rPr>
        <w:fldChar w:fldCharType="begin"/>
      </w:r>
      <w:r>
        <w:rPr>
          <w:szCs w:val="24"/>
          <w:rFonts w:ascii="Times New Roman" w:hAnsi="Times New Roman"/>
        </w:rPr>
        <w:instrText> TIME \@"d'. 'MMMM\ yyyy" </w:instrText>
      </w:r>
      <w:r>
        <w:rPr>
          <w:szCs w:val="24"/>
          <w:rFonts w:ascii="Times New Roman" w:hAnsi="Times New Roman"/>
        </w:rPr>
        <w:fldChar w:fldCharType="separate"/>
      </w:r>
      <w:r>
        <w:rPr>
          <w:szCs w:val="24"/>
          <w:rFonts w:ascii="Times New Roman" w:hAnsi="Times New Roman"/>
        </w:rPr>
        <w:t>12. March 2024</w:t>
      </w:r>
      <w:r>
        <w:rPr>
          <w:szCs w:val="24"/>
          <w:rFonts w:ascii="Times New Roman" w:hAnsi="Times New Roman"/>
        </w:rPr>
        <w:fldChar w:fldCharType="end"/>
      </w:r>
    </w:p>
    <w:p>
      <w:pPr>
        <w:pStyle w:val="Normal"/>
        <w:numPr>
          <w:ilvl w:val="0"/>
          <w:numId w:val="0"/>
        </w:numPr>
        <w:outlineLvl w:val="0"/>
        <w:rPr>
          <w:rFonts w:ascii="Times New Roman" w:hAnsi="Times New Roman"/>
          <w:szCs w:val="24"/>
        </w:rPr>
      </w:pPr>
      <w:r>
        <w:rPr>
          <w:rFonts w:ascii="Times New Roman" w:hAnsi="Times New Roman"/>
          <w:szCs w:val="24"/>
        </w:rPr>
      </w:r>
    </w:p>
    <w:p>
      <w:pPr>
        <w:pStyle w:val="Normal"/>
        <w:numPr>
          <w:ilvl w:val="0"/>
          <w:numId w:val="0"/>
        </w:numP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szCs w:val="24"/>
        </w:rPr>
      </w:pPr>
      <w:r>
        <w:rPr>
          <w:rFonts w:ascii="Times New Roman" w:hAnsi="Times New Roman"/>
          <w:szCs w:val="24"/>
        </w:rPr>
        <w:tab/>
        <w:tab/>
        <w:tab/>
        <w:tab/>
        <w:t xml:space="preserve">       </w:t>
      </w:r>
    </w:p>
    <w:p>
      <w:pPr>
        <w:pStyle w:val="Normal"/>
        <w:numPr>
          <w:ilvl w:val="0"/>
          <w:numId w:val="0"/>
        </w:numPr>
        <w:pBdr>
          <w:top w:val="single" w:sz="18" w:space="1" w:color="000000"/>
          <w:left w:val="single" w:sz="18" w:space="4" w:color="000000"/>
          <w:bottom w:val="single" w:sz="18" w:space="1" w:color="000000"/>
          <w:right w:val="single" w:sz="18" w:space="4" w:color="000000"/>
        </w:pBdr>
        <w:jc w:val="center"/>
        <w:outlineLvl w:val="0"/>
        <w:rPr>
          <w:rFonts w:ascii="Times New Roman" w:hAnsi="Times New Roman"/>
          <w:b/>
          <w:b/>
          <w:szCs w:val="24"/>
        </w:rPr>
      </w:pPr>
      <w:r>
        <w:rPr>
          <w:rFonts w:ascii="Times New Roman" w:hAnsi="Times New Roman"/>
          <w:b/>
          <w:szCs w:val="24"/>
        </w:rPr>
        <w:t>Partner</w:t>
      </w:r>
      <w:r>
        <w:rPr>
          <w:rFonts w:ascii="Times New Roman" w:hAnsi="Times New Roman"/>
          <w:szCs w:val="24"/>
        </w:rPr>
        <w:tab/>
        <w:tab/>
        <w:tab/>
        <w:tab/>
        <w:tab/>
        <w:t xml:space="preserve">    </w:t>
      </w:r>
      <w:r>
        <w:rPr>
          <w:rFonts w:ascii="Times New Roman" w:hAnsi="Times New Roman"/>
          <w:b/>
          <w:szCs w:val="24"/>
        </w:rPr>
        <w:t>Pořadatel</w:t>
      </w:r>
    </w:p>
    <w:p>
      <w:pPr>
        <w:pStyle w:val="Normal"/>
        <w:numPr>
          <w:ilvl w:val="0"/>
          <w:numId w:val="0"/>
        </w:numPr>
        <w:pBdr>
          <w:top w:val="single" w:sz="18" w:space="1" w:color="000000"/>
          <w:left w:val="single" w:sz="18" w:space="4" w:color="000000"/>
          <w:bottom w:val="single" w:sz="18" w:space="1" w:color="000000"/>
          <w:right w:val="single" w:sz="18" w:space="4" w:color="000000"/>
        </w:pBdr>
        <w:outlineLvl w:val="0"/>
        <w:rPr/>
      </w:pPr>
      <w:r>
        <w:rPr>
          <w:rFonts w:ascii="Times New Roman" w:hAnsi="Times New Roman"/>
          <w:szCs w:val="24"/>
        </w:rPr>
        <w:tab/>
        <w:tab/>
        <w:t>Janis Sidovský jednatel</w:t>
        <w:tab/>
        <w:tab/>
        <w:tab/>
        <w:t xml:space="preserve">Monika Brychová, ředitelka MKS </w:t>
        <w:tab/>
      </w:r>
    </w:p>
    <w:sectPr>
      <w:headerReference w:type="default" r:id="rId3"/>
      <w:footerReference w:type="default" r:id="rId4"/>
      <w:type w:val="nextPage"/>
      <w:pgSz w:w="11906" w:h="16838"/>
      <w:pgMar w:left="1418" w:right="1134" w:header="709" w:top="1134" w:footer="709"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sz w:val="16"/>
        <w:szCs w:val="16"/>
      </w:rPr>
      <w:t xml:space="preserve"> </w:t>
    </w:r>
    <w:r>
      <w:rPr>
        <w:sz w:val="16"/>
        <w:szCs w:val="16"/>
      </w:rPr>
      <w:t>SMLOUVA 202</w:t>
    </w:r>
    <w:r>
      <w:rPr>
        <w:sz w:val="16"/>
        <w:szCs w:val="16"/>
      </w:rPr>
      <w:t>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ind w:right="360" w:hanging="0"/>
      <w:rPr/>
    </w:pPr>
    <w:r>
      <mc:AlternateContent>
        <mc:Choice Requires="wps">
          <w:drawing>
            <wp:anchor behindDoc="1" distT="0" distB="0" distL="0" distR="0" simplePos="0" locked="0" layoutInCell="1" allowOverlap="1" relativeHeight="7">
              <wp:simplePos x="0" y="0"/>
              <wp:positionH relativeFrom="margin">
                <wp:align>right</wp:align>
              </wp:positionH>
              <wp:positionV relativeFrom="paragraph">
                <wp:posOffset>635</wp:posOffset>
              </wp:positionV>
              <wp:extent cx="64770" cy="146050"/>
              <wp:effectExtent l="0" t="0" r="0" b="0"/>
              <wp:wrapSquare wrapText="largest"/>
              <wp:docPr id="2" name="Rámec1"/>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fillRef idx="0"/>
                      <a:effectRef idx="0"/>
                      <a:fontRef idx="minor"/>
                    </wps:style>
                    <wps:txbx>
                      <w:txbxContent>
                        <w:p>
                          <w:pPr>
                            <w:pStyle w:val="Zhlav"/>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lIns="0" rIns="0" tIns="0" bIns="0">
                      <a:spAutoFit/>
                    </wps:bodyPr>
                  </wps:wsp>
                </a:graphicData>
              </a:graphic>
            </wp:anchor>
          </w:drawing>
        </mc:Choice>
        <mc:Fallback>
          <w:pict>
            <v:rect id="shape_0" ID="Rámec1" fillcolor="white" stroked="f" style="position:absolute;margin-left:462.6pt;margin-top:0.05pt;width:5pt;height:11.4pt;mso-position-horizontal:right;mso-position-horizontal-relative:margin">
              <w10:wrap type="square"/>
              <v:fill o:detectmouseclick="t" type="solid" color2="black" opacity="0"/>
              <v:stroke color="#3465a4" joinstyle="round" endcap="flat"/>
              <v:textbox>
                <w:txbxContent>
                  <w:p>
                    <w:pPr>
                      <w:pStyle w:val="Zhlav"/>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v:rect>
          </w:pict>
        </mc:Fallback>
      </mc:AlternateContent>
    </w:r>
    <w:r>
      <w:rPr/>
      <w:t>Celebrity Management</w:t>
      <w:tab/>
      <w:t>č.smlouvy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rFonts w:ascii="Times New Roman" w:hAnsi="Times New Roman"/>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966"/>
        </w:tabs>
        <w:ind w:left="966" w:hanging="5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4"/>
      <w:szCs w:val="20"/>
      <w:lang w:val="cs-CZ" w:eastAsia="cs-CZ" w:bidi="ar-SA"/>
    </w:rPr>
  </w:style>
  <w:style w:type="paragraph" w:styleId="Nadpis1">
    <w:name w:val="Heading 1"/>
    <w:basedOn w:val="Normal"/>
    <w:next w:val="Normal"/>
    <w:qFormat/>
    <w:pPr>
      <w:keepNext w:val="true"/>
      <w:jc w:val="center"/>
      <w:outlineLvl w:val="0"/>
    </w:pPr>
    <w:rPr>
      <w:sz w:val="40"/>
    </w:rPr>
  </w:style>
  <w:style w:type="paragraph" w:styleId="Nadpis2">
    <w:name w:val="Heading 2"/>
    <w:basedOn w:val="Normal"/>
    <w:next w:val="Normal"/>
    <w:qFormat/>
    <w:pPr>
      <w:keepNext w:val="true"/>
      <w:jc w:val="both"/>
      <w:outlineLvl w:val="1"/>
    </w:pPr>
    <w:rPr>
      <w:b/>
      <w:bCs/>
    </w:rPr>
  </w:style>
  <w:style w:type="character" w:styleId="DefaultParagraphFont" w:default="1">
    <w:name w:val="Default Paragraph Font"/>
    <w:uiPriority w:val="1"/>
    <w:semiHidden/>
    <w:unhideWhenUsed/>
    <w:qFormat/>
    <w:rPr/>
  </w:style>
  <w:style w:type="character" w:styleId="Internetovodkaz">
    <w:name w:val="Internetový odkaz"/>
    <w:semiHidden/>
    <w:rPr>
      <w:color w:val="0000FF"/>
      <w:u w:val="single"/>
    </w:rPr>
  </w:style>
  <w:style w:type="character" w:styleId="Strong">
    <w:name w:val="Strong"/>
    <w:qFormat/>
    <w:rPr>
      <w:b/>
      <w:bCs/>
    </w:rPr>
  </w:style>
  <w:style w:type="character" w:styleId="Annotationreference">
    <w:name w:val="annotation reference"/>
    <w:uiPriority w:val="99"/>
    <w:semiHidden/>
    <w:unhideWhenUsed/>
    <w:qFormat/>
    <w:rsid w:val="00060a99"/>
    <w:rPr>
      <w:sz w:val="16"/>
      <w:szCs w:val="16"/>
    </w:rPr>
  </w:style>
  <w:style w:type="character" w:styleId="TextkomenteChar" w:customStyle="1">
    <w:name w:val="Text komentáře Char"/>
    <w:link w:val="Textkomente"/>
    <w:uiPriority w:val="99"/>
    <w:semiHidden/>
    <w:qFormat/>
    <w:rsid w:val="00060a99"/>
    <w:rPr>
      <w:rFonts w:ascii="Arial" w:hAnsi="Arial"/>
    </w:rPr>
  </w:style>
  <w:style w:type="character" w:styleId="PedmtkomenteChar" w:customStyle="1">
    <w:name w:val="Předmět komentáře Char"/>
    <w:link w:val="Pedmtkomente"/>
    <w:uiPriority w:val="99"/>
    <w:semiHidden/>
    <w:qFormat/>
    <w:rsid w:val="00060a99"/>
    <w:rPr>
      <w:rFonts w:ascii="Arial" w:hAnsi="Arial"/>
      <w:b/>
      <w:bCs/>
    </w:rPr>
  </w:style>
  <w:style w:type="character" w:styleId="TextbublinyChar" w:customStyle="1">
    <w:name w:val="Text bubliny Char"/>
    <w:link w:val="Textbubliny"/>
    <w:uiPriority w:val="99"/>
    <w:semiHidden/>
    <w:qFormat/>
    <w:rsid w:val="00060a99"/>
    <w:rPr>
      <w:rFonts w:ascii="Tahoma" w:hAnsi="Tahoma" w:cs="Tahoma"/>
      <w:sz w:val="16"/>
      <w:szCs w:val="16"/>
    </w:rPr>
  </w:style>
  <w:style w:type="character" w:styleId="Pagenumber">
    <w:name w:val="page number"/>
    <w:uiPriority w:val="99"/>
    <w:semiHidden/>
    <w:unhideWhenUsed/>
    <w:qFormat/>
    <w:rsid w:val="00ee2ab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semiHidden/>
    <w:pPr>
      <w:jc w:val="both"/>
    </w:pPr>
    <w:rPr>
      <w:b/>
      <w:color w:val="00000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zev">
    <w:name w:val="Title"/>
    <w:basedOn w:val="Normal"/>
    <w:qFormat/>
    <w:pPr>
      <w:jc w:val="center"/>
    </w:pPr>
    <w:rPr>
      <w:b/>
      <w:color w:val="000000"/>
      <w:sz w:val="48"/>
    </w:rPr>
  </w:style>
  <w:style w:type="paragraph" w:styleId="BodyText2">
    <w:name w:val="Body Text 2"/>
    <w:basedOn w:val="Normal"/>
    <w:semiHidden/>
    <w:qFormat/>
    <w:pPr/>
    <w:rPr>
      <w:color w:val="000000"/>
    </w:rPr>
  </w:style>
  <w:style w:type="paragraph" w:styleId="BodyText3">
    <w:name w:val="Body Text 3"/>
    <w:basedOn w:val="Normal"/>
    <w:semiHidden/>
    <w:qFormat/>
    <w:pPr>
      <w:jc w:val="both"/>
    </w:pPr>
    <w:rPr>
      <w:color w:val="000000"/>
    </w:rPr>
  </w:style>
  <w:style w:type="paragraph" w:styleId="Odsazentlatextu">
    <w:name w:val="Body Text Indent"/>
    <w:basedOn w:val="Normal"/>
    <w:semiHidden/>
    <w:pPr>
      <w:ind w:left="284" w:hanging="0"/>
      <w:jc w:val="both"/>
    </w:pPr>
    <w:rPr/>
  </w:style>
  <w:style w:type="paragraph" w:styleId="BodyTextIndent2">
    <w:name w:val="Body Text Indent 2"/>
    <w:basedOn w:val="Normal"/>
    <w:semiHidden/>
    <w:qFormat/>
    <w:pPr>
      <w:ind w:left="360" w:hanging="0"/>
      <w:jc w:val="both"/>
    </w:pPr>
    <w:rPr>
      <w:bCs/>
    </w:rPr>
  </w:style>
  <w:style w:type="paragraph" w:styleId="NormalWeb">
    <w:name w:val="Normal (Web)"/>
    <w:basedOn w:val="Normal"/>
    <w:semiHidden/>
    <w:qFormat/>
    <w:pPr>
      <w:spacing w:beforeAutospacing="1" w:afterAutospacing="1"/>
    </w:pPr>
    <w:rPr>
      <w:rFonts w:cs="Arial"/>
      <w:color w:val="000000"/>
      <w:sz w:val="20"/>
    </w:rPr>
  </w:style>
  <w:style w:type="paragraph" w:styleId="Normln1" w:customStyle="1">
    <w:name w:val="Normální1"/>
    <w:basedOn w:val="Normal"/>
    <w:qFormat/>
    <w:pPr>
      <w:widowControl w:val="false"/>
      <w:spacing w:lineRule="auto" w:line="259"/>
    </w:pPr>
    <w:rPr>
      <w:rFonts w:ascii="Times New Roman" w:hAnsi="Times New Roman"/>
      <w:lang w:eastAsia="en-US"/>
    </w:rPr>
  </w:style>
  <w:style w:type="paragraph" w:styleId="Zhlavazpat">
    <w:name w:val="Záhlaví a zápatí"/>
    <w:basedOn w:val="Normal"/>
    <w:qFormat/>
    <w:pPr/>
    <w:rPr/>
  </w:style>
  <w:style w:type="paragraph" w:styleId="Zhlav">
    <w:name w:val="Header"/>
    <w:basedOn w:val="Normal"/>
    <w:semiHidden/>
    <w:pPr>
      <w:tabs>
        <w:tab w:val="clear" w:pos="708"/>
        <w:tab w:val="center" w:pos="4536" w:leader="none"/>
        <w:tab w:val="right" w:pos="9072" w:leader="none"/>
      </w:tabs>
    </w:pPr>
    <w:rPr>
      <w:rFonts w:ascii="Times New Roman" w:hAnsi="Times New Roman"/>
      <w:sz w:val="20"/>
    </w:rPr>
  </w:style>
  <w:style w:type="paragraph" w:styleId="Zpat">
    <w:name w:val="Footer"/>
    <w:basedOn w:val="Normal"/>
    <w:semiHidden/>
    <w:pPr>
      <w:tabs>
        <w:tab w:val="clear" w:pos="708"/>
        <w:tab w:val="center" w:pos="4536" w:leader="none"/>
        <w:tab w:val="right" w:pos="9072" w:leader="none"/>
      </w:tabs>
    </w:pPr>
    <w:rPr/>
  </w:style>
  <w:style w:type="paragraph" w:styleId="DocumentMap">
    <w:name w:val="Document Map"/>
    <w:basedOn w:val="Normal"/>
    <w:semiHidden/>
    <w:qFormat/>
    <w:pPr>
      <w:shd w:val="clear" w:color="auto" w:fill="000080"/>
    </w:pPr>
    <w:rPr>
      <w:rFonts w:ascii="Tahoma" w:hAnsi="Tahoma" w:cs="Tahoma"/>
      <w:sz w:val="20"/>
    </w:rPr>
  </w:style>
  <w:style w:type="paragraph" w:styleId="Text" w:customStyle="1">
    <w:name w:val="Text"/>
    <w:basedOn w:val="Normal"/>
    <w:qFormat/>
    <w:pPr>
      <w:spacing w:before="0" w:after="240"/>
      <w:ind w:firstLine="1440"/>
    </w:pPr>
    <w:rPr>
      <w:rFonts w:ascii="Times New Roman" w:hAnsi="Times New Roman"/>
    </w:rPr>
  </w:style>
  <w:style w:type="paragraph" w:styleId="Annotationtext">
    <w:name w:val="annotation text"/>
    <w:basedOn w:val="Normal"/>
    <w:link w:val="TextkomenteChar"/>
    <w:uiPriority w:val="99"/>
    <w:semiHidden/>
    <w:unhideWhenUsed/>
    <w:qFormat/>
    <w:rsid w:val="00060a99"/>
    <w:pPr/>
    <w:rPr>
      <w:sz w:val="20"/>
    </w:rPr>
  </w:style>
  <w:style w:type="paragraph" w:styleId="Annotationsubject">
    <w:name w:val="annotation subject"/>
    <w:basedOn w:val="Annotationtext"/>
    <w:next w:val="Annotationtext"/>
    <w:link w:val="PedmtkomenteChar"/>
    <w:uiPriority w:val="99"/>
    <w:semiHidden/>
    <w:unhideWhenUsed/>
    <w:qFormat/>
    <w:rsid w:val="00060a99"/>
    <w:pPr/>
    <w:rPr>
      <w:b/>
      <w:bCs/>
    </w:rPr>
  </w:style>
  <w:style w:type="paragraph" w:styleId="BalloonText">
    <w:name w:val="Balloon Text"/>
    <w:basedOn w:val="Normal"/>
    <w:link w:val="TextbublinyChar"/>
    <w:uiPriority w:val="99"/>
    <w:semiHidden/>
    <w:unhideWhenUsed/>
    <w:qFormat/>
    <w:rsid w:val="00060a99"/>
    <w:pPr/>
    <w:rPr>
      <w:rFonts w:ascii="Tahoma" w:hAnsi="Tahoma" w:cs="Tahoma"/>
      <w:sz w:val="16"/>
      <w:szCs w:val="16"/>
    </w:rPr>
  </w:style>
  <w:style w:type="paragraph" w:styleId="NoSpacing">
    <w:name w:val="No Spacing"/>
    <w:uiPriority w:val="1"/>
    <w:qFormat/>
    <w:rsid w:val="00c62423"/>
    <w:pPr>
      <w:widowControl/>
      <w:bidi w:val="0"/>
      <w:spacing w:before="0" w:after="0"/>
      <w:jc w:val="left"/>
    </w:pPr>
    <w:rPr>
      <w:rFonts w:ascii="Calibri" w:hAnsi="Calibri" w:eastAsia="Calibri" w:cs="Times New Roman"/>
      <w:color w:val="auto"/>
      <w:kern w:val="0"/>
      <w:sz w:val="22"/>
      <w:szCs w:val="22"/>
      <w:lang w:val="cs-CZ" w:eastAsia="en-US" w:bidi="ar-SA"/>
    </w:rPr>
  </w:style>
  <w:style w:type="paragraph" w:styleId="ListParagraph">
    <w:name w:val="List Paragraph"/>
    <w:basedOn w:val="Normal"/>
    <w:uiPriority w:val="34"/>
    <w:qFormat/>
    <w:rsid w:val="0002573f"/>
    <w:pPr>
      <w:ind w:left="708" w:hanging="0"/>
    </w:pPr>
    <w:rPr/>
  </w:style>
  <w:style w:type="paragraph" w:styleId="Revision">
    <w:name w:val="Revision"/>
    <w:uiPriority w:val="99"/>
    <w:semiHidden/>
    <w:qFormat/>
    <w:rsid w:val="007d53cd"/>
    <w:pPr>
      <w:widowControl/>
      <w:bidi w:val="0"/>
      <w:spacing w:before="0" w:after="0"/>
      <w:jc w:val="left"/>
    </w:pPr>
    <w:rPr>
      <w:rFonts w:ascii="Arial" w:hAnsi="Arial" w:eastAsia="Times New Roman" w:cs="Times New Roman"/>
      <w:color w:val="auto"/>
      <w:kern w:val="0"/>
      <w:sz w:val="24"/>
      <w:szCs w:val="20"/>
      <w:lang w:val="cs-CZ" w:eastAsia="cs-CZ" w:bidi="ar-SA"/>
    </w:rPr>
  </w:style>
  <w:style w:type="paragraph" w:styleId="Default" w:customStyle="1">
    <w:name w:val="Default"/>
    <w:qFormat/>
    <w:rsid w:val="00a315b5"/>
    <w:pPr>
      <w:widowControl/>
      <w:bidi w:val="0"/>
      <w:spacing w:before="0" w:after="0"/>
      <w:jc w:val="left"/>
    </w:pPr>
    <w:rPr>
      <w:rFonts w:ascii="Arial" w:hAnsi="Arial" w:eastAsia="Times New Roman" w:cs="Arial"/>
      <w:color w:val="000000"/>
      <w:kern w:val="0"/>
      <w:sz w:val="24"/>
      <w:szCs w:val="24"/>
      <w:lang w:val="cs-CZ" w:eastAsia="en-US" w:bidi="ar-SA"/>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4ACE-F7B0-9F4C-BD4C-94F57B2B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M:\Program Files\Microsoft Office\Sablony\Vzory smluv\Smlouva za peníze Klasik.dot</Template>
  <TotalTime>6</TotalTime>
  <Application>LibreOffice/6.3.4.2$Windows_X86_64 LibreOffice_project/60da17e045e08f1793c57c00ba83cdfce946d0aa</Application>
  <Pages>5</Pages>
  <Words>1242</Words>
  <Characters>7091</Characters>
  <CharactersWithSpaces>8356</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2024-02-26T12:41:00Z</dcterms:created>
  <dc:creator>Obchod2</dc:creator>
  <dc:description/>
  <dc:language>cs-CZ</dc:language>
  <cp:lastModifiedBy/>
  <cp:lastPrinted>2014-11-24T11:03:00Z</cp:lastPrinted>
  <dcterms:modified xsi:type="dcterms:W3CDTF">2024-03-12T12:07:42Z</dcterms:modified>
  <cp:revision>4</cp:revision>
  <dc:subject/>
  <dc:title>S M L O U V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