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5D6FCC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5D6FCC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5D6FCC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5D6FCC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5D6FCC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5D6FCC">
              <w:rPr>
                <w:b w:val="0"/>
                <w:sz w:val="22"/>
                <w:szCs w:val="22"/>
                <w:shd w:val="clear" w:color="auto" w:fill="FFFFFF" w:themeFill="background1"/>
              </w:rPr>
              <w:t>0469</w:t>
            </w:r>
          </w:p>
        </w:tc>
        <w:tc>
          <w:tcPr>
            <w:tcW w:w="656" w:type="dxa"/>
          </w:tcPr>
          <w:p w14:paraId="4F98E807" w14:textId="373A5ACA" w:rsidR="00EF080A" w:rsidRPr="005D6FCC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5D6FCC">
              <w:rPr>
                <w:b w:val="0"/>
                <w:sz w:val="22"/>
                <w:szCs w:val="22"/>
              </w:rPr>
              <w:t>202</w:t>
            </w:r>
            <w:r w:rsidR="007C4F5C" w:rsidRPr="005D6FC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5D6FCC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5D6FCC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5D6FCC" w14:paraId="5C6D75A8" w14:textId="77777777" w:rsidTr="00EF080A">
        <w:tc>
          <w:tcPr>
            <w:tcW w:w="1074" w:type="dxa"/>
          </w:tcPr>
          <w:p w14:paraId="13FEBCD4" w14:textId="77777777" w:rsidR="00EF080A" w:rsidRPr="005D6FCC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5D6FCC">
              <w:rPr>
                <w:b w:val="0"/>
                <w:sz w:val="16"/>
                <w:szCs w:val="16"/>
              </w:rPr>
              <w:t>poř</w:t>
            </w:r>
            <w:proofErr w:type="spellEnd"/>
            <w:r w:rsidRPr="005D6FCC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5D6FCC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5D6FCC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5D6FCC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5D6FCC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5D6FCC">
              <w:rPr>
                <w:b w:val="0"/>
                <w:sz w:val="16"/>
                <w:szCs w:val="16"/>
              </w:rPr>
              <w:t>odb</w:t>
            </w:r>
            <w:proofErr w:type="spellEnd"/>
            <w:r w:rsidRPr="005D6FCC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5D6FCC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Pr="005D6FCC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Pr="005D6FCC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Pr="005D6FCC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5D6FCC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 w:rsidRPr="005D6FCC">
        <w:rPr>
          <w:spacing w:val="20"/>
          <w:kern w:val="0"/>
        </w:rPr>
        <w:t>Veřejnoprávní s</w:t>
      </w:r>
      <w:r w:rsidR="00795E5C" w:rsidRPr="005D6FCC">
        <w:rPr>
          <w:spacing w:val="20"/>
          <w:kern w:val="0"/>
        </w:rPr>
        <w:t xml:space="preserve">mlouva o poskytnutí </w:t>
      </w:r>
      <w:r w:rsidR="006D3396" w:rsidRPr="005D6FCC">
        <w:rPr>
          <w:iCs/>
          <w:spacing w:val="20"/>
          <w:kern w:val="0"/>
        </w:rPr>
        <w:t xml:space="preserve">neinvestiční </w:t>
      </w:r>
      <w:r w:rsidR="00795E5C" w:rsidRPr="005D6FCC">
        <w:rPr>
          <w:spacing w:val="20"/>
          <w:kern w:val="0"/>
        </w:rPr>
        <w:t xml:space="preserve">účelové dotace v oblasti </w:t>
      </w:r>
      <w:r w:rsidR="00AA29DA" w:rsidRPr="005D6FCC">
        <w:t>sociální péče</w:t>
      </w:r>
      <w:r w:rsidR="003F2EE6" w:rsidRPr="005D6FCC">
        <w:rPr>
          <w:spacing w:val="20"/>
          <w:kern w:val="0"/>
        </w:rPr>
        <w:t xml:space="preserve"> č. </w:t>
      </w:r>
      <w:r w:rsidR="00AA29DA" w:rsidRPr="005D6FCC">
        <w:t>10</w:t>
      </w:r>
      <w:r w:rsidR="00C83891" w:rsidRPr="005D6FCC">
        <w:rPr>
          <w:spacing w:val="20"/>
          <w:kern w:val="0"/>
        </w:rPr>
        <w:t xml:space="preserve"> </w:t>
      </w:r>
      <w:r w:rsidR="00FD7BB5" w:rsidRPr="005D6FCC">
        <w:rPr>
          <w:spacing w:val="20"/>
          <w:kern w:val="0"/>
        </w:rPr>
        <w:t xml:space="preserve">na zabezpečení projektu </w:t>
      </w:r>
      <w:r w:rsidR="00DD3A61" w:rsidRPr="005D6FCC">
        <w:rPr>
          <w:spacing w:val="20"/>
          <w:kern w:val="0"/>
        </w:rPr>
        <w:t>„</w:t>
      </w:r>
      <w:r w:rsidR="007B7A0C" w:rsidRPr="005D6FCC">
        <w:rPr>
          <w:spacing w:val="20"/>
          <w:kern w:val="0"/>
        </w:rPr>
        <w:t>Mobilní hospicová péče pro děti a dospělé</w:t>
      </w:r>
      <w:r w:rsidR="00DD3A61" w:rsidRPr="005D6FCC">
        <w:rPr>
          <w:spacing w:val="20"/>
          <w:kern w:val="0"/>
        </w:rPr>
        <w:t>“</w:t>
      </w:r>
      <w:r w:rsidR="0089771B" w:rsidRPr="005D6FCC">
        <w:rPr>
          <w:spacing w:val="20"/>
          <w:kern w:val="0"/>
        </w:rPr>
        <w:t xml:space="preserve"> </w:t>
      </w:r>
      <w:r w:rsidR="00710E93" w:rsidRPr="005D6FCC">
        <w:rPr>
          <w:spacing w:val="20"/>
          <w:kern w:val="0"/>
        </w:rPr>
        <w:t>z rozpočtu statutárního města Ostravy</w:t>
      </w:r>
    </w:p>
    <w:p w14:paraId="48733A06" w14:textId="77777777" w:rsidR="00054A48" w:rsidRPr="005D6FC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5D6FCC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5D6FCC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5D6FCC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5D6FCC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5D6FCC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6FCC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5D6FCC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D6FCC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5D6FCC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D6FCC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 w:rsidRPr="005D6FCC">
              <w:rPr>
                <w:rFonts w:ascii="Times New Roman" w:hAnsi="Times New Roman"/>
                <w:bCs/>
                <w:sz w:val="22"/>
                <w:szCs w:val="22"/>
              </w:rPr>
              <w:t>Ing. Zbyňkem Pražákem, Ph.D.</w:t>
            </w:r>
          </w:p>
          <w:p w14:paraId="10034F21" w14:textId="77777777" w:rsidR="00863FEE" w:rsidRPr="005D6FCC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D6FCC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5D6FCC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5D6FCC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5D6FCC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5D6FCC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5D6FCC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D6FCC">
              <w:rPr>
                <w:rFonts w:ascii="Times New Roman" w:hAnsi="Times New Roman"/>
                <w:b/>
                <w:sz w:val="22"/>
                <w:szCs w:val="22"/>
              </w:rPr>
              <w:t>Mobilní hospic Ondrášek, o.p.s.</w:t>
            </w:r>
          </w:p>
          <w:p w14:paraId="5796165D" w14:textId="23BAD493" w:rsidR="008F7072" w:rsidRPr="005D6FCC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D6FCC">
              <w:rPr>
                <w:rFonts w:ascii="Times New Roman" w:hAnsi="Times New Roman"/>
                <w:sz w:val="22"/>
                <w:szCs w:val="22"/>
              </w:rPr>
              <w:t xml:space="preserve">Gurťjevova 459/11, 700 30 </w:t>
            </w:r>
            <w:proofErr w:type="gramStart"/>
            <w:r w:rsidRPr="005D6FCC">
              <w:rPr>
                <w:rFonts w:ascii="Times New Roman" w:hAnsi="Times New Roman"/>
                <w:sz w:val="22"/>
                <w:szCs w:val="22"/>
              </w:rPr>
              <w:t>Ostrava - Zábřeh</w:t>
            </w:r>
            <w:proofErr w:type="gramEnd"/>
            <w:r w:rsidR="008F7072" w:rsidRPr="005D6FC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527E30F" w14:textId="5C116ADF" w:rsidR="009625B5" w:rsidRPr="005D6FCC" w:rsidRDefault="00AA29DA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D6FCC">
              <w:rPr>
                <w:rFonts w:ascii="Times New Roman" w:hAnsi="Times New Roman"/>
                <w:sz w:val="22"/>
                <w:szCs w:val="22"/>
              </w:rPr>
              <w:t>z</w:t>
            </w:r>
            <w:r w:rsidR="00BD70D5" w:rsidRPr="005D6FCC">
              <w:rPr>
                <w:rFonts w:ascii="Times New Roman" w:hAnsi="Times New Roman"/>
                <w:sz w:val="22"/>
                <w:szCs w:val="22"/>
              </w:rPr>
              <w:t xml:space="preserve">astoupen </w:t>
            </w:r>
            <w:r w:rsidR="00FD4AB9" w:rsidRPr="005D6FCC">
              <w:rPr>
                <w:rFonts w:ascii="Times New Roman" w:hAnsi="Times New Roman"/>
                <w:sz w:val="22"/>
                <w:szCs w:val="22"/>
              </w:rPr>
              <w:t>Bc. Bronislav</w:t>
            </w:r>
            <w:r w:rsidR="009625B5" w:rsidRPr="005D6FCC">
              <w:rPr>
                <w:rFonts w:ascii="Times New Roman" w:hAnsi="Times New Roman"/>
                <w:sz w:val="22"/>
                <w:szCs w:val="22"/>
              </w:rPr>
              <w:t>ou</w:t>
            </w:r>
            <w:r w:rsidR="00FD4AB9" w:rsidRPr="005D6FCC">
              <w:rPr>
                <w:rFonts w:ascii="Times New Roman" w:hAnsi="Times New Roman"/>
                <w:sz w:val="22"/>
                <w:szCs w:val="22"/>
              </w:rPr>
              <w:t xml:space="preserve"> Husovsk</w:t>
            </w:r>
            <w:r w:rsidR="009625B5" w:rsidRPr="005D6FCC">
              <w:rPr>
                <w:rFonts w:ascii="Times New Roman" w:hAnsi="Times New Roman"/>
                <w:sz w:val="22"/>
                <w:szCs w:val="22"/>
              </w:rPr>
              <w:t>ou</w:t>
            </w:r>
            <w:r w:rsidR="00012D9D" w:rsidRPr="005D6FC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E856BDC" w14:textId="06216949" w:rsidR="00863FEE" w:rsidRPr="005D6FCC" w:rsidRDefault="00FD4AB9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6FCC">
              <w:rPr>
                <w:rFonts w:ascii="Times New Roman" w:hAnsi="Times New Roman"/>
                <w:sz w:val="22"/>
                <w:szCs w:val="22"/>
              </w:rPr>
              <w:t>ředitelk</w:t>
            </w:r>
            <w:r w:rsidR="009625B5" w:rsidRPr="005D6FCC">
              <w:rPr>
                <w:rFonts w:ascii="Times New Roman" w:hAnsi="Times New Roman"/>
                <w:sz w:val="22"/>
                <w:szCs w:val="22"/>
              </w:rPr>
              <w:t>ou</w:t>
            </w:r>
          </w:p>
        </w:tc>
      </w:tr>
      <w:tr w:rsidR="00863FEE" w:rsidRPr="005D6FCC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5D6FCC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Pr="005D6FCC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D6FCC">
              <w:rPr>
                <w:rFonts w:ascii="Times New Roman" w:hAnsi="Times New Roman"/>
              </w:rPr>
              <w:t xml:space="preserve">IČO: </w:t>
            </w:r>
            <w:r w:rsidRPr="005D6FCC">
              <w:rPr>
                <w:rFonts w:ascii="Times New Roman" w:hAnsi="Times New Roman"/>
                <w:sz w:val="22"/>
              </w:rPr>
              <w:tab/>
            </w:r>
            <w:r w:rsidRPr="005D6FCC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5D6FCC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D6FCC">
              <w:rPr>
                <w:rFonts w:ascii="Times New Roman" w:hAnsi="Times New Roman"/>
              </w:rPr>
              <w:t xml:space="preserve">DIČ: </w:t>
            </w:r>
            <w:r w:rsidRPr="005D6FCC">
              <w:rPr>
                <w:rFonts w:ascii="Times New Roman" w:hAnsi="Times New Roman"/>
                <w:sz w:val="22"/>
              </w:rPr>
              <w:tab/>
            </w:r>
            <w:r w:rsidRPr="005D6FCC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5D6FCC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5D6FCC">
              <w:rPr>
                <w:rFonts w:ascii="Times New Roman" w:hAnsi="Times New Roman"/>
              </w:rPr>
              <w:t xml:space="preserve">Bankovní spojení: </w:t>
            </w:r>
            <w:r w:rsidRPr="005D6FCC">
              <w:rPr>
                <w:rFonts w:ascii="Times New Roman" w:hAnsi="Times New Roman"/>
                <w:sz w:val="22"/>
              </w:rPr>
              <w:tab/>
            </w:r>
            <w:r w:rsidRPr="005D6FCC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5D6FCC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5D6FCC">
              <w:rPr>
                <w:rFonts w:ascii="Times New Roman" w:hAnsi="Times New Roman"/>
                <w:sz w:val="22"/>
              </w:rPr>
              <w:tab/>
            </w:r>
            <w:r w:rsidRPr="005D6FCC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5D6FCC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5D6FCC">
              <w:rPr>
                <w:rFonts w:ascii="Times New Roman" w:hAnsi="Times New Roman"/>
              </w:rPr>
              <w:t xml:space="preserve">Číslo účtu: </w:t>
            </w:r>
            <w:r w:rsidRPr="005D6FCC">
              <w:rPr>
                <w:rFonts w:ascii="Times New Roman" w:hAnsi="Times New Roman"/>
                <w:sz w:val="22"/>
              </w:rPr>
              <w:tab/>
            </w:r>
            <w:r w:rsidRPr="005D6FCC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5D6FCC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5D6FCC">
              <w:rPr>
                <w:rFonts w:ascii="Times New Roman" w:hAnsi="Times New Roman"/>
                <w:spacing w:val="-6"/>
              </w:rPr>
              <w:t>Variabilní symbol:</w:t>
            </w:r>
            <w:r w:rsidR="009F02E9" w:rsidRPr="005D6FCC">
              <w:rPr>
                <w:rFonts w:ascii="Times New Roman" w:hAnsi="Times New Roman"/>
                <w:spacing w:val="-6"/>
              </w:rPr>
              <w:t xml:space="preserve">   </w:t>
            </w:r>
            <w:r w:rsidR="00D1308E" w:rsidRPr="005D6FCC">
              <w:rPr>
                <w:rFonts w:ascii="Times New Roman" w:hAnsi="Times New Roman"/>
                <w:spacing w:val="-6"/>
              </w:rPr>
              <w:t xml:space="preserve">   </w:t>
            </w:r>
            <w:r w:rsidR="009F02E9" w:rsidRPr="005D6FCC">
              <w:rPr>
                <w:rFonts w:ascii="Times New Roman" w:hAnsi="Times New Roman"/>
                <w:spacing w:val="-6"/>
              </w:rPr>
              <w:t xml:space="preserve"> </w:t>
            </w:r>
            <w:r w:rsidRPr="005D6FCC">
              <w:rPr>
                <w:rFonts w:ascii="Times New Roman" w:hAnsi="Times New Roman"/>
                <w:sz w:val="22"/>
              </w:rPr>
              <w:t>18</w:t>
            </w:r>
            <w:r w:rsidR="007D75E7" w:rsidRPr="005D6FCC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0469</w:t>
            </w:r>
          </w:p>
          <w:p w14:paraId="45E39050" w14:textId="77777777" w:rsidR="00863FEE" w:rsidRPr="005D6FCC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5D6FCC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5D6FCC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5D6FCC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5D6FCC">
              <w:rPr>
                <w:rFonts w:ascii="Times New Roman" w:hAnsi="Times New Roman"/>
              </w:rPr>
              <w:t>IČO:</w:t>
            </w:r>
            <w:r w:rsidRPr="005D6FCC">
              <w:rPr>
                <w:rFonts w:ascii="Times New Roman" w:hAnsi="Times New Roman"/>
                <w:sz w:val="22"/>
              </w:rPr>
              <w:tab/>
            </w:r>
            <w:r w:rsidR="00FD4AB9" w:rsidRPr="005D6FCC">
              <w:rPr>
                <w:rFonts w:ascii="Times New Roman" w:hAnsi="Times New Roman"/>
                <w:sz w:val="22"/>
              </w:rPr>
              <w:t>26850176</w:t>
            </w:r>
          </w:p>
          <w:p w14:paraId="6BEA5692" w14:textId="49BE1A48" w:rsidR="00863FEE" w:rsidRPr="005D6FCC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5D6FCC">
              <w:rPr>
                <w:rFonts w:ascii="Times New Roman" w:hAnsi="Times New Roman"/>
              </w:rPr>
              <w:t>DIČ:</w:t>
            </w:r>
            <w:r w:rsidRPr="005D6FCC">
              <w:rPr>
                <w:rFonts w:ascii="Times New Roman" w:hAnsi="Times New Roman"/>
                <w:sz w:val="22"/>
              </w:rPr>
              <w:tab/>
            </w:r>
            <w:r w:rsidR="00FD4AB9" w:rsidRPr="005D6FCC">
              <w:rPr>
                <w:rFonts w:ascii="Times New Roman" w:hAnsi="Times New Roman"/>
                <w:sz w:val="22"/>
                <w:szCs w:val="22"/>
              </w:rPr>
              <w:t xml:space="preserve">CZ26850176 (neplátce DPH) </w:t>
            </w:r>
          </w:p>
          <w:p w14:paraId="1808137B" w14:textId="506357E2" w:rsidR="005206F2" w:rsidRPr="005D6FCC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5D6FCC">
              <w:rPr>
                <w:rFonts w:ascii="Times New Roman" w:hAnsi="Times New Roman"/>
              </w:rPr>
              <w:t>Bankovní spojení:</w:t>
            </w:r>
            <w:r w:rsidRPr="005D6FCC">
              <w:rPr>
                <w:rFonts w:ascii="Times New Roman" w:hAnsi="Times New Roman"/>
                <w:sz w:val="22"/>
              </w:rPr>
              <w:tab/>
            </w:r>
            <w:r w:rsidR="00FD4AB9" w:rsidRPr="005D6FCC">
              <w:rPr>
                <w:rFonts w:ascii="Times New Roman" w:hAnsi="Times New Roman"/>
                <w:sz w:val="22"/>
                <w:szCs w:val="22"/>
              </w:rPr>
              <w:t>Česká spořitelna, a.s.</w:t>
            </w:r>
          </w:p>
          <w:p w14:paraId="175EA977" w14:textId="794E625A" w:rsidR="00863FEE" w:rsidRPr="005D6FCC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5D6FCC">
              <w:rPr>
                <w:rFonts w:ascii="Times New Roman" w:hAnsi="Times New Roman"/>
              </w:rPr>
              <w:t xml:space="preserve">Číslo účtu: </w:t>
            </w:r>
            <w:r w:rsidRPr="005D6FCC">
              <w:rPr>
                <w:rFonts w:ascii="Times New Roman" w:hAnsi="Times New Roman"/>
                <w:sz w:val="22"/>
              </w:rPr>
              <w:tab/>
            </w:r>
            <w:r w:rsidR="00FD4AB9" w:rsidRPr="005D6FCC">
              <w:rPr>
                <w:rFonts w:ascii="Times New Roman" w:hAnsi="Times New Roman"/>
                <w:sz w:val="22"/>
              </w:rPr>
              <w:t>1659518339/0800</w:t>
            </w:r>
          </w:p>
        </w:tc>
      </w:tr>
      <w:tr w:rsidR="00863FEE" w:rsidRPr="005D6FCC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5D6FCC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D6FCC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5D6FCC">
              <w:rPr>
                <w:rFonts w:ascii="Times New Roman" w:hAnsi="Times New Roman"/>
                <w:sz w:val="22"/>
                <w:szCs w:val="22"/>
              </w:rPr>
              <w:t>„</w:t>
            </w:r>
            <w:r w:rsidRPr="005D6FCC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 w:rsidRPr="005D6FCC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5D6FCC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5D6FCC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5D6FCC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D6FCC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5D6FCC">
              <w:rPr>
                <w:rFonts w:ascii="Times New Roman" w:hAnsi="Times New Roman"/>
                <w:sz w:val="22"/>
                <w:szCs w:val="22"/>
              </w:rPr>
              <w:t>„</w:t>
            </w:r>
            <w:r w:rsidRPr="005D6FCC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 w:rsidRPr="005D6FCC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5D6FCC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5D6FCC" w:rsidRDefault="00941402" w:rsidP="007E176F">
      <w:pPr>
        <w:rPr>
          <w:b/>
          <w:sz w:val="22"/>
        </w:rPr>
      </w:pPr>
    </w:p>
    <w:p w14:paraId="65A519B1" w14:textId="77777777" w:rsidR="000966E6" w:rsidRPr="005D6FCC" w:rsidRDefault="00863FEE" w:rsidP="007E176F">
      <w:pPr>
        <w:rPr>
          <w:rFonts w:ascii="Times New Roman" w:hAnsi="Times New Roman"/>
          <w:sz w:val="22"/>
          <w:szCs w:val="22"/>
        </w:rPr>
      </w:pPr>
      <w:r w:rsidRPr="005D6FCC">
        <w:rPr>
          <w:rFonts w:cs="Arial"/>
          <w:b/>
          <w:sz w:val="22"/>
          <w:szCs w:val="22"/>
        </w:rPr>
        <w:t>s</w:t>
      </w:r>
      <w:r w:rsidR="005A0252" w:rsidRPr="005D6FCC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Pr="005D6FCC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5D6FCC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5D6FCC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5D6FCC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5D6FCC" w:rsidRDefault="004D1482" w:rsidP="007E176F">
      <w:pPr>
        <w:pStyle w:val="JVS2"/>
        <w:tabs>
          <w:tab w:val="clear" w:pos="1440"/>
        </w:tabs>
        <w:jc w:val="both"/>
      </w:pPr>
      <w:r w:rsidRPr="005D6FCC">
        <w:t>čl. I.</w:t>
      </w:r>
    </w:p>
    <w:p w14:paraId="57FDD406" w14:textId="77777777" w:rsidR="00221060" w:rsidRPr="005D6FCC" w:rsidRDefault="004D1482" w:rsidP="007E176F">
      <w:pPr>
        <w:pStyle w:val="JVS2"/>
        <w:tabs>
          <w:tab w:val="clear" w:pos="1440"/>
        </w:tabs>
        <w:jc w:val="both"/>
        <w:outlineLvl w:val="0"/>
      </w:pPr>
      <w:r w:rsidRPr="005D6FCC">
        <w:t>Úvodní ustanovení</w:t>
      </w:r>
      <w:r w:rsidR="00E72E06" w:rsidRPr="005D6FCC">
        <w:t xml:space="preserve"> </w:t>
      </w:r>
    </w:p>
    <w:p w14:paraId="3FBBBF26" w14:textId="77777777" w:rsidR="00795E5C" w:rsidRPr="005D6FC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5D6FCC">
        <w:rPr>
          <w:rFonts w:ascii="Times New Roman" w:hAnsi="Times New Roman"/>
          <w:sz w:val="22"/>
          <w:szCs w:val="22"/>
        </w:rPr>
        <w:t xml:space="preserve">jejího </w:t>
      </w:r>
      <w:r w:rsidRPr="005D6FCC">
        <w:rPr>
          <w:rFonts w:ascii="Times New Roman" w:hAnsi="Times New Roman"/>
          <w:sz w:val="22"/>
          <w:szCs w:val="22"/>
        </w:rPr>
        <w:t>uzavření</w:t>
      </w:r>
      <w:r w:rsidR="009C6D07" w:rsidRPr="005D6FCC">
        <w:rPr>
          <w:rFonts w:ascii="Times New Roman" w:hAnsi="Times New Roman"/>
          <w:sz w:val="22"/>
          <w:szCs w:val="22"/>
        </w:rPr>
        <w:t>.</w:t>
      </w:r>
      <w:r w:rsidRPr="005D6FCC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5D6FCC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 w:rsidRPr="005D6FCC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5D6FCC">
        <w:rPr>
          <w:rFonts w:ascii="Times New Roman" w:hAnsi="Times New Roman"/>
          <w:sz w:val="22"/>
          <w:szCs w:val="22"/>
        </w:rPr>
        <w:t>8</w:t>
      </w:r>
      <w:r w:rsidRPr="005D6FCC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5D6FCC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Pr="005D6FC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5D6FCC">
        <w:rPr>
          <w:rFonts w:ascii="Times New Roman" w:hAnsi="Times New Roman"/>
          <w:sz w:val="22"/>
          <w:szCs w:val="22"/>
        </w:rPr>
        <w:t>písemně</w:t>
      </w:r>
      <w:r w:rsidR="00A67A80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>poskytovatel</w:t>
      </w:r>
      <w:r w:rsidR="00FB2641" w:rsidRPr="005D6FCC">
        <w:rPr>
          <w:rFonts w:ascii="Times New Roman" w:hAnsi="Times New Roman"/>
          <w:sz w:val="22"/>
          <w:szCs w:val="22"/>
        </w:rPr>
        <w:t>i</w:t>
      </w:r>
      <w:r w:rsidR="00FB2641" w:rsidRPr="005D6FCC">
        <w:t xml:space="preserve"> </w:t>
      </w:r>
      <w:r w:rsidR="00FB2641" w:rsidRPr="005D6FCC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 w:rsidRPr="005D6FCC">
        <w:rPr>
          <w:rFonts w:ascii="Times New Roman" w:hAnsi="Times New Roman"/>
          <w:sz w:val="22"/>
          <w:szCs w:val="22"/>
        </w:rPr>
        <w:t>sociální služby</w:t>
      </w:r>
      <w:r w:rsidR="00FB2641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>rovněž veškeré změny, týkající se obsahové části projektu, které nastanou v průběhu jeho realizace, nejpozději však do</w:t>
      </w:r>
      <w:r w:rsidR="000527CF" w:rsidRPr="005D6FCC">
        <w:rPr>
          <w:rFonts w:ascii="Times New Roman" w:hAnsi="Times New Roman"/>
          <w:sz w:val="22"/>
          <w:szCs w:val="22"/>
        </w:rPr>
        <w:t xml:space="preserve"> 30 dnů</w:t>
      </w:r>
      <w:r w:rsidRPr="005D6FCC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Pr="005D6FCC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Pr="005D6FCC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 w:rsidRPr="005D6FCC">
        <w:rPr>
          <w:rFonts w:ascii="Times New Roman" w:hAnsi="Times New Roman"/>
          <w:sz w:val="22"/>
          <w:szCs w:val="22"/>
        </w:rPr>
        <w:t>0</w:t>
      </w:r>
      <w:r w:rsidRPr="005D6FCC"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Pr="005D6FCC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D6FCC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Příjemce čestně prohlašuje, že k datu podpisu této smlouvy vůči němu nebyl vydán Komisí (EU) inkasní příkaz k navrácení neoprávněně vyplacené podpory, v návaznosti na rozhodnutí Komise (EU), jímž </w:t>
      </w:r>
      <w:r w:rsidR="0059050E" w:rsidRPr="005D6FCC">
        <w:rPr>
          <w:rFonts w:ascii="Times New Roman" w:hAnsi="Times New Roman"/>
          <w:sz w:val="22"/>
          <w:szCs w:val="22"/>
        </w:rPr>
        <w:t>byla vyplacená</w:t>
      </w:r>
      <w:r w:rsidRPr="005D6FCC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5D6FCC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5D6FCC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 w:rsidRPr="005D6FCC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5D6FCC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5D6FCC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5D6FCC">
        <w:rPr>
          <w:rFonts w:ascii="Times New Roman" w:hAnsi="Times New Roman"/>
          <w:sz w:val="22"/>
          <w:szCs w:val="22"/>
        </w:rPr>
        <w:t xml:space="preserve">bezúplatně </w:t>
      </w:r>
      <w:r w:rsidRPr="005D6FCC">
        <w:rPr>
          <w:rFonts w:ascii="Times New Roman" w:hAnsi="Times New Roman"/>
          <w:sz w:val="22"/>
          <w:szCs w:val="22"/>
        </w:rPr>
        <w:t>nevýhradní oprávnění logo města</w:t>
      </w:r>
      <w:r w:rsidRPr="005D6FCC">
        <w:rPr>
          <w:sz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5D6FCC">
        <w:rPr>
          <w:rFonts w:ascii="Times New Roman" w:hAnsi="Times New Roman"/>
          <w:sz w:val="22"/>
          <w:szCs w:val="22"/>
        </w:rPr>
        <w:t>v </w:t>
      </w:r>
      <w:r w:rsidR="000B5310" w:rsidRPr="005D6FCC">
        <w:rPr>
          <w:rFonts w:ascii="Times New Roman" w:hAnsi="Times New Roman"/>
          <w:sz w:val="22"/>
          <w:szCs w:val="22"/>
        </w:rPr>
        <w:t xml:space="preserve">čl. V., </w:t>
      </w:r>
      <w:r w:rsidR="005708AF" w:rsidRPr="005D6FCC">
        <w:rPr>
          <w:rFonts w:ascii="Times New Roman" w:hAnsi="Times New Roman"/>
          <w:sz w:val="22"/>
          <w:szCs w:val="22"/>
        </w:rPr>
        <w:t>odst.</w:t>
      </w:r>
      <w:r w:rsidR="007110CE" w:rsidRPr="005D6FCC">
        <w:rPr>
          <w:rFonts w:ascii="Times New Roman" w:hAnsi="Times New Roman"/>
          <w:sz w:val="22"/>
          <w:szCs w:val="22"/>
        </w:rPr>
        <w:t xml:space="preserve"> 1</w:t>
      </w:r>
      <w:r w:rsidR="00D80FB8" w:rsidRPr="005D6FCC">
        <w:rPr>
          <w:rFonts w:ascii="Times New Roman" w:hAnsi="Times New Roman"/>
          <w:sz w:val="22"/>
          <w:szCs w:val="22"/>
        </w:rPr>
        <w:t>5</w:t>
      </w:r>
      <w:r w:rsidR="007110CE" w:rsidRPr="005D6FCC">
        <w:rPr>
          <w:rFonts w:ascii="Times New Roman" w:hAnsi="Times New Roman"/>
          <w:sz w:val="22"/>
          <w:szCs w:val="22"/>
        </w:rPr>
        <w:t xml:space="preserve"> a</w:t>
      </w:r>
      <w:r w:rsidR="000B5310" w:rsidRPr="005D6FCC">
        <w:rPr>
          <w:rFonts w:ascii="Times New Roman" w:hAnsi="Times New Roman"/>
          <w:sz w:val="22"/>
          <w:szCs w:val="22"/>
        </w:rPr>
        <w:t xml:space="preserve"> 1</w:t>
      </w:r>
      <w:r w:rsidR="00D80FB8" w:rsidRPr="005D6FCC">
        <w:rPr>
          <w:rFonts w:ascii="Times New Roman" w:hAnsi="Times New Roman"/>
          <w:sz w:val="22"/>
          <w:szCs w:val="22"/>
        </w:rPr>
        <w:t>6</w:t>
      </w:r>
      <w:r w:rsidR="00FC66D7" w:rsidRPr="005D6FCC">
        <w:rPr>
          <w:rFonts w:ascii="Times New Roman" w:hAnsi="Times New Roman"/>
          <w:sz w:val="22"/>
          <w:szCs w:val="22"/>
        </w:rPr>
        <w:t xml:space="preserve"> této smlouvy</w:t>
      </w:r>
      <w:r w:rsidRPr="005D6FCC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5D6FCC">
        <w:rPr>
          <w:rFonts w:ascii="Times New Roman" w:hAnsi="Times New Roman"/>
          <w:sz w:val="22"/>
          <w:szCs w:val="22"/>
        </w:rPr>
        <w:t xml:space="preserve">města </w:t>
      </w:r>
      <w:r w:rsidRPr="005D6FCC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5D6FCC">
        <w:rPr>
          <w:rFonts w:ascii="Times New Roman" w:hAnsi="Times New Roman"/>
          <w:sz w:val="22"/>
          <w:szCs w:val="22"/>
        </w:rPr>
        <w:t xml:space="preserve"> dle</w:t>
      </w:r>
      <w:r w:rsidRPr="005D6FCC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5D6FCC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5D6FCC" w:rsidRDefault="00795E5C" w:rsidP="007E176F">
      <w:pPr>
        <w:pStyle w:val="JVS2"/>
        <w:tabs>
          <w:tab w:val="clear" w:pos="1440"/>
        </w:tabs>
        <w:jc w:val="both"/>
      </w:pPr>
      <w:r w:rsidRPr="005D6FCC">
        <w:t>čl. II.</w:t>
      </w:r>
    </w:p>
    <w:p w14:paraId="6AB98FB5" w14:textId="77777777" w:rsidR="00221060" w:rsidRPr="005D6FCC" w:rsidRDefault="00795E5C" w:rsidP="007E176F">
      <w:pPr>
        <w:pStyle w:val="JVS2"/>
        <w:tabs>
          <w:tab w:val="clear" w:pos="1440"/>
        </w:tabs>
        <w:jc w:val="both"/>
        <w:outlineLvl w:val="0"/>
      </w:pPr>
      <w:r w:rsidRPr="005D6FCC">
        <w:t>Předmět smlouvy</w:t>
      </w:r>
    </w:p>
    <w:p w14:paraId="6BCB1461" w14:textId="5AAF03AE" w:rsidR="00795E5C" w:rsidRPr="005D6FCC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C2586B" w:rsidRPr="005D6FCC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5D6FCC">
        <w:rPr>
          <w:rFonts w:ascii="Times New Roman" w:hAnsi="Times New Roman"/>
          <w:sz w:val="22"/>
          <w:szCs w:val="22"/>
        </w:rPr>
        <w:t>dotace</w:t>
      </w:r>
      <w:r w:rsidR="000527CF" w:rsidRPr="005D6FCC">
        <w:rPr>
          <w:rFonts w:ascii="Times New Roman" w:hAnsi="Times New Roman"/>
          <w:sz w:val="22"/>
          <w:szCs w:val="22"/>
        </w:rPr>
        <w:t xml:space="preserve"> příjemci </w:t>
      </w:r>
      <w:r w:rsidRPr="005D6FCC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 w:rsidRPr="005D6FCC">
        <w:rPr>
          <w:rFonts w:ascii="Times New Roman" w:hAnsi="Times New Roman"/>
          <w:sz w:val="22"/>
          <w:szCs w:val="22"/>
        </w:rPr>
        <w:t>jen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="005F3FDB" w:rsidRPr="005D6FCC">
        <w:rPr>
          <w:rFonts w:ascii="Times New Roman" w:hAnsi="Times New Roman"/>
          <w:sz w:val="22"/>
          <w:szCs w:val="22"/>
        </w:rPr>
        <w:t>„</w:t>
      </w:r>
      <w:r w:rsidRPr="005D6FCC">
        <w:rPr>
          <w:rFonts w:ascii="Times New Roman" w:hAnsi="Times New Roman"/>
          <w:sz w:val="22"/>
          <w:szCs w:val="22"/>
        </w:rPr>
        <w:t>dotace</w:t>
      </w:r>
      <w:r w:rsidR="005F3FDB" w:rsidRPr="005D6FCC">
        <w:rPr>
          <w:rFonts w:ascii="Times New Roman" w:hAnsi="Times New Roman"/>
          <w:sz w:val="22"/>
          <w:szCs w:val="22"/>
        </w:rPr>
        <w:t>“</w:t>
      </w:r>
      <w:r w:rsidRPr="005D6FCC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 w:rsidRPr="005D6FCC">
        <w:rPr>
          <w:rFonts w:ascii="Times New Roman" w:hAnsi="Times New Roman"/>
          <w:sz w:val="22"/>
          <w:szCs w:val="22"/>
        </w:rPr>
        <w:t>poskytovatele</w:t>
      </w:r>
      <w:r w:rsidRPr="005D6FCC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5D6FCC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5D6FCC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 w:rsidRPr="005D6FCC">
        <w:rPr>
          <w:rFonts w:ascii="Times New Roman" w:hAnsi="Times New Roman"/>
          <w:sz w:val="22"/>
          <w:szCs w:val="22"/>
        </w:rPr>
        <w:t>z</w:t>
      </w:r>
      <w:r w:rsidRPr="005D6FCC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5D6FCC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5D6FCC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Dotace je </w:t>
      </w:r>
      <w:r w:rsidR="00795E5C" w:rsidRPr="005D6FCC">
        <w:rPr>
          <w:rFonts w:ascii="Times New Roman" w:hAnsi="Times New Roman"/>
          <w:sz w:val="22"/>
          <w:szCs w:val="22"/>
        </w:rPr>
        <w:t xml:space="preserve">veřejnou finanční podporou </w:t>
      </w:r>
      <w:r w:rsidRPr="005D6FCC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 w:rsidRPr="005D6FC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5D6FCC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 w:rsidRPr="005D6FCC">
        <w:rPr>
          <w:rFonts w:ascii="Times New Roman" w:hAnsi="Times New Roman"/>
          <w:sz w:val="22"/>
          <w:szCs w:val="22"/>
        </w:rPr>
        <w:t>,</w:t>
      </w:r>
      <w:r w:rsidRPr="005D6FCC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5D6FCC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5D6FC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5D6FCC">
        <w:rPr>
          <w:rFonts w:ascii="Times New Roman" w:hAnsi="Times New Roman"/>
          <w:sz w:val="22"/>
        </w:rPr>
        <w:t>Programem</w:t>
      </w:r>
      <w:r w:rsidRPr="005D6FCC">
        <w:rPr>
          <w:rFonts w:ascii="Times New Roman" w:hAnsi="Times New Roman"/>
          <w:sz w:val="22"/>
        </w:rPr>
        <w:t xml:space="preserve"> </w:t>
      </w:r>
      <w:r w:rsidR="00C0089C" w:rsidRPr="005D6FCC">
        <w:rPr>
          <w:rFonts w:ascii="Times New Roman" w:hAnsi="Times New Roman"/>
          <w:sz w:val="22"/>
        </w:rPr>
        <w:t>na</w:t>
      </w:r>
      <w:r w:rsidRPr="005D6FCC">
        <w:rPr>
          <w:rFonts w:ascii="Times New Roman" w:hAnsi="Times New Roman"/>
          <w:sz w:val="22"/>
        </w:rPr>
        <w:t xml:space="preserve"> poskytování </w:t>
      </w:r>
      <w:r w:rsidR="00D65E7E" w:rsidRPr="005D6FCC">
        <w:rPr>
          <w:rFonts w:ascii="Times New Roman" w:hAnsi="Times New Roman"/>
          <w:sz w:val="22"/>
        </w:rPr>
        <w:t>peněžních prostředků</w:t>
      </w:r>
      <w:r w:rsidRPr="005D6FCC">
        <w:rPr>
          <w:rFonts w:ascii="Times New Roman" w:hAnsi="Times New Roman"/>
          <w:sz w:val="22"/>
        </w:rPr>
        <w:t xml:space="preserve"> z rozpočtu statutárního města Ostrav</w:t>
      </w:r>
      <w:r w:rsidR="00464D1E" w:rsidRPr="005D6FCC">
        <w:rPr>
          <w:rFonts w:ascii="Times New Roman" w:hAnsi="Times New Roman"/>
          <w:sz w:val="22"/>
        </w:rPr>
        <w:t>y</w:t>
      </w:r>
      <w:r w:rsidRPr="005D6FCC">
        <w:rPr>
          <w:rFonts w:ascii="Times New Roman" w:hAnsi="Times New Roman"/>
          <w:sz w:val="22"/>
        </w:rPr>
        <w:t xml:space="preserve"> na rok </w:t>
      </w:r>
      <w:r w:rsidRPr="005D6FCC">
        <w:rPr>
          <w:rFonts w:ascii="Times New Roman" w:hAnsi="Times New Roman"/>
          <w:sz w:val="22"/>
          <w:szCs w:val="22"/>
        </w:rPr>
        <w:t>20</w:t>
      </w:r>
      <w:r w:rsidR="00A1114C" w:rsidRPr="005D6FCC">
        <w:rPr>
          <w:rFonts w:ascii="Times New Roman" w:hAnsi="Times New Roman"/>
          <w:sz w:val="22"/>
          <w:szCs w:val="22"/>
        </w:rPr>
        <w:t>2</w:t>
      </w:r>
      <w:r w:rsidR="00176AD1" w:rsidRPr="005D6FCC">
        <w:rPr>
          <w:rFonts w:ascii="Times New Roman" w:hAnsi="Times New Roman"/>
          <w:sz w:val="22"/>
          <w:szCs w:val="22"/>
        </w:rPr>
        <w:t>4</w:t>
      </w:r>
      <w:r w:rsidR="0059050E" w:rsidRPr="005D6FCC">
        <w:rPr>
          <w:rFonts w:ascii="Times New Roman" w:hAnsi="Times New Roman"/>
          <w:sz w:val="22"/>
          <w:szCs w:val="22"/>
        </w:rPr>
        <w:t xml:space="preserve"> a Podmínkami pro oblast</w:t>
      </w:r>
      <w:r w:rsidR="00DD4B3F" w:rsidRPr="005D6FCC">
        <w:rPr>
          <w:rFonts w:ascii="Times New Roman" w:hAnsi="Times New Roman"/>
          <w:sz w:val="22"/>
          <w:szCs w:val="22"/>
        </w:rPr>
        <w:t xml:space="preserve"> sociální péče</w:t>
      </w:r>
      <w:r w:rsidR="00D65E7E" w:rsidRPr="005D6FCC">
        <w:rPr>
          <w:rFonts w:ascii="Times New Roman" w:hAnsi="Times New Roman"/>
          <w:sz w:val="22"/>
          <w:szCs w:val="22"/>
        </w:rPr>
        <w:t>, schváleným</w:t>
      </w:r>
      <w:r w:rsidR="00D80FB8" w:rsidRPr="005D6FCC">
        <w:rPr>
          <w:rFonts w:ascii="Times New Roman" w:hAnsi="Times New Roman"/>
          <w:sz w:val="22"/>
          <w:szCs w:val="22"/>
        </w:rPr>
        <w:t>i</w:t>
      </w:r>
      <w:r w:rsidRPr="005D6FCC">
        <w:rPr>
          <w:rFonts w:ascii="Times New Roman" w:hAnsi="Times New Roman"/>
          <w:sz w:val="22"/>
        </w:rPr>
        <w:t xml:space="preserve"> usnesením Zastupitelstva města Ostrav</w:t>
      </w:r>
      <w:r w:rsidR="00464D1E" w:rsidRPr="005D6FCC">
        <w:rPr>
          <w:rFonts w:ascii="Times New Roman" w:hAnsi="Times New Roman"/>
          <w:sz w:val="22"/>
        </w:rPr>
        <w:t>y</w:t>
      </w:r>
      <w:r w:rsidR="00D65E7E" w:rsidRPr="005D6FCC">
        <w:rPr>
          <w:rFonts w:ascii="Times New Roman" w:hAnsi="Times New Roman"/>
          <w:sz w:val="22"/>
        </w:rPr>
        <w:t xml:space="preserve"> č. </w:t>
      </w:r>
      <w:r w:rsidR="00932462" w:rsidRPr="005D6FCC">
        <w:rPr>
          <w:rFonts w:ascii="Times New Roman" w:hAnsi="Times New Roman"/>
          <w:sz w:val="22"/>
        </w:rPr>
        <w:t>0433</w:t>
      </w:r>
      <w:r w:rsidR="009C2AB2" w:rsidRPr="005D6FCC">
        <w:rPr>
          <w:rFonts w:ascii="Times New Roman" w:hAnsi="Times New Roman"/>
          <w:sz w:val="22"/>
        </w:rPr>
        <w:t>/ZM</w:t>
      </w:r>
      <w:r w:rsidR="00932462" w:rsidRPr="005D6FCC">
        <w:rPr>
          <w:rFonts w:ascii="Times New Roman" w:hAnsi="Times New Roman"/>
          <w:sz w:val="22"/>
        </w:rPr>
        <w:t>2226</w:t>
      </w:r>
      <w:r w:rsidR="009C2AB2" w:rsidRPr="005D6FCC">
        <w:rPr>
          <w:rFonts w:ascii="Times New Roman" w:hAnsi="Times New Roman"/>
          <w:sz w:val="22"/>
        </w:rPr>
        <w:t>/</w:t>
      </w:r>
      <w:r w:rsidR="00932462" w:rsidRPr="005D6FCC">
        <w:rPr>
          <w:rFonts w:ascii="Times New Roman" w:hAnsi="Times New Roman"/>
          <w:sz w:val="22"/>
        </w:rPr>
        <w:t>10</w:t>
      </w:r>
      <w:r w:rsidR="009F4568" w:rsidRPr="005D6FCC">
        <w:rPr>
          <w:rFonts w:ascii="Times New Roman" w:hAnsi="Times New Roman"/>
          <w:sz w:val="22"/>
        </w:rPr>
        <w:t xml:space="preserve"> </w:t>
      </w:r>
      <w:r w:rsidR="00FD7BB5" w:rsidRPr="005D6FCC">
        <w:rPr>
          <w:rFonts w:ascii="Times New Roman" w:hAnsi="Times New Roman"/>
          <w:sz w:val="22"/>
        </w:rPr>
        <w:t>ze </w:t>
      </w:r>
      <w:r w:rsidRPr="005D6FCC">
        <w:rPr>
          <w:rFonts w:ascii="Times New Roman" w:hAnsi="Times New Roman"/>
          <w:sz w:val="22"/>
        </w:rPr>
        <w:t xml:space="preserve">dne </w:t>
      </w:r>
      <w:r w:rsidR="00932462" w:rsidRPr="005D6FCC">
        <w:rPr>
          <w:rFonts w:ascii="Times New Roman" w:hAnsi="Times New Roman"/>
          <w:sz w:val="22"/>
          <w:szCs w:val="22"/>
        </w:rPr>
        <w:t>20.09.2023</w:t>
      </w:r>
      <w:r w:rsidR="005A005E" w:rsidRPr="005D6FCC">
        <w:rPr>
          <w:rFonts w:ascii="Times New Roman" w:hAnsi="Times New Roman"/>
          <w:sz w:val="22"/>
          <w:szCs w:val="22"/>
        </w:rPr>
        <w:t>.</w:t>
      </w:r>
      <w:r w:rsidR="00A7580E" w:rsidRPr="005D6FCC">
        <w:rPr>
          <w:rFonts w:ascii="Times New Roman" w:hAnsi="Times New Roman"/>
          <w:sz w:val="22"/>
          <w:szCs w:val="22"/>
        </w:rPr>
        <w:t xml:space="preserve"> </w:t>
      </w:r>
      <w:r w:rsidR="004B3ED7" w:rsidRPr="005D6FCC">
        <w:rPr>
          <w:rFonts w:ascii="Times New Roman" w:hAnsi="Times New Roman"/>
          <w:sz w:val="22"/>
          <w:szCs w:val="22"/>
        </w:rPr>
        <w:t>P</w:t>
      </w:r>
      <w:r w:rsidR="00080873" w:rsidRPr="005D6FC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 w:rsidRPr="005D6FCC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5D6FC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5D6FCC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5D6FCC" w:rsidRDefault="006A0802" w:rsidP="007E176F">
      <w:pPr>
        <w:pStyle w:val="JVS2"/>
        <w:tabs>
          <w:tab w:val="clear" w:pos="1440"/>
        </w:tabs>
        <w:jc w:val="both"/>
      </w:pPr>
      <w:r w:rsidRPr="005D6FCC">
        <w:t xml:space="preserve">čl. </w:t>
      </w:r>
      <w:r w:rsidR="00795E5C" w:rsidRPr="005D6FCC">
        <w:t>III.</w:t>
      </w:r>
    </w:p>
    <w:p w14:paraId="60140E69" w14:textId="77777777" w:rsidR="00795E5C" w:rsidRPr="005D6FCC" w:rsidRDefault="00795E5C" w:rsidP="007E176F">
      <w:pPr>
        <w:pStyle w:val="JVS2"/>
        <w:tabs>
          <w:tab w:val="clear" w:pos="1440"/>
        </w:tabs>
        <w:jc w:val="both"/>
        <w:outlineLvl w:val="0"/>
      </w:pPr>
      <w:r w:rsidRPr="005D6FCC">
        <w:t>Účel dotace</w:t>
      </w:r>
    </w:p>
    <w:p w14:paraId="7C79C767" w14:textId="37F27335" w:rsidR="0061273B" w:rsidRPr="005D6FCC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C2586B" w:rsidRPr="005D6FCC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 w:rsidRPr="005D6FCC">
        <w:rPr>
          <w:rFonts w:ascii="Times New Roman" w:hAnsi="Times New Roman"/>
          <w:sz w:val="22"/>
          <w:szCs w:val="22"/>
        </w:rPr>
        <w:t xml:space="preserve">účelovou </w:t>
      </w:r>
      <w:r w:rsidRPr="005D6FCC">
        <w:rPr>
          <w:rFonts w:ascii="Times New Roman" w:hAnsi="Times New Roman"/>
          <w:sz w:val="22"/>
          <w:szCs w:val="22"/>
        </w:rPr>
        <w:t>dotaci</w:t>
      </w:r>
      <w:r w:rsidR="00795E5C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 xml:space="preserve">na </w:t>
      </w:r>
      <w:r w:rsidR="00DF7D20" w:rsidRPr="005D6FCC">
        <w:rPr>
          <w:rFonts w:ascii="Times New Roman" w:hAnsi="Times New Roman"/>
          <w:sz w:val="22"/>
          <w:szCs w:val="22"/>
        </w:rPr>
        <w:t xml:space="preserve">náklady </w:t>
      </w:r>
      <w:r w:rsidRPr="005D6FCC">
        <w:rPr>
          <w:rFonts w:ascii="Times New Roman" w:hAnsi="Times New Roman"/>
          <w:sz w:val="22"/>
          <w:szCs w:val="22"/>
        </w:rPr>
        <w:t>spojené s realizací projektu v</w:t>
      </w:r>
      <w:r w:rsidR="0061273B" w:rsidRPr="005D6FCC">
        <w:rPr>
          <w:rFonts w:ascii="Times New Roman" w:hAnsi="Times New Roman"/>
          <w:sz w:val="22"/>
          <w:szCs w:val="22"/>
        </w:rPr>
        <w:t xml:space="preserve"> souladu s předloženou </w:t>
      </w:r>
      <w:r w:rsidR="00D37948" w:rsidRPr="005D6FCC">
        <w:rPr>
          <w:rFonts w:ascii="Times New Roman" w:hAnsi="Times New Roman"/>
          <w:sz w:val="22"/>
          <w:szCs w:val="22"/>
        </w:rPr>
        <w:t xml:space="preserve">žádostí </w:t>
      </w:r>
      <w:r w:rsidR="00483B5A" w:rsidRPr="005D6FCC">
        <w:rPr>
          <w:rFonts w:ascii="Times New Roman" w:hAnsi="Times New Roman"/>
          <w:sz w:val="22"/>
          <w:szCs w:val="22"/>
        </w:rPr>
        <w:t xml:space="preserve">číslo </w:t>
      </w:r>
      <w:r w:rsidR="00DD4B3F" w:rsidRPr="005D6FCC">
        <w:rPr>
          <w:rFonts w:ascii="Times New Roman" w:hAnsi="Times New Roman"/>
          <w:sz w:val="22"/>
          <w:szCs w:val="22"/>
        </w:rPr>
        <w:t xml:space="preserve">23/1561 </w:t>
      </w:r>
      <w:r w:rsidR="00D37948" w:rsidRPr="005D6FCC">
        <w:rPr>
          <w:rFonts w:ascii="Times New Roman" w:hAnsi="Times New Roman"/>
          <w:sz w:val="22"/>
          <w:szCs w:val="22"/>
        </w:rPr>
        <w:t>včetně příloh</w:t>
      </w:r>
      <w:r w:rsidR="0061273B" w:rsidRPr="005D6FCC">
        <w:rPr>
          <w:rFonts w:ascii="Times New Roman" w:hAnsi="Times New Roman"/>
          <w:sz w:val="22"/>
          <w:szCs w:val="22"/>
        </w:rPr>
        <w:t xml:space="preserve"> </w:t>
      </w:r>
      <w:r w:rsidR="009C6D07" w:rsidRPr="005D6FCC">
        <w:rPr>
          <w:rFonts w:ascii="Times New Roman" w:hAnsi="Times New Roman"/>
          <w:sz w:val="22"/>
          <w:szCs w:val="22"/>
        </w:rPr>
        <w:t xml:space="preserve">(dále </w:t>
      </w:r>
      <w:r w:rsidR="00C13802" w:rsidRPr="005D6FCC">
        <w:rPr>
          <w:rFonts w:ascii="Times New Roman" w:hAnsi="Times New Roman"/>
          <w:sz w:val="22"/>
          <w:szCs w:val="22"/>
        </w:rPr>
        <w:t>také</w:t>
      </w:r>
      <w:r w:rsidR="009C6D07" w:rsidRPr="005D6FCC">
        <w:rPr>
          <w:rFonts w:ascii="Times New Roman" w:hAnsi="Times New Roman"/>
          <w:sz w:val="22"/>
          <w:szCs w:val="22"/>
        </w:rPr>
        <w:t xml:space="preserve"> </w:t>
      </w:r>
      <w:r w:rsidR="005F3FDB" w:rsidRPr="005D6FCC">
        <w:rPr>
          <w:rFonts w:ascii="Times New Roman" w:hAnsi="Times New Roman"/>
          <w:sz w:val="22"/>
          <w:szCs w:val="22"/>
        </w:rPr>
        <w:t>„</w:t>
      </w:r>
      <w:r w:rsidR="009C6D07" w:rsidRPr="005D6FCC">
        <w:rPr>
          <w:rFonts w:ascii="Times New Roman" w:hAnsi="Times New Roman"/>
          <w:sz w:val="22"/>
          <w:szCs w:val="22"/>
        </w:rPr>
        <w:t>předložený projekt</w:t>
      </w:r>
      <w:r w:rsidR="00DC4AB3" w:rsidRPr="005D6FCC">
        <w:rPr>
          <w:rFonts w:ascii="Times New Roman" w:hAnsi="Times New Roman"/>
          <w:sz w:val="22"/>
          <w:szCs w:val="22"/>
        </w:rPr>
        <w:t>“</w:t>
      </w:r>
      <w:r w:rsidR="00D309A8" w:rsidRPr="005D6FCC">
        <w:rPr>
          <w:rFonts w:ascii="Times New Roman" w:hAnsi="Times New Roman"/>
          <w:sz w:val="22"/>
          <w:szCs w:val="22"/>
        </w:rPr>
        <w:t xml:space="preserve"> nebo „projekt</w:t>
      </w:r>
      <w:r w:rsidR="005F3FDB" w:rsidRPr="005D6FCC">
        <w:rPr>
          <w:rFonts w:ascii="Times New Roman" w:hAnsi="Times New Roman"/>
          <w:sz w:val="22"/>
          <w:szCs w:val="22"/>
        </w:rPr>
        <w:t>“</w:t>
      </w:r>
      <w:r w:rsidR="009C6D07" w:rsidRPr="005D6FCC">
        <w:rPr>
          <w:rFonts w:ascii="Times New Roman" w:hAnsi="Times New Roman"/>
          <w:sz w:val="22"/>
          <w:szCs w:val="22"/>
        </w:rPr>
        <w:t>)</w:t>
      </w:r>
      <w:r w:rsidR="0061273B" w:rsidRPr="005D6FCC">
        <w:rPr>
          <w:rFonts w:ascii="Times New Roman" w:hAnsi="Times New Roman"/>
          <w:sz w:val="22"/>
          <w:szCs w:val="22"/>
        </w:rPr>
        <w:t>:</w:t>
      </w:r>
    </w:p>
    <w:p w14:paraId="42796A11" w14:textId="77777777" w:rsidR="009625B5" w:rsidRPr="005D6FCC" w:rsidRDefault="009625B5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Pr="005D6FCC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5D6FCC">
        <w:rPr>
          <w:rFonts w:ascii="Times New Roman" w:hAnsi="Times New Roman"/>
          <w:b/>
          <w:sz w:val="22"/>
          <w:szCs w:val="22"/>
        </w:rPr>
        <w:t>Název projektu:</w:t>
      </w:r>
      <w:r w:rsidR="006D142B" w:rsidRPr="005D6FCC">
        <w:rPr>
          <w:rFonts w:ascii="Times New Roman" w:hAnsi="Times New Roman"/>
          <w:b/>
          <w:sz w:val="22"/>
          <w:szCs w:val="22"/>
        </w:rPr>
        <w:tab/>
      </w:r>
      <w:r w:rsidR="00DD4B3F" w:rsidRPr="005D6FCC">
        <w:rPr>
          <w:rFonts w:ascii="Times New Roman" w:hAnsi="Times New Roman"/>
          <w:b/>
          <w:sz w:val="22"/>
          <w:szCs w:val="22"/>
        </w:rPr>
        <w:t>Mobilní hospicová péče pro děti a dospělé</w:t>
      </w:r>
    </w:p>
    <w:p w14:paraId="4B0505B7" w14:textId="427F4DD4" w:rsidR="00C2671E" w:rsidRPr="005D6FCC" w:rsidRDefault="007466B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5D6FCC">
        <w:rPr>
          <w:rFonts w:ascii="Times New Roman" w:hAnsi="Times New Roman"/>
          <w:b/>
          <w:sz w:val="22"/>
          <w:szCs w:val="22"/>
        </w:rPr>
        <w:t>Sociální služba:</w:t>
      </w:r>
      <w:r w:rsidRPr="005D6FCC">
        <w:rPr>
          <w:rFonts w:ascii="Times New Roman" w:hAnsi="Times New Roman"/>
          <w:b/>
          <w:sz w:val="22"/>
          <w:szCs w:val="22"/>
        </w:rPr>
        <w:tab/>
      </w:r>
      <w:r w:rsidR="00DD4B3F" w:rsidRPr="005D6FCC">
        <w:rPr>
          <w:rFonts w:ascii="Times New Roman" w:hAnsi="Times New Roman"/>
          <w:b/>
          <w:sz w:val="22"/>
          <w:szCs w:val="22"/>
        </w:rPr>
        <w:t>sociální poradenství (§37) – ambulantní, terénní (identifikátor: 8949406)</w:t>
      </w:r>
    </w:p>
    <w:p w14:paraId="719C39E5" w14:textId="77777777" w:rsidR="0029269F" w:rsidRPr="005D6FCC" w:rsidRDefault="0029269F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2D8DE95E" w14:textId="3F0C304B" w:rsidR="0029269F" w:rsidRPr="005D6FCC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5D6FCC"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5D6FCC">
        <w:rPr>
          <w:rFonts w:ascii="Times New Roman" w:hAnsi="Times New Roman"/>
          <w:b/>
          <w:sz w:val="22"/>
          <w:szCs w:val="22"/>
        </w:rPr>
        <w:t>:</w:t>
      </w:r>
      <w:r w:rsidR="005128D7" w:rsidRPr="005D6FCC">
        <w:rPr>
          <w:rFonts w:ascii="Times New Roman" w:hAnsi="Times New Roman"/>
          <w:sz w:val="22"/>
          <w:szCs w:val="22"/>
        </w:rPr>
        <w:t xml:space="preserve"> </w:t>
      </w:r>
      <w:r w:rsidR="006D142B" w:rsidRPr="005D6FCC">
        <w:rPr>
          <w:rFonts w:ascii="Times New Roman" w:hAnsi="Times New Roman"/>
          <w:sz w:val="22"/>
          <w:szCs w:val="22"/>
        </w:rPr>
        <w:tab/>
      </w:r>
      <w:r w:rsidR="00D80F2E" w:rsidRPr="005D6FCC">
        <w:rPr>
          <w:rFonts w:ascii="Times New Roman" w:hAnsi="Times New Roman"/>
          <w:b/>
          <w:sz w:val="22"/>
          <w:szCs w:val="22"/>
        </w:rPr>
        <w:t>Gurťjevova 11, 7</w:t>
      </w:r>
      <w:r w:rsidR="00EE0C02" w:rsidRPr="005D6FCC">
        <w:rPr>
          <w:rFonts w:ascii="Times New Roman" w:hAnsi="Times New Roman"/>
          <w:b/>
          <w:sz w:val="22"/>
          <w:szCs w:val="22"/>
        </w:rPr>
        <w:t>0</w:t>
      </w:r>
      <w:r w:rsidR="00D80F2E" w:rsidRPr="005D6FCC">
        <w:rPr>
          <w:rFonts w:ascii="Times New Roman" w:hAnsi="Times New Roman"/>
          <w:b/>
          <w:sz w:val="22"/>
          <w:szCs w:val="22"/>
        </w:rPr>
        <w:t xml:space="preserve">0 </w:t>
      </w:r>
      <w:r w:rsidR="00EE0C02" w:rsidRPr="005D6FCC">
        <w:rPr>
          <w:rFonts w:ascii="Times New Roman" w:hAnsi="Times New Roman"/>
          <w:b/>
          <w:sz w:val="22"/>
          <w:szCs w:val="22"/>
        </w:rPr>
        <w:t>3</w:t>
      </w:r>
      <w:r w:rsidR="00D80F2E" w:rsidRPr="005D6FCC">
        <w:rPr>
          <w:rFonts w:ascii="Times New Roman" w:hAnsi="Times New Roman"/>
          <w:b/>
          <w:sz w:val="22"/>
          <w:szCs w:val="22"/>
        </w:rPr>
        <w:t xml:space="preserve">0 </w:t>
      </w:r>
      <w:proofErr w:type="gramStart"/>
      <w:r w:rsidR="00D80F2E" w:rsidRPr="005D6FCC">
        <w:rPr>
          <w:rFonts w:ascii="Times New Roman" w:hAnsi="Times New Roman"/>
          <w:b/>
          <w:sz w:val="22"/>
          <w:szCs w:val="22"/>
        </w:rPr>
        <w:t>Ostrava - Zábřeh</w:t>
      </w:r>
      <w:proofErr w:type="gramEnd"/>
      <w:r w:rsidR="00D80F2E" w:rsidRPr="005D6FCC">
        <w:rPr>
          <w:rFonts w:ascii="Times New Roman" w:hAnsi="Times New Roman"/>
          <w:b/>
          <w:sz w:val="22"/>
          <w:szCs w:val="22"/>
        </w:rPr>
        <w:t xml:space="preserve"> (ambulantní forma), </w:t>
      </w:r>
    </w:p>
    <w:p w14:paraId="1AB921BD" w14:textId="51A58A75" w:rsidR="0061273B" w:rsidRPr="005D6FCC" w:rsidRDefault="0029269F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5D6FCC">
        <w:rPr>
          <w:rFonts w:ascii="Times New Roman" w:hAnsi="Times New Roman"/>
          <w:b/>
          <w:sz w:val="22"/>
          <w:szCs w:val="22"/>
        </w:rPr>
        <w:tab/>
      </w:r>
      <w:r w:rsidR="00D80F2E" w:rsidRPr="005D6FCC">
        <w:rPr>
          <w:rFonts w:ascii="Times New Roman" w:hAnsi="Times New Roman"/>
          <w:b/>
          <w:sz w:val="22"/>
          <w:szCs w:val="22"/>
        </w:rPr>
        <w:t>domácnosti klientů na území statutárního města Ostravy a širšího správního obvodu (terénní forma)</w:t>
      </w:r>
      <w:r w:rsidR="00EE0C02" w:rsidRPr="005D6FCC">
        <w:rPr>
          <w:rFonts w:ascii="Times New Roman" w:hAnsi="Times New Roman"/>
          <w:b/>
          <w:sz w:val="22"/>
          <w:szCs w:val="22"/>
        </w:rPr>
        <w:t>.</w:t>
      </w:r>
    </w:p>
    <w:p w14:paraId="5711040C" w14:textId="5C7A3BDD" w:rsidR="001C6C40" w:rsidRPr="005D6FCC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 w:rsidRPr="005D6FCC">
        <w:rPr>
          <w:rFonts w:ascii="Times New Roman" w:hAnsi="Times New Roman"/>
          <w:bCs/>
          <w:sz w:val="22"/>
          <w:szCs w:val="22"/>
        </w:rPr>
        <w:tab/>
      </w:r>
      <w:r w:rsidR="007202CB" w:rsidRPr="005D6FCC">
        <w:rPr>
          <w:rFonts w:ascii="Times New Roman" w:hAnsi="Times New Roman"/>
          <w:bCs/>
          <w:sz w:val="22"/>
          <w:szCs w:val="22"/>
        </w:rPr>
        <w:t>Rozšíření</w:t>
      </w:r>
      <w:r w:rsidRPr="005D6FCC">
        <w:rPr>
          <w:rFonts w:ascii="Times New Roman" w:hAnsi="Times New Roman"/>
          <w:bCs/>
          <w:sz w:val="22"/>
          <w:szCs w:val="22"/>
        </w:rPr>
        <w:t xml:space="preserve"> uvedeného místa realizace je možn</w:t>
      </w:r>
      <w:r w:rsidR="007202CB" w:rsidRPr="005D6FCC">
        <w:rPr>
          <w:rFonts w:ascii="Times New Roman" w:hAnsi="Times New Roman"/>
          <w:bCs/>
          <w:sz w:val="22"/>
          <w:szCs w:val="22"/>
        </w:rPr>
        <w:t>é</w:t>
      </w:r>
      <w:r w:rsidRPr="005D6FCC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0F6CA0C2" w14:textId="77777777" w:rsidR="0029269F" w:rsidRPr="005D6FCC" w:rsidRDefault="0029269F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51084C63" w14:textId="1165F4CA" w:rsidR="00D034A5" w:rsidRPr="005D6FCC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5D6FCC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5D6FCC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5D6FCC">
        <w:rPr>
          <w:rFonts w:ascii="Times New Roman" w:hAnsi="Times New Roman"/>
          <w:sz w:val="22"/>
          <w:szCs w:val="22"/>
        </w:rPr>
        <w:t>Příjemce je povinen použít dotaci v souladu s účelem této smlouvy a předloženým projektem k úhradě uznatelných nákladů prokazatelně souvisejících s realizací účelu dotace dle tohoto článku této smlouvy, a to pouze na:</w:t>
      </w:r>
    </w:p>
    <w:p w14:paraId="031917EB" w14:textId="77777777" w:rsidR="00AC24BC" w:rsidRPr="005D6FCC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5C5BA3EC" w14:textId="77777777" w:rsidR="0029269F" w:rsidRPr="005D6FCC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5D6FCC">
        <w:rPr>
          <w:rFonts w:ascii="Times New Roman" w:hAnsi="Times New Roman"/>
          <w:b/>
          <w:iCs/>
          <w:sz w:val="21"/>
          <w:szCs w:val="21"/>
        </w:rPr>
        <w:t xml:space="preserve">pohonné hmoty, </w:t>
      </w:r>
    </w:p>
    <w:p w14:paraId="6D48A17E" w14:textId="77777777" w:rsidR="0029269F" w:rsidRPr="005D6FCC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D6FCC">
        <w:rPr>
          <w:rFonts w:ascii="Times New Roman" w:hAnsi="Times New Roman"/>
          <w:b/>
          <w:iCs/>
          <w:sz w:val="21"/>
          <w:szCs w:val="21"/>
        </w:rPr>
        <w:t xml:space="preserve">opravy a udržování, </w:t>
      </w:r>
    </w:p>
    <w:p w14:paraId="3B6421EA" w14:textId="77777777" w:rsidR="0029269F" w:rsidRPr="005D6FCC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D6FCC">
        <w:rPr>
          <w:rFonts w:ascii="Times New Roman" w:hAnsi="Times New Roman"/>
          <w:b/>
          <w:iCs/>
          <w:sz w:val="21"/>
          <w:szCs w:val="21"/>
        </w:rPr>
        <w:t xml:space="preserve">spoje, </w:t>
      </w:r>
    </w:p>
    <w:p w14:paraId="419A8C0D" w14:textId="77777777" w:rsidR="0029269F" w:rsidRPr="005D6FCC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D6FCC">
        <w:rPr>
          <w:rFonts w:ascii="Times New Roman" w:hAnsi="Times New Roman"/>
          <w:b/>
          <w:iCs/>
          <w:sz w:val="21"/>
          <w:szCs w:val="21"/>
        </w:rPr>
        <w:t xml:space="preserve">školení a kurzy, </w:t>
      </w:r>
    </w:p>
    <w:p w14:paraId="33643821" w14:textId="77777777" w:rsidR="0029269F" w:rsidRPr="005D6FCC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D6FCC">
        <w:rPr>
          <w:rFonts w:ascii="Times New Roman" w:hAnsi="Times New Roman"/>
          <w:b/>
          <w:iCs/>
          <w:sz w:val="21"/>
          <w:szCs w:val="21"/>
        </w:rPr>
        <w:t xml:space="preserve">pojištění majetku, </w:t>
      </w:r>
    </w:p>
    <w:p w14:paraId="32D8F8AE" w14:textId="77777777" w:rsidR="0029269F" w:rsidRPr="005D6FCC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D6FCC">
        <w:rPr>
          <w:rFonts w:ascii="Times New Roman" w:hAnsi="Times New Roman"/>
          <w:b/>
          <w:iCs/>
          <w:sz w:val="21"/>
          <w:szCs w:val="21"/>
        </w:rPr>
        <w:t xml:space="preserve">jiné služby (pronájem kopírky, tisky, správa sítě, BOZP, parkovné), </w:t>
      </w:r>
    </w:p>
    <w:p w14:paraId="6382ED81" w14:textId="77777777" w:rsidR="0029269F" w:rsidRPr="005D6FCC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D6FCC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5CF29939" w14:textId="77777777" w:rsidR="0029269F" w:rsidRPr="005D6FCC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D6FCC">
        <w:rPr>
          <w:rFonts w:ascii="Times New Roman" w:hAnsi="Times New Roman"/>
          <w:b/>
          <w:iCs/>
          <w:sz w:val="21"/>
          <w:szCs w:val="21"/>
        </w:rPr>
        <w:t xml:space="preserve">zákonné sociální a zdravotní pojištění, </w:t>
      </w:r>
    </w:p>
    <w:p w14:paraId="6E4DAF81" w14:textId="61ECFAD1" w:rsidR="00A43BEC" w:rsidRPr="005D6FCC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D6FCC">
        <w:rPr>
          <w:rFonts w:ascii="Times New Roman" w:hAnsi="Times New Roman"/>
          <w:b/>
          <w:iCs/>
          <w:sz w:val="21"/>
          <w:szCs w:val="21"/>
        </w:rPr>
        <w:t>jiné osobní náklady (příspěvek na stravování zaměstnanců)</w:t>
      </w:r>
      <w:r w:rsidR="0029269F" w:rsidRPr="005D6FCC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5D6FCC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5D6FCC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Příjemce je </w:t>
      </w:r>
      <w:r w:rsidRPr="005D6FCC">
        <w:rPr>
          <w:rFonts w:ascii="Times New Roman" w:hAnsi="Times New Roman"/>
          <w:sz w:val="22"/>
        </w:rPr>
        <w:t>oprávněn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</w:rPr>
        <w:t xml:space="preserve">čerpat </w:t>
      </w:r>
      <w:r w:rsidRPr="005D6FCC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5D6FCC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Pr="005D6FC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5C02096C" w:rsidR="001B09DC" w:rsidRPr="005D6FCC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5D6FCC">
        <w:rPr>
          <w:rFonts w:ascii="Times New Roman" w:hAnsi="Times New Roman"/>
          <w:b/>
          <w:sz w:val="22"/>
        </w:rPr>
        <w:t xml:space="preserve">Příjemce je oprávněn </w:t>
      </w:r>
      <w:bookmarkStart w:id="1" w:name="_Hlk156971654"/>
      <w:r w:rsidR="00171E76" w:rsidRPr="005D6FCC">
        <w:rPr>
          <w:rFonts w:ascii="Times New Roman" w:hAnsi="Times New Roman"/>
          <w:b/>
          <w:sz w:val="22"/>
        </w:rPr>
        <w:t>nákladovou položku</w:t>
      </w:r>
      <w:r w:rsidR="00A54DD4" w:rsidRPr="005D6FCC">
        <w:rPr>
          <w:rFonts w:ascii="Times New Roman" w:hAnsi="Times New Roman"/>
          <w:sz w:val="22"/>
          <w:szCs w:val="22"/>
        </w:rPr>
        <w:t xml:space="preserve"> </w:t>
      </w:r>
      <w:r w:rsidR="00171E76" w:rsidRPr="005D6FCC">
        <w:rPr>
          <w:rFonts w:ascii="Times New Roman" w:hAnsi="Times New Roman"/>
          <w:b/>
          <w:bCs/>
          <w:iCs/>
          <w:sz w:val="22"/>
          <w:szCs w:val="22"/>
        </w:rPr>
        <w:t>pohonné hmoty</w:t>
      </w:r>
      <w:r w:rsidR="00042CCE" w:rsidRPr="005D6FCC">
        <w:rPr>
          <w:rFonts w:ascii="Times New Roman" w:hAnsi="Times New Roman"/>
          <w:i/>
          <w:sz w:val="22"/>
          <w:szCs w:val="22"/>
        </w:rPr>
        <w:t xml:space="preserve"> </w:t>
      </w:r>
      <w:bookmarkEnd w:id="1"/>
      <w:r w:rsidRPr="005D6FCC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 w:rsidRPr="005D6FCC">
        <w:rPr>
          <w:rFonts w:ascii="Times New Roman" w:hAnsi="Times New Roman"/>
          <w:b/>
          <w:sz w:val="22"/>
        </w:rPr>
        <w:t xml:space="preserve">max. </w:t>
      </w:r>
      <w:r w:rsidR="00171E76" w:rsidRPr="005D6FCC">
        <w:rPr>
          <w:rFonts w:ascii="Times New Roman" w:hAnsi="Times New Roman"/>
          <w:b/>
          <w:sz w:val="22"/>
        </w:rPr>
        <w:t>3 000</w:t>
      </w:r>
      <w:r w:rsidR="00A645FC" w:rsidRPr="005D6FCC">
        <w:rPr>
          <w:rFonts w:ascii="Times New Roman" w:hAnsi="Times New Roman"/>
          <w:b/>
          <w:sz w:val="22"/>
        </w:rPr>
        <w:t>,- </w:t>
      </w:r>
      <w:r w:rsidRPr="005D6FCC">
        <w:rPr>
          <w:rFonts w:ascii="Times New Roman" w:hAnsi="Times New Roman"/>
          <w:b/>
          <w:sz w:val="22"/>
        </w:rPr>
        <w:t xml:space="preserve">Kč. </w:t>
      </w:r>
    </w:p>
    <w:p w14:paraId="10883017" w14:textId="7E1AD50B" w:rsidR="004F5E85" w:rsidRPr="005D6FCC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5D6FCC">
        <w:rPr>
          <w:rFonts w:ascii="Times New Roman" w:hAnsi="Times New Roman"/>
          <w:b/>
          <w:sz w:val="22"/>
        </w:rPr>
        <w:t>Do této výše nemusí být náklad</w:t>
      </w:r>
      <w:r w:rsidR="00D0617E" w:rsidRPr="005D6FCC">
        <w:rPr>
          <w:rFonts w:ascii="Times New Roman" w:hAnsi="Times New Roman"/>
          <w:b/>
          <w:sz w:val="22"/>
        </w:rPr>
        <w:t>y</w:t>
      </w:r>
      <w:r w:rsidRPr="005D6FCC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 w:rsidRPr="005D6FCC">
        <w:rPr>
          <w:rFonts w:ascii="Times New Roman" w:hAnsi="Times New Roman"/>
          <w:b/>
          <w:sz w:val="22"/>
        </w:rPr>
        <w:t>y</w:t>
      </w:r>
      <w:r w:rsidRPr="005D6FCC">
        <w:rPr>
          <w:rFonts w:ascii="Times New Roman" w:hAnsi="Times New Roman"/>
          <w:b/>
          <w:sz w:val="22"/>
        </w:rPr>
        <w:t xml:space="preserve"> (tj. kopírován</w:t>
      </w:r>
      <w:r w:rsidR="00D0617E" w:rsidRPr="005D6FCC">
        <w:rPr>
          <w:rFonts w:ascii="Times New Roman" w:hAnsi="Times New Roman"/>
          <w:b/>
          <w:sz w:val="22"/>
        </w:rPr>
        <w:t>y</w:t>
      </w:r>
      <w:r w:rsidRPr="005D6FCC">
        <w:rPr>
          <w:rFonts w:ascii="Times New Roman" w:hAnsi="Times New Roman"/>
          <w:b/>
          <w:sz w:val="22"/>
        </w:rPr>
        <w:t xml:space="preserve"> do</w:t>
      </w:r>
      <w:r w:rsidR="00CB1FD4" w:rsidRPr="005D6FCC">
        <w:rPr>
          <w:rFonts w:ascii="Times New Roman" w:hAnsi="Times New Roman"/>
          <w:b/>
          <w:sz w:val="22"/>
        </w:rPr>
        <w:t> </w:t>
      </w:r>
      <w:r w:rsidRPr="005D6FCC">
        <w:rPr>
          <w:rFonts w:ascii="Times New Roman" w:hAnsi="Times New Roman"/>
          <w:b/>
          <w:sz w:val="22"/>
        </w:rPr>
        <w:t>závěrečného vyúčtování).</w:t>
      </w:r>
      <w:r w:rsidR="0061390C" w:rsidRPr="005D6FCC">
        <w:rPr>
          <w:rFonts w:ascii="Times New Roman" w:hAnsi="Times New Roman"/>
          <w:b/>
          <w:color w:val="FF0000"/>
          <w:sz w:val="22"/>
        </w:rPr>
        <w:t xml:space="preserve"> </w:t>
      </w:r>
      <w:r w:rsidRPr="005D6FCC">
        <w:rPr>
          <w:rFonts w:ascii="Times New Roman" w:hAnsi="Times New Roman"/>
          <w:b/>
          <w:sz w:val="22"/>
        </w:rPr>
        <w:t>Doklady k těmto nákladům však musí mít příjemce dotace uchovány pro případ kontroly na místě ze strany poskytovatele dotace. Náklady upla</w:t>
      </w:r>
      <w:r w:rsidR="006D21E4" w:rsidRPr="005D6FCC">
        <w:rPr>
          <w:rFonts w:ascii="Times New Roman" w:hAnsi="Times New Roman"/>
          <w:b/>
          <w:sz w:val="22"/>
        </w:rPr>
        <w:t>tněné</w:t>
      </w:r>
      <w:r w:rsidRPr="005D6FCC">
        <w:rPr>
          <w:rFonts w:ascii="Times New Roman" w:hAnsi="Times New Roman"/>
          <w:b/>
          <w:sz w:val="22"/>
        </w:rPr>
        <w:t xml:space="preserve"> do</w:t>
      </w:r>
      <w:r w:rsidR="00CB1FD4" w:rsidRPr="005D6FCC">
        <w:rPr>
          <w:rFonts w:ascii="Times New Roman" w:hAnsi="Times New Roman"/>
          <w:b/>
          <w:sz w:val="22"/>
        </w:rPr>
        <w:t> </w:t>
      </w:r>
      <w:r w:rsidRPr="005D6FCC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5D6FCC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0C65A4" w:rsidRPr="005D6FCC">
        <w:rPr>
          <w:rFonts w:ascii="Times New Roman" w:hAnsi="Times New Roman"/>
          <w:b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Pr="005D6FCC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5D6FCC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5D6FCC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2C80E67" w:rsidR="00D034A5" w:rsidRPr="005D6FCC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době</w:t>
      </w:r>
      <w:r w:rsidR="00282014" w:rsidRPr="005D6FCC">
        <w:rPr>
          <w:rFonts w:ascii="Times New Roman" w:hAnsi="Times New Roman"/>
          <w:sz w:val="22"/>
          <w:szCs w:val="22"/>
        </w:rPr>
        <w:t xml:space="preserve"> od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="00282014" w:rsidRPr="005D6FCC">
        <w:rPr>
          <w:rFonts w:ascii="Times New Roman" w:hAnsi="Times New Roman"/>
          <w:sz w:val="22"/>
          <w:szCs w:val="22"/>
        </w:rPr>
        <w:t>01.01.202</w:t>
      </w:r>
      <w:r w:rsidR="00DA63B8" w:rsidRPr="005D6FCC">
        <w:rPr>
          <w:rFonts w:ascii="Times New Roman" w:hAnsi="Times New Roman"/>
          <w:sz w:val="22"/>
          <w:szCs w:val="22"/>
        </w:rPr>
        <w:t>4</w:t>
      </w:r>
      <w:r w:rsidR="00E47516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>do </w:t>
      </w:r>
      <w:r w:rsidR="003F2EE6" w:rsidRPr="005D6FCC">
        <w:rPr>
          <w:rFonts w:ascii="Times New Roman" w:hAnsi="Times New Roman"/>
          <w:sz w:val="22"/>
          <w:szCs w:val="22"/>
        </w:rPr>
        <w:t>31</w:t>
      </w:r>
      <w:r w:rsidRPr="005D6FCC">
        <w:rPr>
          <w:rFonts w:ascii="Times New Roman" w:hAnsi="Times New Roman"/>
          <w:sz w:val="22"/>
          <w:szCs w:val="22"/>
        </w:rPr>
        <w:t>.</w:t>
      </w:r>
      <w:r w:rsidR="003F2EE6" w:rsidRPr="005D6FCC">
        <w:rPr>
          <w:rFonts w:ascii="Times New Roman" w:hAnsi="Times New Roman"/>
          <w:sz w:val="22"/>
          <w:szCs w:val="22"/>
        </w:rPr>
        <w:t>12</w:t>
      </w:r>
      <w:r w:rsidRPr="005D6FCC">
        <w:rPr>
          <w:rFonts w:ascii="Times New Roman" w:hAnsi="Times New Roman"/>
          <w:sz w:val="22"/>
          <w:szCs w:val="22"/>
        </w:rPr>
        <w:t>.</w:t>
      </w:r>
      <w:r w:rsidR="003F2EE6" w:rsidRPr="005D6FCC">
        <w:rPr>
          <w:rFonts w:ascii="Times New Roman" w:hAnsi="Times New Roman"/>
          <w:sz w:val="22"/>
          <w:szCs w:val="22"/>
        </w:rPr>
        <w:t>20</w:t>
      </w:r>
      <w:r w:rsidR="00A1114C" w:rsidRPr="005D6FCC">
        <w:rPr>
          <w:rFonts w:ascii="Times New Roman" w:hAnsi="Times New Roman"/>
          <w:sz w:val="22"/>
          <w:szCs w:val="22"/>
        </w:rPr>
        <w:t>2</w:t>
      </w:r>
      <w:r w:rsidR="00DA63B8" w:rsidRPr="005D6FCC">
        <w:rPr>
          <w:rFonts w:ascii="Times New Roman" w:hAnsi="Times New Roman"/>
          <w:sz w:val="22"/>
          <w:szCs w:val="22"/>
        </w:rPr>
        <w:t>4</w:t>
      </w:r>
      <w:r w:rsidRPr="005D6FCC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5D6FCC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5D6FCC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5D6FCC">
        <w:t xml:space="preserve">čl. </w:t>
      </w:r>
      <w:r w:rsidR="00795E5C" w:rsidRPr="005D6FCC">
        <w:t>IV.</w:t>
      </w:r>
    </w:p>
    <w:p w14:paraId="37913AB8" w14:textId="77777777" w:rsidR="00795E5C" w:rsidRPr="005D6FCC" w:rsidRDefault="00795E5C" w:rsidP="007E176F">
      <w:pPr>
        <w:pStyle w:val="JVS2"/>
        <w:tabs>
          <w:tab w:val="clear" w:pos="1440"/>
        </w:tabs>
        <w:jc w:val="both"/>
        <w:outlineLvl w:val="0"/>
      </w:pPr>
      <w:r w:rsidRPr="005D6FCC">
        <w:t>Výše dotace</w:t>
      </w:r>
    </w:p>
    <w:p w14:paraId="24924D89" w14:textId="6D186ACD" w:rsidR="00E714A9" w:rsidRPr="005D6FCC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 w:rsidRPr="005D6FCC">
        <w:rPr>
          <w:rFonts w:ascii="Times New Roman" w:hAnsi="Times New Roman"/>
          <w:b/>
          <w:sz w:val="22"/>
          <w:szCs w:val="22"/>
        </w:rPr>
        <w:t>314 000</w:t>
      </w:r>
      <w:r w:rsidRPr="005D6FCC">
        <w:rPr>
          <w:rFonts w:ascii="Times New Roman" w:hAnsi="Times New Roman"/>
          <w:b/>
          <w:sz w:val="22"/>
          <w:szCs w:val="22"/>
        </w:rPr>
        <w:t>,- Kč</w:t>
      </w:r>
      <w:r w:rsidRPr="005D6FCC">
        <w:rPr>
          <w:rFonts w:ascii="Times New Roman" w:hAnsi="Times New Roman"/>
          <w:sz w:val="22"/>
          <w:szCs w:val="22"/>
        </w:rPr>
        <w:t xml:space="preserve"> (slovy: </w:t>
      </w:r>
      <w:r w:rsidR="0029269F" w:rsidRPr="005D6FCC">
        <w:rPr>
          <w:rFonts w:ascii="Times New Roman" w:hAnsi="Times New Roman"/>
          <w:sz w:val="22"/>
          <w:szCs w:val="22"/>
        </w:rPr>
        <w:t xml:space="preserve">tři sta čtrnáct tisíc </w:t>
      </w:r>
      <w:r w:rsidRPr="005D6FCC">
        <w:rPr>
          <w:rFonts w:ascii="Times New Roman" w:hAnsi="Times New Roman"/>
          <w:sz w:val="22"/>
          <w:szCs w:val="22"/>
        </w:rPr>
        <w:t xml:space="preserve">korun českých). </w:t>
      </w:r>
      <w:r w:rsidR="00E47516" w:rsidRPr="005D6FCC">
        <w:rPr>
          <w:rFonts w:ascii="Times New Roman" w:hAnsi="Times New Roman"/>
          <w:sz w:val="22"/>
          <w:szCs w:val="22"/>
        </w:rPr>
        <w:t xml:space="preserve">Peněžní prostředky budou bezhotovostně převedeny na účet příjemce uvedený v záhlaví smlouvy, a to </w:t>
      </w:r>
      <w:bookmarkStart w:id="2" w:name="_Hlk156971712"/>
      <w:r w:rsidR="006F1CDC" w:rsidRPr="005D6FCC">
        <w:rPr>
          <w:rFonts w:ascii="Times New Roman" w:hAnsi="Times New Roman"/>
          <w:sz w:val="22"/>
          <w:szCs w:val="22"/>
        </w:rPr>
        <w:t>ve 2 splátkách dle následujícího splátkového kalendáře:</w:t>
      </w:r>
    </w:p>
    <w:p w14:paraId="1BB54734" w14:textId="7431C771" w:rsidR="00E714A9" w:rsidRPr="005D6FCC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157 000</w:t>
      </w:r>
      <w:r w:rsidR="00A645FC" w:rsidRPr="005D6FCC">
        <w:rPr>
          <w:rFonts w:ascii="Times New Roman" w:hAnsi="Times New Roman"/>
          <w:sz w:val="22"/>
          <w:szCs w:val="22"/>
        </w:rPr>
        <w:t>,- </w:t>
      </w:r>
      <w:r w:rsidR="00E714A9" w:rsidRPr="005D6FCC">
        <w:rPr>
          <w:rFonts w:ascii="Times New Roman" w:hAnsi="Times New Roman"/>
          <w:sz w:val="22"/>
          <w:szCs w:val="22"/>
        </w:rPr>
        <w:t>Kč do 15 dnů po nabytí účinnosti této smlouvy,</w:t>
      </w:r>
    </w:p>
    <w:p w14:paraId="69DF36C4" w14:textId="54788212" w:rsidR="00FE29B4" w:rsidRPr="005D6FCC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157 000</w:t>
      </w:r>
      <w:r w:rsidR="00A645FC" w:rsidRPr="005D6FCC">
        <w:rPr>
          <w:rFonts w:ascii="Times New Roman" w:hAnsi="Times New Roman"/>
          <w:sz w:val="22"/>
          <w:szCs w:val="22"/>
        </w:rPr>
        <w:t>,- </w:t>
      </w:r>
      <w:r w:rsidR="00E714A9" w:rsidRPr="005D6FCC">
        <w:rPr>
          <w:rFonts w:ascii="Times New Roman" w:hAnsi="Times New Roman"/>
          <w:sz w:val="22"/>
          <w:szCs w:val="22"/>
        </w:rPr>
        <w:t>Kč ke dni 01.07.202</w:t>
      </w:r>
      <w:r w:rsidR="00D579CA" w:rsidRPr="005D6FCC">
        <w:rPr>
          <w:rFonts w:ascii="Times New Roman" w:hAnsi="Times New Roman"/>
          <w:sz w:val="22"/>
          <w:szCs w:val="22"/>
        </w:rPr>
        <w:t>4</w:t>
      </w:r>
      <w:r w:rsidR="00E714A9" w:rsidRPr="005D6FCC">
        <w:rPr>
          <w:rFonts w:ascii="Times New Roman" w:hAnsi="Times New Roman"/>
          <w:sz w:val="22"/>
          <w:szCs w:val="22"/>
        </w:rPr>
        <w:t>.</w:t>
      </w:r>
    </w:p>
    <w:bookmarkEnd w:id="2"/>
    <w:p w14:paraId="3344FC6F" w14:textId="77777777" w:rsidR="00AC6C38" w:rsidRPr="005D6FCC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5D6FCC" w:rsidRDefault="007466B4" w:rsidP="007E176F">
      <w:pPr>
        <w:jc w:val="both"/>
      </w:pPr>
      <w:r w:rsidRPr="005D6FCC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4E575BFF" w14:textId="77777777" w:rsidR="00795E5C" w:rsidRPr="005D6FCC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5D6FCC">
        <w:lastRenderedPageBreak/>
        <w:t xml:space="preserve">čl. </w:t>
      </w:r>
      <w:r w:rsidR="00795E5C" w:rsidRPr="005D6FCC">
        <w:t>V.</w:t>
      </w:r>
    </w:p>
    <w:p w14:paraId="087118D0" w14:textId="77777777" w:rsidR="00795E5C" w:rsidRPr="005D6FCC" w:rsidRDefault="00795E5C" w:rsidP="007E176F">
      <w:pPr>
        <w:pStyle w:val="JVS2"/>
        <w:tabs>
          <w:tab w:val="clear" w:pos="1440"/>
        </w:tabs>
        <w:jc w:val="both"/>
        <w:outlineLvl w:val="0"/>
      </w:pPr>
      <w:r w:rsidRPr="005D6FCC">
        <w:t>Podmínky použití dotace</w:t>
      </w:r>
    </w:p>
    <w:p w14:paraId="75D18880" w14:textId="77777777" w:rsidR="00795E5C" w:rsidRPr="005D6FCC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5D6FCC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vznikl příjemci a byl příjemcem uhrazen v období realizace projektu </w:t>
      </w:r>
      <w:r w:rsidR="00282014" w:rsidRPr="005D6FCC">
        <w:rPr>
          <w:rFonts w:ascii="Times New Roman" w:hAnsi="Times New Roman"/>
          <w:b/>
          <w:sz w:val="22"/>
          <w:szCs w:val="22"/>
        </w:rPr>
        <w:t>od 01.01.202</w:t>
      </w:r>
      <w:r w:rsidR="00DA63B8" w:rsidRPr="005D6FCC">
        <w:rPr>
          <w:rFonts w:ascii="Times New Roman" w:hAnsi="Times New Roman"/>
          <w:b/>
          <w:sz w:val="22"/>
          <w:szCs w:val="22"/>
        </w:rPr>
        <w:t>4</w:t>
      </w:r>
      <w:r w:rsidR="00E714A9" w:rsidRPr="005D6FCC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5D6FCC">
        <w:rPr>
          <w:rFonts w:ascii="Times New Roman" w:hAnsi="Times New Roman"/>
          <w:b/>
          <w:sz w:val="22"/>
          <w:szCs w:val="22"/>
        </w:rPr>
        <w:t>do 31.12.</w:t>
      </w:r>
      <w:r w:rsidR="001D207F" w:rsidRPr="005D6FCC">
        <w:rPr>
          <w:rFonts w:ascii="Times New Roman" w:hAnsi="Times New Roman"/>
          <w:b/>
          <w:sz w:val="22"/>
          <w:szCs w:val="22"/>
        </w:rPr>
        <w:t>202</w:t>
      </w:r>
      <w:r w:rsidR="00DA63B8" w:rsidRPr="005D6FCC">
        <w:rPr>
          <w:rFonts w:ascii="Times New Roman" w:hAnsi="Times New Roman"/>
          <w:b/>
          <w:sz w:val="22"/>
          <w:szCs w:val="22"/>
        </w:rPr>
        <w:t>4</w:t>
      </w:r>
      <w:r w:rsidR="00B72268" w:rsidRPr="005D6FCC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5D6FCC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5D6FCC">
        <w:rPr>
          <w:rFonts w:ascii="Times New Roman" w:hAnsi="Times New Roman"/>
          <w:sz w:val="22"/>
          <w:szCs w:val="22"/>
        </w:rPr>
        <w:t>/</w:t>
      </w:r>
      <w:r w:rsidR="001D207F" w:rsidRPr="005D6FCC">
        <w:rPr>
          <w:rFonts w:ascii="Times New Roman" w:hAnsi="Times New Roman"/>
          <w:sz w:val="22"/>
          <w:szCs w:val="22"/>
        </w:rPr>
        <w:t>prosinec 202</w:t>
      </w:r>
      <w:r w:rsidR="00DA63B8" w:rsidRPr="005D6FCC">
        <w:rPr>
          <w:rFonts w:ascii="Times New Roman" w:hAnsi="Times New Roman"/>
          <w:sz w:val="22"/>
          <w:szCs w:val="22"/>
        </w:rPr>
        <w:t>4</w:t>
      </w:r>
      <w:r w:rsidR="008208A1" w:rsidRPr="005D6FCC">
        <w:rPr>
          <w:rFonts w:ascii="Times New Roman" w:hAnsi="Times New Roman"/>
          <w:sz w:val="22"/>
          <w:szCs w:val="22"/>
        </w:rPr>
        <w:t>/, přičemž j</w:t>
      </w:r>
      <w:r w:rsidR="009C6D07" w:rsidRPr="005D6FCC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5D6FCC">
        <w:rPr>
          <w:rFonts w:ascii="Times New Roman" w:hAnsi="Times New Roman"/>
          <w:sz w:val="22"/>
          <w:szCs w:val="22"/>
        </w:rPr>
        <w:t xml:space="preserve">/do </w:t>
      </w:r>
      <w:r w:rsidR="009C6D07" w:rsidRPr="005D6FCC">
        <w:rPr>
          <w:rFonts w:ascii="Times New Roman" w:hAnsi="Times New Roman"/>
          <w:sz w:val="22"/>
          <w:szCs w:val="22"/>
        </w:rPr>
        <w:t>31.</w:t>
      </w:r>
      <w:r w:rsidR="001D207F" w:rsidRPr="005D6FCC">
        <w:rPr>
          <w:rFonts w:ascii="Times New Roman" w:hAnsi="Times New Roman"/>
          <w:sz w:val="22"/>
          <w:szCs w:val="22"/>
        </w:rPr>
        <w:t>0</w:t>
      </w:r>
      <w:r w:rsidR="009C6D07" w:rsidRPr="005D6FCC">
        <w:rPr>
          <w:rFonts w:ascii="Times New Roman" w:hAnsi="Times New Roman"/>
          <w:sz w:val="22"/>
          <w:szCs w:val="22"/>
        </w:rPr>
        <w:t>1.20</w:t>
      </w:r>
      <w:r w:rsidR="00FE29B4" w:rsidRPr="005D6FCC">
        <w:rPr>
          <w:rFonts w:ascii="Times New Roman" w:hAnsi="Times New Roman"/>
          <w:sz w:val="22"/>
          <w:szCs w:val="22"/>
        </w:rPr>
        <w:t>2</w:t>
      </w:r>
      <w:r w:rsidR="00DA63B8" w:rsidRPr="005D6FCC">
        <w:rPr>
          <w:rFonts w:ascii="Times New Roman" w:hAnsi="Times New Roman"/>
          <w:sz w:val="22"/>
          <w:szCs w:val="22"/>
        </w:rPr>
        <w:t>5</w:t>
      </w:r>
      <w:r w:rsidR="008208A1" w:rsidRPr="005D6FCC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5D6FCC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5D6FCC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5D6FCC">
        <w:rPr>
          <w:rFonts w:ascii="Times New Roman" w:hAnsi="Times New Roman"/>
          <w:sz w:val="22"/>
          <w:szCs w:val="22"/>
        </w:rPr>
        <w:t>v souladu</w:t>
      </w:r>
      <w:r w:rsidRPr="005D6FCC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 w:rsidRPr="005D6FCC">
        <w:rPr>
          <w:rFonts w:ascii="Times New Roman" w:hAnsi="Times New Roman"/>
          <w:sz w:val="22"/>
          <w:szCs w:val="22"/>
        </w:rPr>
        <w:t xml:space="preserve">ostatními </w:t>
      </w:r>
      <w:r w:rsidRPr="005D6FCC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 w:rsidRPr="005D6FCC">
        <w:rPr>
          <w:rFonts w:ascii="Times New Roman" w:hAnsi="Times New Roman"/>
          <w:sz w:val="22"/>
          <w:szCs w:val="22"/>
        </w:rPr>
        <w:t>t</w:t>
      </w:r>
      <w:r w:rsidR="001D207F" w:rsidRPr="005D6FCC">
        <w:rPr>
          <w:rFonts w:ascii="Times New Roman" w:hAnsi="Times New Roman"/>
          <w:sz w:val="22"/>
          <w:szCs w:val="22"/>
        </w:rPr>
        <w:t>árního města Ostravy na rok 202</w:t>
      </w:r>
      <w:r w:rsidR="00DA63B8" w:rsidRPr="005D6FCC">
        <w:rPr>
          <w:rFonts w:ascii="Times New Roman" w:hAnsi="Times New Roman"/>
          <w:sz w:val="22"/>
          <w:szCs w:val="22"/>
        </w:rPr>
        <w:t>4</w:t>
      </w:r>
      <w:r w:rsidR="0059050E" w:rsidRPr="005D6FCC">
        <w:rPr>
          <w:rFonts w:ascii="Times New Roman" w:hAnsi="Times New Roman"/>
          <w:sz w:val="22"/>
          <w:szCs w:val="22"/>
        </w:rPr>
        <w:t xml:space="preserve"> a Podmínkami pro oblast </w:t>
      </w:r>
      <w:r w:rsidR="006F1CDC" w:rsidRPr="005D6FCC">
        <w:rPr>
          <w:rFonts w:ascii="Times New Roman" w:hAnsi="Times New Roman"/>
          <w:sz w:val="22"/>
          <w:szCs w:val="22"/>
        </w:rPr>
        <w:t>sociální péče</w:t>
      </w:r>
    </w:p>
    <w:p w14:paraId="56AE3776" w14:textId="77777777" w:rsidR="00AA5269" w:rsidRPr="005D6FCC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5D6FCC">
        <w:rPr>
          <w:rFonts w:ascii="Times New Roman" w:hAnsi="Times New Roman"/>
          <w:sz w:val="22"/>
          <w:szCs w:val="22"/>
        </w:rPr>
        <w:t xml:space="preserve">na č. 320/2001 Sb., o finanční </w:t>
      </w:r>
      <w:r w:rsidRPr="005D6FCC">
        <w:rPr>
          <w:rFonts w:ascii="Times New Roman" w:hAnsi="Times New Roman"/>
          <w:sz w:val="22"/>
          <w:szCs w:val="22"/>
        </w:rPr>
        <w:t>kontrole</w:t>
      </w:r>
      <w:r w:rsidR="00E36FE1" w:rsidRPr="005D6FCC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5D6FCC">
        <w:rPr>
          <w:rFonts w:ascii="Times New Roman" w:hAnsi="Times New Roman"/>
          <w:sz w:val="22"/>
          <w:szCs w:val="22"/>
        </w:rPr>
        <w:t>, ve znění pozdějších předpisů</w:t>
      </w:r>
    </w:p>
    <w:p w14:paraId="74928547" w14:textId="3C22A973" w:rsidR="00AA020C" w:rsidRPr="005D6FCC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5D6FCC">
        <w:rPr>
          <w:rFonts w:ascii="Times New Roman" w:hAnsi="Times New Roman"/>
          <w:sz w:val="22"/>
          <w:szCs w:val="22"/>
        </w:rPr>
        <w:t xml:space="preserve">účetními doklady a </w:t>
      </w:r>
      <w:r w:rsidRPr="005D6FCC">
        <w:rPr>
          <w:rFonts w:ascii="Times New Roman" w:hAnsi="Times New Roman"/>
          <w:sz w:val="22"/>
          <w:szCs w:val="22"/>
        </w:rPr>
        <w:t>ostatními záznamy</w:t>
      </w:r>
    </w:p>
    <w:p w14:paraId="340FE5B6" w14:textId="77777777" w:rsidR="00A63FC9" w:rsidRPr="005D6FCC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5D6FC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5D6FC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5D6FCC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Pr="005D6FCC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5D6FCC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5D6FCC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5D6FCC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="00282014" w:rsidRPr="005D6FCC">
        <w:rPr>
          <w:rFonts w:ascii="Times New Roman" w:hAnsi="Times New Roman"/>
          <w:sz w:val="22"/>
          <w:szCs w:val="22"/>
        </w:rPr>
        <w:t>od 01.01.202</w:t>
      </w:r>
      <w:r w:rsidR="007A3C15" w:rsidRPr="005D6FCC">
        <w:rPr>
          <w:rFonts w:ascii="Times New Roman" w:hAnsi="Times New Roman"/>
          <w:sz w:val="22"/>
          <w:szCs w:val="22"/>
        </w:rPr>
        <w:t>4</w:t>
      </w:r>
      <w:r w:rsidR="00E47516" w:rsidRPr="005D6FCC">
        <w:rPr>
          <w:rFonts w:ascii="Times New Roman" w:hAnsi="Times New Roman"/>
          <w:i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>v rozsahu uznatelných nákl</w:t>
      </w:r>
      <w:r w:rsidR="003A50B7" w:rsidRPr="005D6FCC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5D6FCC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5D6FCC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5D6FCC">
        <w:rPr>
          <w:rFonts w:ascii="Times New Roman" w:hAnsi="Times New Roman"/>
          <w:b/>
          <w:sz w:val="22"/>
          <w:szCs w:val="22"/>
        </w:rPr>
        <w:t>nelze</w:t>
      </w:r>
      <w:r w:rsidRPr="005D6FCC">
        <w:rPr>
          <w:rFonts w:ascii="Times New Roman" w:hAnsi="Times New Roman"/>
          <w:sz w:val="22"/>
          <w:szCs w:val="22"/>
        </w:rPr>
        <w:t xml:space="preserve"> dále, </w:t>
      </w:r>
      <w:r w:rsidRPr="005D6FCC">
        <w:rPr>
          <w:rFonts w:ascii="Times New Roman" w:hAnsi="Times New Roman"/>
          <w:sz w:val="22"/>
        </w:rPr>
        <w:t>mimo případů uvedených v</w:t>
      </w:r>
      <w:r w:rsidR="00685858" w:rsidRPr="005D6FCC">
        <w:rPr>
          <w:rFonts w:ascii="Times New Roman" w:hAnsi="Times New Roman"/>
          <w:sz w:val="22"/>
        </w:rPr>
        <w:t xml:space="preserve"> </w:t>
      </w:r>
      <w:r w:rsidR="005D2A82" w:rsidRPr="005D6FCC">
        <w:rPr>
          <w:rFonts w:ascii="Times New Roman" w:hAnsi="Times New Roman"/>
          <w:sz w:val="22"/>
          <w:szCs w:val="22"/>
        </w:rPr>
        <w:t>Programu</w:t>
      </w:r>
      <w:r w:rsidR="00A67A80" w:rsidRPr="005D6FCC">
        <w:rPr>
          <w:rFonts w:ascii="Times New Roman" w:hAnsi="Times New Roman"/>
          <w:sz w:val="22"/>
          <w:szCs w:val="22"/>
        </w:rPr>
        <w:t xml:space="preserve"> </w:t>
      </w:r>
      <w:r w:rsidR="00C0089C" w:rsidRPr="005D6FCC">
        <w:rPr>
          <w:rFonts w:ascii="Times New Roman" w:hAnsi="Times New Roman"/>
          <w:sz w:val="22"/>
          <w:szCs w:val="22"/>
        </w:rPr>
        <w:t>na</w:t>
      </w:r>
      <w:r w:rsidR="00A67A80" w:rsidRPr="005D6FCC">
        <w:rPr>
          <w:rFonts w:ascii="Times New Roman" w:hAnsi="Times New Roman"/>
          <w:sz w:val="22"/>
        </w:rPr>
        <w:t xml:space="preserve"> poskytování </w:t>
      </w:r>
      <w:r w:rsidR="005D2A82" w:rsidRPr="005D6FCC">
        <w:rPr>
          <w:rFonts w:ascii="Times New Roman" w:hAnsi="Times New Roman"/>
          <w:sz w:val="22"/>
          <w:szCs w:val="22"/>
        </w:rPr>
        <w:t>peněžních prostředků</w:t>
      </w:r>
      <w:r w:rsidRPr="005D6FCC">
        <w:rPr>
          <w:rFonts w:ascii="Times New Roman" w:hAnsi="Times New Roman"/>
          <w:sz w:val="22"/>
        </w:rPr>
        <w:t xml:space="preserve"> </w:t>
      </w:r>
      <w:r w:rsidR="00A43BEC" w:rsidRPr="005D6FCC">
        <w:rPr>
          <w:rFonts w:ascii="Times New Roman" w:hAnsi="Times New Roman"/>
          <w:sz w:val="22"/>
        </w:rPr>
        <w:t>z rozpočtu</w:t>
      </w:r>
      <w:r w:rsidRPr="005D6FCC">
        <w:rPr>
          <w:rFonts w:ascii="Times New Roman" w:hAnsi="Times New Roman"/>
          <w:sz w:val="22"/>
        </w:rPr>
        <w:t xml:space="preserve"> statutárního města Ostravy </w:t>
      </w:r>
      <w:r w:rsidR="00687AAC" w:rsidRPr="005D6FCC">
        <w:rPr>
          <w:rFonts w:ascii="Times New Roman" w:hAnsi="Times New Roman"/>
          <w:sz w:val="22"/>
          <w:szCs w:val="22"/>
        </w:rPr>
        <w:t>na</w:t>
      </w:r>
      <w:r w:rsidR="00687AAC" w:rsidRPr="005D6FCC">
        <w:rPr>
          <w:rFonts w:ascii="Times New Roman" w:hAnsi="Times New Roman"/>
          <w:sz w:val="22"/>
        </w:rPr>
        <w:t xml:space="preserve"> rok </w:t>
      </w:r>
      <w:r w:rsidR="00FE29B4" w:rsidRPr="005D6FCC">
        <w:rPr>
          <w:rFonts w:ascii="Times New Roman" w:hAnsi="Times New Roman"/>
          <w:sz w:val="22"/>
          <w:szCs w:val="22"/>
        </w:rPr>
        <w:t>202</w:t>
      </w:r>
      <w:r w:rsidR="007A3C15" w:rsidRPr="005D6FCC">
        <w:rPr>
          <w:rFonts w:ascii="Times New Roman" w:hAnsi="Times New Roman"/>
          <w:sz w:val="22"/>
          <w:szCs w:val="22"/>
        </w:rPr>
        <w:t>4</w:t>
      </w:r>
      <w:r w:rsidR="0059050E" w:rsidRPr="005D6FCC">
        <w:rPr>
          <w:rFonts w:ascii="Times New Roman" w:hAnsi="Times New Roman"/>
          <w:sz w:val="22"/>
          <w:szCs w:val="22"/>
        </w:rPr>
        <w:t xml:space="preserve"> a</w:t>
      </w:r>
      <w:r w:rsidR="00646C1F" w:rsidRPr="005D6FCC">
        <w:rPr>
          <w:rFonts w:ascii="Times New Roman" w:hAnsi="Times New Roman"/>
          <w:sz w:val="22"/>
          <w:szCs w:val="22"/>
        </w:rPr>
        <w:t xml:space="preserve"> Podmínkách pro oblast</w:t>
      </w:r>
      <w:r w:rsidR="006F1CDC" w:rsidRPr="005D6FCC">
        <w:rPr>
          <w:rFonts w:ascii="Times New Roman" w:hAnsi="Times New Roman"/>
          <w:sz w:val="22"/>
          <w:szCs w:val="22"/>
        </w:rPr>
        <w:t xml:space="preserve"> sociální péče</w:t>
      </w:r>
      <w:r w:rsidR="00112270" w:rsidRPr="005D6FCC">
        <w:rPr>
          <w:rFonts w:ascii="Times New Roman" w:hAnsi="Times New Roman"/>
          <w:sz w:val="22"/>
          <w:szCs w:val="22"/>
        </w:rPr>
        <w:t>,</w:t>
      </w:r>
      <w:r w:rsidR="005D2A82" w:rsidRPr="005D6FCC">
        <w:rPr>
          <w:rFonts w:ascii="Times New Roman" w:hAnsi="Times New Roman"/>
          <w:sz w:val="22"/>
        </w:rPr>
        <w:t xml:space="preserve"> </w:t>
      </w:r>
      <w:r w:rsidRPr="005D6FCC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5D6FCC">
        <w:rPr>
          <w:rFonts w:ascii="Times New Roman" w:hAnsi="Times New Roman"/>
          <w:b/>
          <w:sz w:val="22"/>
          <w:szCs w:val="22"/>
        </w:rPr>
        <w:t>k úhradě</w:t>
      </w:r>
      <w:r w:rsidRPr="005D6FCC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5D6FCC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5D6FCC">
        <w:rPr>
          <w:rFonts w:ascii="Times New Roman" w:hAnsi="Times New Roman"/>
          <w:b/>
          <w:sz w:val="22"/>
          <w:szCs w:val="22"/>
        </w:rPr>
        <w:t>vyúčtovány</w:t>
      </w:r>
      <w:r w:rsidR="009260F4" w:rsidRPr="005D6FCC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5D6FCC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5D6FCC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5D6FCC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5D6FCC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5D6FCC">
        <w:rPr>
          <w:rFonts w:ascii="Times New Roman" w:hAnsi="Times New Roman"/>
          <w:sz w:val="22"/>
          <w:szCs w:val="22"/>
        </w:rPr>
        <w:t>refakturovány</w:t>
      </w:r>
      <w:proofErr w:type="spellEnd"/>
      <w:r w:rsidRPr="005D6FCC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Pr="005D6FCC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Pr="005D6FCC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5D6FCC">
        <w:rPr>
          <w:rFonts w:ascii="Times New Roman" w:hAnsi="Times New Roman"/>
          <w:sz w:val="22"/>
          <w:szCs w:val="22"/>
        </w:rPr>
        <w:t>„</w:t>
      </w:r>
      <w:r w:rsidR="00FD7BB5" w:rsidRPr="005D6FCC">
        <w:rPr>
          <w:rFonts w:ascii="Times New Roman" w:hAnsi="Times New Roman"/>
          <w:sz w:val="22"/>
          <w:szCs w:val="22"/>
        </w:rPr>
        <w:t>DPH</w:t>
      </w:r>
      <w:r w:rsidR="005F3FDB" w:rsidRPr="005D6FCC">
        <w:rPr>
          <w:rFonts w:ascii="Times New Roman" w:hAnsi="Times New Roman"/>
          <w:sz w:val="22"/>
          <w:szCs w:val="22"/>
        </w:rPr>
        <w:t>“</w:t>
      </w:r>
      <w:r w:rsidR="00FD7BB5" w:rsidRPr="005D6FCC">
        <w:rPr>
          <w:rFonts w:ascii="Times New Roman" w:hAnsi="Times New Roman"/>
          <w:sz w:val="22"/>
          <w:szCs w:val="22"/>
        </w:rPr>
        <w:t>) a má nárok na odpočet DPH na </w:t>
      </w:r>
      <w:r w:rsidRPr="005D6FCC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5D6FCC">
        <w:rPr>
          <w:rFonts w:ascii="Times New Roman" w:hAnsi="Times New Roman"/>
          <w:sz w:val="22"/>
          <w:szCs w:val="22"/>
        </w:rPr>
        <w:t>k na </w:t>
      </w:r>
      <w:r w:rsidRPr="005D6FCC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5D6FCC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5D6FCC">
        <w:rPr>
          <w:rFonts w:ascii="Times New Roman" w:hAnsi="Times New Roman"/>
          <w:sz w:val="22"/>
          <w:szCs w:val="22"/>
        </w:rPr>
        <w:t>na </w:t>
      </w:r>
      <w:r w:rsidRPr="005D6FCC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5D6FCC">
        <w:rPr>
          <w:rFonts w:ascii="Times New Roman" w:hAnsi="Times New Roman"/>
          <w:sz w:val="22"/>
          <w:szCs w:val="22"/>
        </w:rPr>
        <w:t xml:space="preserve"> a </w:t>
      </w:r>
      <w:r w:rsidRPr="005D6FCC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5D6FCC">
        <w:rPr>
          <w:rFonts w:ascii="Times New Roman" w:hAnsi="Times New Roman"/>
          <w:sz w:val="22"/>
          <w:szCs w:val="22"/>
        </w:rPr>
        <w:t>ní odpočet DPH</w:t>
      </w:r>
      <w:r w:rsidR="00DF513E" w:rsidRPr="005D6FCC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Pr="005D6FCC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lastRenderedPageBreak/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Pr="005D6FC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Služby (činnosti) podpořené dotací dle této smlouvy jsou vykonávány v režimu závazku veřejné služby na</w:t>
      </w:r>
      <w:r w:rsidR="00CB1FD4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základě</w:t>
      </w:r>
      <w:r w:rsidR="00DB3E0F" w:rsidRPr="005D6FCC">
        <w:rPr>
          <w:rFonts w:ascii="Times New Roman" w:hAnsi="Times New Roman"/>
          <w:sz w:val="22"/>
          <w:szCs w:val="22"/>
        </w:rPr>
        <w:t xml:space="preserve"> pověření </w:t>
      </w:r>
      <w:r w:rsidR="006F1CDC" w:rsidRPr="005D6FCC">
        <w:rPr>
          <w:rFonts w:ascii="Times New Roman" w:hAnsi="Times New Roman"/>
          <w:sz w:val="22"/>
          <w:szCs w:val="22"/>
        </w:rPr>
        <w:t>Moravskoslezského kraje</w:t>
      </w:r>
      <w:r w:rsidR="00DB3E0F" w:rsidRPr="005D6FCC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 w:rsidRPr="005D6FCC">
        <w:rPr>
          <w:rFonts w:ascii="Times New Roman" w:hAnsi="Times New Roman"/>
          <w:sz w:val="22"/>
          <w:szCs w:val="22"/>
        </w:rPr>
        <w:t>(ev. č. smlouvy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="006F1CDC" w:rsidRPr="005D6FCC">
        <w:rPr>
          <w:rFonts w:ascii="Times New Roman" w:hAnsi="Times New Roman"/>
          <w:sz w:val="22"/>
          <w:szCs w:val="22"/>
        </w:rPr>
        <w:t>03600/2023/SOC ze dne 27. 11. 2023</w:t>
      </w:r>
      <w:r w:rsidR="00CE1CD7" w:rsidRPr="005D6FCC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5D6FCC">
        <w:rPr>
          <w:rFonts w:ascii="Times New Roman" w:hAnsi="Times New Roman"/>
          <w:iCs/>
          <w:sz w:val="22"/>
          <w:szCs w:val="22"/>
        </w:rPr>
        <w:t>dále jen „pověření“)</w:t>
      </w:r>
      <w:r w:rsidRPr="005D6FCC">
        <w:rPr>
          <w:rFonts w:ascii="Times New Roman" w:hAnsi="Times New Roman"/>
          <w:i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="006F1CDC" w:rsidRPr="005D6FCC">
        <w:rPr>
          <w:rFonts w:ascii="Times New Roman" w:hAnsi="Times New Roman"/>
          <w:sz w:val="22"/>
          <w:szCs w:val="22"/>
        </w:rPr>
        <w:t>Moravskoslezského kraje</w:t>
      </w:r>
      <w:r w:rsidR="00AA0AD8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5D6FCC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Pr="005D6FCC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5D6FCC">
        <w:rPr>
          <w:b/>
        </w:rPr>
        <w:t xml:space="preserve">Příjemce se </w:t>
      </w:r>
      <w:r w:rsidR="00CA7B36" w:rsidRPr="005D6FCC">
        <w:rPr>
          <w:b/>
        </w:rPr>
        <w:t xml:space="preserve">dále </w:t>
      </w:r>
      <w:r w:rsidRPr="005D6FCC">
        <w:rPr>
          <w:b/>
        </w:rPr>
        <w:t>zavazuje:</w:t>
      </w:r>
    </w:p>
    <w:p w14:paraId="06CDF983" w14:textId="77777777" w:rsidR="00221060" w:rsidRPr="005D6FCC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5D6FCC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5D6FCC">
        <w:rPr>
          <w:rFonts w:ascii="Times New Roman" w:hAnsi="Times New Roman"/>
          <w:sz w:val="22"/>
          <w:szCs w:val="22"/>
        </w:rPr>
        <w:t xml:space="preserve"> ve znění pozdějších</w:t>
      </w:r>
      <w:r w:rsidRPr="005D6FCC">
        <w:rPr>
          <w:rFonts w:ascii="Times New Roman" w:hAnsi="Times New Roman"/>
          <w:sz w:val="22"/>
          <w:szCs w:val="22"/>
        </w:rPr>
        <w:t xml:space="preserve"> předpisů</w:t>
      </w:r>
      <w:r w:rsidR="00194C7A" w:rsidRPr="005D6FCC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5D6FCC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5D6FCC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5D6FCC">
        <w:rPr>
          <w:rFonts w:ascii="Times New Roman" w:hAnsi="Times New Roman"/>
          <w:sz w:val="22"/>
          <w:szCs w:val="22"/>
        </w:rPr>
        <w:t xml:space="preserve">. </w:t>
      </w:r>
      <w:r w:rsidR="005708AF" w:rsidRPr="005D6FCC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5D6FCC">
        <w:rPr>
          <w:rFonts w:ascii="Times New Roman" w:hAnsi="Times New Roman"/>
          <w:sz w:val="22"/>
          <w:szCs w:val="22"/>
        </w:rPr>
        <w:t>Z</w:t>
      </w:r>
      <w:r w:rsidR="00FD7BB5" w:rsidRPr="005D6FCC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5D6FCC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 w:rsidRPr="005D6FCC">
        <w:rPr>
          <w:rFonts w:ascii="Times New Roman" w:hAnsi="Times New Roman"/>
          <w:sz w:val="22"/>
          <w:szCs w:val="22"/>
        </w:rPr>
        <w:t xml:space="preserve"> na</w:t>
      </w:r>
      <w:r w:rsidR="00CB1FD4" w:rsidRPr="005D6FCC">
        <w:rPr>
          <w:rFonts w:ascii="Times New Roman" w:hAnsi="Times New Roman"/>
          <w:sz w:val="22"/>
          <w:szCs w:val="22"/>
        </w:rPr>
        <w:t> </w:t>
      </w:r>
      <w:r w:rsidR="00696539" w:rsidRPr="005D6FCC">
        <w:rPr>
          <w:rFonts w:ascii="Times New Roman" w:hAnsi="Times New Roman"/>
          <w:sz w:val="22"/>
          <w:szCs w:val="22"/>
        </w:rPr>
        <w:t>základě</w:t>
      </w:r>
      <w:r w:rsidR="00194C7A" w:rsidRPr="005D6FCC">
        <w:rPr>
          <w:rFonts w:ascii="Times New Roman" w:hAnsi="Times New Roman"/>
          <w:sz w:val="22"/>
          <w:szCs w:val="22"/>
        </w:rPr>
        <w:t xml:space="preserve"> t</w:t>
      </w:r>
      <w:r w:rsidR="00696539" w:rsidRPr="005D6FCC">
        <w:rPr>
          <w:rFonts w:ascii="Times New Roman" w:hAnsi="Times New Roman"/>
          <w:sz w:val="22"/>
          <w:szCs w:val="22"/>
        </w:rPr>
        <w:t>é</w:t>
      </w:r>
      <w:r w:rsidR="00194C7A" w:rsidRPr="005D6FCC">
        <w:rPr>
          <w:rFonts w:ascii="Times New Roman" w:hAnsi="Times New Roman"/>
          <w:sz w:val="22"/>
          <w:szCs w:val="22"/>
        </w:rPr>
        <w:t xml:space="preserve">to </w:t>
      </w:r>
      <w:r w:rsidR="00696539" w:rsidRPr="005D6FCC">
        <w:rPr>
          <w:rFonts w:ascii="Times New Roman" w:hAnsi="Times New Roman"/>
          <w:sz w:val="22"/>
          <w:szCs w:val="22"/>
        </w:rPr>
        <w:t>smlouvy</w:t>
      </w:r>
      <w:r w:rsidR="00194C7A" w:rsidRPr="005D6FCC">
        <w:rPr>
          <w:rFonts w:ascii="Times New Roman" w:hAnsi="Times New Roman"/>
          <w:sz w:val="22"/>
          <w:szCs w:val="22"/>
        </w:rPr>
        <w:t xml:space="preserve">. </w:t>
      </w:r>
      <w:r w:rsidR="00194C7A" w:rsidRPr="005D6FCC">
        <w:rPr>
          <w:rFonts w:ascii="Times New Roman" w:hAnsi="Times New Roman"/>
          <w:b/>
          <w:sz w:val="22"/>
        </w:rPr>
        <w:t>Čestné prohlášení příjemce</w:t>
      </w:r>
      <w:r w:rsidR="00194C7A" w:rsidRPr="005D6FCC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5D6FCC">
        <w:rPr>
          <w:rFonts w:ascii="Times New Roman" w:hAnsi="Times New Roman"/>
          <w:sz w:val="22"/>
          <w:szCs w:val="22"/>
        </w:rPr>
        <w:t>peněžních</w:t>
      </w:r>
      <w:r w:rsidR="00194C7A" w:rsidRPr="005D6FCC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5D6FCC">
        <w:rPr>
          <w:rFonts w:ascii="Times New Roman" w:hAnsi="Times New Roman"/>
          <w:b/>
          <w:sz w:val="22"/>
        </w:rPr>
        <w:t>není považováno za účetní záznam</w:t>
      </w:r>
      <w:r w:rsidR="00194C7A" w:rsidRPr="005D6FCC">
        <w:rPr>
          <w:rFonts w:ascii="Times New Roman" w:hAnsi="Times New Roman"/>
          <w:sz w:val="22"/>
          <w:szCs w:val="22"/>
        </w:rPr>
        <w:t>.</w:t>
      </w:r>
      <w:r w:rsidR="004A30D3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5D6FCC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5D6FCC">
        <w:rPr>
          <w:rFonts w:ascii="Times New Roman" w:hAnsi="Times New Roman"/>
          <w:b/>
          <w:sz w:val="22"/>
          <w:szCs w:val="22"/>
        </w:rPr>
        <w:t xml:space="preserve"> </w:t>
      </w:r>
      <w:r w:rsidRPr="005D6FCC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5D6FCC">
        <w:rPr>
          <w:rFonts w:ascii="Times New Roman" w:hAnsi="Times New Roman"/>
          <w:b/>
          <w:sz w:val="22"/>
          <w:szCs w:val="22"/>
        </w:rPr>
        <w:t>y</w:t>
      </w:r>
      <w:r w:rsidRPr="005D6FCC">
        <w:rPr>
          <w:rFonts w:ascii="Times New Roman" w:hAnsi="Times New Roman"/>
          <w:b/>
          <w:sz w:val="22"/>
          <w:szCs w:val="22"/>
        </w:rPr>
        <w:t>“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b/>
          <w:sz w:val="22"/>
          <w:szCs w:val="22"/>
        </w:rPr>
        <w:t>a</w:t>
      </w:r>
      <w:r w:rsidR="0063476F" w:rsidRPr="005D6FCC">
        <w:rPr>
          <w:rFonts w:ascii="Times New Roman" w:hAnsi="Times New Roman"/>
          <w:b/>
          <w:sz w:val="22"/>
          <w:szCs w:val="22"/>
        </w:rPr>
        <w:t> </w:t>
      </w:r>
      <w:r w:rsidRPr="005D6FCC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5D6FCC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 w:rsidRPr="005D6FCC">
        <w:rPr>
          <w:rFonts w:ascii="Times New Roman" w:hAnsi="Times New Roman"/>
          <w:b/>
          <w:sz w:val="22"/>
          <w:szCs w:val="22"/>
        </w:rPr>
        <w:t> </w:t>
      </w:r>
      <w:r w:rsidR="002D3858" w:rsidRPr="005D6FCC">
        <w:rPr>
          <w:rFonts w:ascii="Times New Roman" w:hAnsi="Times New Roman"/>
          <w:b/>
          <w:sz w:val="22"/>
          <w:szCs w:val="22"/>
        </w:rPr>
        <w:t>Kč</w:t>
      </w:r>
      <w:r w:rsidR="00E4613E" w:rsidRPr="005D6FCC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5D6FCC">
        <w:rPr>
          <w:rFonts w:ascii="Times New Roman" w:hAnsi="Times New Roman"/>
          <w:b/>
          <w:sz w:val="22"/>
          <w:szCs w:val="22"/>
        </w:rPr>
        <w:t>.</w:t>
      </w:r>
      <w:r w:rsidR="00D80FB8" w:rsidRPr="005D6FCC">
        <w:t xml:space="preserve"> </w:t>
      </w:r>
      <w:r w:rsidR="00D80FB8" w:rsidRPr="005D6FCC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5D6FCC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Pr="005D6FCC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5D6FCC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5D6FCC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5D6FCC">
        <w:rPr>
          <w:rFonts w:ascii="Times New Roman" w:hAnsi="Times New Roman"/>
          <w:b/>
          <w:sz w:val="22"/>
          <w:szCs w:val="22"/>
        </w:rPr>
        <w:t>z rozpočtu</w:t>
      </w:r>
      <w:r w:rsidR="00CA7B36" w:rsidRPr="005D6FCC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5D6FCC">
        <w:rPr>
          <w:rFonts w:ascii="Times New Roman" w:hAnsi="Times New Roman"/>
          <w:sz w:val="22"/>
          <w:szCs w:val="22"/>
        </w:rPr>
        <w:t>.</w:t>
      </w:r>
      <w:r w:rsidR="00C25F0E" w:rsidRPr="005D6FCC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 w:rsidRPr="005D6FCC">
        <w:rPr>
          <w:rFonts w:ascii="Times New Roman" w:hAnsi="Times New Roman"/>
          <w:sz w:val="22"/>
          <w:szCs w:val="22"/>
        </w:rPr>
        <w:t>závěrečného vyúčtování</w:t>
      </w:r>
      <w:r w:rsidR="00CA7B36" w:rsidRPr="005D6FCC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Pr="005D6FCC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Pr="005D6FCC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5D6FCC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5D6FCC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Informovat poskytovatele o </w:t>
      </w:r>
      <w:r w:rsidR="00B67FCC" w:rsidRPr="005D6FCC">
        <w:rPr>
          <w:rFonts w:ascii="Times New Roman" w:hAnsi="Times New Roman"/>
          <w:sz w:val="22"/>
          <w:szCs w:val="22"/>
        </w:rPr>
        <w:t xml:space="preserve">personálních změnách vzniklých v průběhu realizace projektu v rámci </w:t>
      </w:r>
      <w:r w:rsidR="005C2085" w:rsidRPr="005D6FCC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5D6FCC">
        <w:rPr>
          <w:rFonts w:ascii="Times New Roman" w:hAnsi="Times New Roman"/>
          <w:sz w:val="22"/>
          <w:szCs w:val="22"/>
        </w:rPr>
        <w:t>závěrečn</w:t>
      </w:r>
      <w:r w:rsidR="00F42BE2" w:rsidRPr="005D6FCC">
        <w:rPr>
          <w:rFonts w:ascii="Times New Roman" w:hAnsi="Times New Roman"/>
          <w:sz w:val="22"/>
          <w:szCs w:val="22"/>
        </w:rPr>
        <w:t>é</w:t>
      </w:r>
      <w:r w:rsidR="00B67FCC" w:rsidRPr="005D6FCC">
        <w:rPr>
          <w:rFonts w:ascii="Times New Roman" w:hAnsi="Times New Roman"/>
          <w:sz w:val="22"/>
          <w:szCs w:val="22"/>
        </w:rPr>
        <w:t xml:space="preserve"> zpráv</w:t>
      </w:r>
      <w:r w:rsidR="00F42BE2" w:rsidRPr="005D6FCC">
        <w:rPr>
          <w:rFonts w:ascii="Times New Roman" w:hAnsi="Times New Roman"/>
          <w:sz w:val="22"/>
          <w:szCs w:val="22"/>
        </w:rPr>
        <w:t>y</w:t>
      </w:r>
      <w:r w:rsidR="00B67FCC" w:rsidRPr="005D6FCC">
        <w:rPr>
          <w:rFonts w:ascii="Times New Roman" w:hAnsi="Times New Roman"/>
          <w:sz w:val="22"/>
          <w:szCs w:val="22"/>
        </w:rPr>
        <w:t xml:space="preserve"> předkládan</w:t>
      </w:r>
      <w:r w:rsidR="00F42BE2" w:rsidRPr="005D6FCC">
        <w:rPr>
          <w:rFonts w:ascii="Times New Roman" w:hAnsi="Times New Roman"/>
          <w:sz w:val="22"/>
          <w:szCs w:val="22"/>
        </w:rPr>
        <w:t>é</w:t>
      </w:r>
      <w:r w:rsidR="00B67FCC" w:rsidRPr="005D6FCC">
        <w:rPr>
          <w:rFonts w:ascii="Times New Roman" w:hAnsi="Times New Roman"/>
          <w:sz w:val="22"/>
          <w:szCs w:val="22"/>
        </w:rPr>
        <w:t xml:space="preserve"> </w:t>
      </w:r>
      <w:r w:rsidR="001A4FBA" w:rsidRPr="005D6FCC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5D6FCC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5D6FCC">
        <w:rPr>
          <w:rFonts w:ascii="Times New Roman" w:hAnsi="Times New Roman"/>
          <w:sz w:val="22"/>
          <w:szCs w:val="22"/>
        </w:rPr>
        <w:t>Příjemce prohlašuje, že osobní údaje těchto zaměstnanců byly zpracovávány v souladu s Nařízením Evropského parlamentu a Rady (EU) č. 2016/679 ze dne 27.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="00EB48EA" w:rsidRPr="005D6FCC">
        <w:rPr>
          <w:rFonts w:ascii="Times New Roman" w:hAnsi="Times New Roman"/>
          <w:sz w:val="22"/>
          <w:szCs w:val="22"/>
        </w:rPr>
        <w:t>dubna 2016 o ochraně fyzických osob v souvislosti se zpracováním osobních údajů a o volném pohybu těchto údajů a o zrušení směrnice 95/46/ES (obecné nařízení o ochraně osobních údajů) a je si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="00EB48EA" w:rsidRPr="005D6FCC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 w:rsidRPr="005D6FCC">
        <w:rPr>
          <w:rFonts w:ascii="Times New Roman" w:hAnsi="Times New Roman"/>
          <w:sz w:val="22"/>
          <w:szCs w:val="22"/>
        </w:rPr>
        <w:t xml:space="preserve"> 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5D6FCC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5D6FCC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Předložit poskytovateli</w:t>
      </w:r>
      <w:r w:rsidRPr="005D6FCC"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 w:rsidRPr="005D6FCC">
        <w:rPr>
          <w:rFonts w:ascii="Times New Roman" w:hAnsi="Times New Roman"/>
          <w:b/>
          <w:sz w:val="22"/>
          <w:szCs w:val="22"/>
        </w:rPr>
        <w:t>4</w:t>
      </w:r>
      <w:r w:rsidRPr="005D6FCC">
        <w:rPr>
          <w:rFonts w:ascii="Times New Roman" w:hAnsi="Times New Roman"/>
          <w:b/>
          <w:sz w:val="22"/>
          <w:szCs w:val="22"/>
        </w:rPr>
        <w:t>“</w:t>
      </w:r>
      <w:r w:rsidRPr="005D6FCC">
        <w:rPr>
          <w:rFonts w:ascii="Times New Roman" w:hAnsi="Times New Roman"/>
          <w:sz w:val="22"/>
          <w:szCs w:val="22"/>
        </w:rPr>
        <w:t xml:space="preserve"> (za období od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01.01.202</w:t>
      </w:r>
      <w:r w:rsidR="007A3C15" w:rsidRPr="005D6FCC">
        <w:rPr>
          <w:rFonts w:ascii="Times New Roman" w:hAnsi="Times New Roman"/>
          <w:sz w:val="22"/>
          <w:szCs w:val="22"/>
        </w:rPr>
        <w:t>4</w:t>
      </w:r>
      <w:r w:rsidRPr="005D6FCC">
        <w:rPr>
          <w:rFonts w:ascii="Times New Roman" w:hAnsi="Times New Roman"/>
          <w:sz w:val="22"/>
          <w:szCs w:val="22"/>
        </w:rPr>
        <w:t xml:space="preserve"> do 30.06.202</w:t>
      </w:r>
      <w:r w:rsidR="007A3C15" w:rsidRPr="005D6FCC">
        <w:rPr>
          <w:rFonts w:ascii="Times New Roman" w:hAnsi="Times New Roman"/>
          <w:sz w:val="22"/>
          <w:szCs w:val="22"/>
        </w:rPr>
        <w:t>4</w:t>
      </w:r>
      <w:r w:rsidRPr="005D6FCC">
        <w:rPr>
          <w:rFonts w:ascii="Times New Roman" w:hAnsi="Times New Roman"/>
          <w:sz w:val="22"/>
          <w:szCs w:val="22"/>
        </w:rPr>
        <w:t xml:space="preserve">) a </w:t>
      </w:r>
      <w:r w:rsidRPr="005D6FCC">
        <w:rPr>
          <w:rFonts w:ascii="Times New Roman" w:hAnsi="Times New Roman"/>
          <w:b/>
          <w:sz w:val="22"/>
          <w:szCs w:val="22"/>
        </w:rPr>
        <w:t>„Závěrečnou zprávu o realizaci projektu za rok 202</w:t>
      </w:r>
      <w:r w:rsidR="00E80947" w:rsidRPr="005D6FCC">
        <w:rPr>
          <w:rFonts w:ascii="Times New Roman" w:hAnsi="Times New Roman"/>
          <w:b/>
          <w:sz w:val="22"/>
          <w:szCs w:val="22"/>
        </w:rPr>
        <w:t>4</w:t>
      </w:r>
      <w:r w:rsidRPr="005D6FCC">
        <w:rPr>
          <w:rFonts w:ascii="Times New Roman" w:hAnsi="Times New Roman"/>
          <w:b/>
          <w:sz w:val="22"/>
          <w:szCs w:val="22"/>
        </w:rPr>
        <w:t>“</w:t>
      </w:r>
      <w:r w:rsidRPr="005D6FCC">
        <w:rPr>
          <w:rFonts w:ascii="Times New Roman" w:hAnsi="Times New Roman"/>
          <w:sz w:val="22"/>
          <w:szCs w:val="22"/>
        </w:rPr>
        <w:t xml:space="preserve"> (za období od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01.01.202</w:t>
      </w:r>
      <w:r w:rsidR="00E80947" w:rsidRPr="005D6FCC">
        <w:rPr>
          <w:rFonts w:ascii="Times New Roman" w:hAnsi="Times New Roman"/>
          <w:sz w:val="22"/>
          <w:szCs w:val="22"/>
        </w:rPr>
        <w:t>4</w:t>
      </w:r>
      <w:r w:rsidRPr="005D6FCC">
        <w:rPr>
          <w:rFonts w:ascii="Times New Roman" w:hAnsi="Times New Roman"/>
          <w:sz w:val="22"/>
          <w:szCs w:val="22"/>
        </w:rPr>
        <w:t xml:space="preserve"> do 31.12.202</w:t>
      </w:r>
      <w:r w:rsidR="00E80947" w:rsidRPr="005D6FCC">
        <w:rPr>
          <w:rFonts w:ascii="Times New Roman" w:hAnsi="Times New Roman"/>
          <w:sz w:val="22"/>
          <w:szCs w:val="22"/>
        </w:rPr>
        <w:t>4</w:t>
      </w:r>
      <w:r w:rsidRPr="005D6FCC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5D6FCC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5D6FCC">
        <w:rPr>
          <w:rFonts w:ascii="Times New Roman" w:hAnsi="Times New Roman"/>
          <w:b/>
          <w:bCs/>
          <w:sz w:val="22"/>
          <w:szCs w:val="22"/>
        </w:rPr>
        <w:t>elektronické</w:t>
      </w:r>
      <w:r w:rsidRPr="005D6FC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5D6FCC">
        <w:rPr>
          <w:rFonts w:ascii="Times New Roman" w:hAnsi="Times New Roman"/>
          <w:b/>
          <w:bCs/>
          <w:sz w:val="22"/>
          <w:szCs w:val="22"/>
        </w:rPr>
        <w:t>podobě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="00625F1F" w:rsidRPr="005D6FCC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5D6FCC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5D6FCC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5D6FCC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5D6FCC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lastRenderedPageBreak/>
        <w:t>Sledovat po celou dobu realizace projektu poskytovatelem stanovené ukazatele v sociálních službách, vykazovat jejich skutečné hodnoty v rám</w:t>
      </w:r>
      <w:r w:rsidR="00A67A80" w:rsidRPr="005D6FCC">
        <w:rPr>
          <w:rFonts w:ascii="Times New Roman" w:hAnsi="Times New Roman"/>
          <w:sz w:val="22"/>
          <w:szCs w:val="22"/>
        </w:rPr>
        <w:t>ci zpráv</w:t>
      </w:r>
      <w:r w:rsidR="00D37948" w:rsidRPr="005D6FCC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5D6FCC">
        <w:rPr>
          <w:rFonts w:ascii="Times New Roman" w:hAnsi="Times New Roman"/>
          <w:sz w:val="22"/>
          <w:szCs w:val="22"/>
        </w:rPr>
        <w:t xml:space="preserve"> nebo na </w:t>
      </w:r>
      <w:r w:rsidRPr="005D6FCC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5D6FCC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Pr="005D6FCC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5D6FCC">
        <w:rPr>
          <w:rFonts w:ascii="Times New Roman" w:hAnsi="Times New Roman"/>
          <w:sz w:val="22"/>
          <w:szCs w:val="22"/>
        </w:rPr>
        <w:t xml:space="preserve">předloženého </w:t>
      </w:r>
      <w:r w:rsidRPr="005D6FCC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Pr="005D6FCC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5D6FCC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5D6FC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Pr="005D6FCC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</w:t>
      </w:r>
      <w:r w:rsidR="00CA7B36" w:rsidRPr="005D6FCC">
        <w:rPr>
          <w:rFonts w:ascii="Times New Roman" w:hAnsi="Times New Roman"/>
          <w:sz w:val="22"/>
          <w:szCs w:val="22"/>
        </w:rPr>
        <w:t>rezentovat poskytovatele v průběhu realizace</w:t>
      </w:r>
      <w:r w:rsidR="00FF2F69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>předloženého</w:t>
      </w:r>
      <w:r w:rsidR="00CA7B36" w:rsidRPr="005D6FCC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D6FCC">
        <w:rPr>
          <w:rFonts w:ascii="Times New Roman" w:hAnsi="Times New Roman"/>
          <w:sz w:val="22"/>
          <w:szCs w:val="22"/>
        </w:rPr>
        <w:t> </w:t>
      </w:r>
      <w:r w:rsidR="00CA7B36" w:rsidRPr="005D6FCC">
        <w:rPr>
          <w:rFonts w:ascii="Times New Roman" w:hAnsi="Times New Roman"/>
          <w:sz w:val="22"/>
          <w:szCs w:val="22"/>
        </w:rPr>
        <w:t>případě, že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="00CA7B36" w:rsidRPr="005D6FCC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5D6FCC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5D6FCC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 w:rsidRPr="005D6FCC">
        <w:rPr>
          <w:rFonts w:ascii="Times New Roman" w:hAnsi="Times New Roman"/>
          <w:sz w:val="22"/>
          <w:szCs w:val="22"/>
        </w:rPr>
        <w:t> </w:t>
      </w:r>
      <w:r w:rsidR="00CA7B36" w:rsidRPr="005D6FCC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D6FCC">
        <w:rPr>
          <w:rFonts w:ascii="Times New Roman" w:hAnsi="Times New Roman"/>
          <w:sz w:val="22"/>
          <w:szCs w:val="22"/>
        </w:rPr>
        <w:t xml:space="preserve"> </w:t>
      </w:r>
      <w:r w:rsidR="00CA7B36" w:rsidRPr="005D6FCC">
        <w:rPr>
          <w:rFonts w:ascii="Times New Roman" w:hAnsi="Times New Roman"/>
          <w:sz w:val="22"/>
          <w:szCs w:val="22"/>
        </w:rPr>
        <w:t>informováním o posk</w:t>
      </w:r>
      <w:r w:rsidR="00A67A80" w:rsidRPr="005D6FCC">
        <w:rPr>
          <w:rFonts w:ascii="Times New Roman" w:hAnsi="Times New Roman"/>
          <w:sz w:val="22"/>
          <w:szCs w:val="22"/>
        </w:rPr>
        <w:t>ytnuté dotaci ve </w:t>
      </w:r>
      <w:r w:rsidR="00CA7B36" w:rsidRPr="005D6FCC">
        <w:rPr>
          <w:rFonts w:ascii="Times New Roman" w:hAnsi="Times New Roman"/>
          <w:sz w:val="22"/>
          <w:szCs w:val="22"/>
        </w:rPr>
        <w:t>výroční zprávě;</w:t>
      </w:r>
      <w:r w:rsidR="00F6001E" w:rsidRPr="005D6FCC">
        <w:rPr>
          <w:rFonts w:ascii="Times New Roman" w:hAnsi="Times New Roman"/>
          <w:sz w:val="22"/>
          <w:szCs w:val="22"/>
        </w:rPr>
        <w:t xml:space="preserve"> </w:t>
      </w:r>
      <w:r w:rsidR="00CA7B36" w:rsidRPr="005D6FCC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D6FCC">
        <w:rPr>
          <w:rFonts w:ascii="Times New Roman" w:hAnsi="Times New Roman"/>
          <w:sz w:val="22"/>
          <w:szCs w:val="22"/>
        </w:rPr>
        <w:t xml:space="preserve"> </w:t>
      </w:r>
      <w:r w:rsidR="00CA7B36" w:rsidRPr="005D6FCC">
        <w:rPr>
          <w:rFonts w:ascii="Times New Roman" w:hAnsi="Times New Roman"/>
          <w:sz w:val="22"/>
          <w:szCs w:val="22"/>
        </w:rPr>
        <w:t>týkajících se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="00CA7B36" w:rsidRPr="005D6FCC">
        <w:rPr>
          <w:rFonts w:ascii="Times New Roman" w:hAnsi="Times New Roman"/>
          <w:sz w:val="22"/>
          <w:szCs w:val="22"/>
        </w:rPr>
        <w:t>projektu, uvedením, ž</w:t>
      </w:r>
      <w:r w:rsidR="00611144" w:rsidRPr="005D6FCC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D6FCC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D6FCC">
        <w:rPr>
          <w:rFonts w:ascii="Times New Roman" w:hAnsi="Times New Roman"/>
          <w:sz w:val="22"/>
          <w:szCs w:val="22"/>
        </w:rPr>
        <w:t>pří</w:t>
      </w:r>
      <w:r w:rsidR="00CA7B36" w:rsidRPr="005D6FCC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D6FCC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D6FCC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Pr="005D6FCC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5D6FCC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Informovat </w:t>
      </w:r>
      <w:r w:rsidR="00FE29B4" w:rsidRPr="005D6FCC">
        <w:rPr>
          <w:rFonts w:ascii="Times New Roman" w:hAnsi="Times New Roman"/>
          <w:sz w:val="22"/>
          <w:szCs w:val="22"/>
        </w:rPr>
        <w:t xml:space="preserve">o </w:t>
      </w:r>
      <w:r w:rsidRPr="005D6FCC">
        <w:rPr>
          <w:rFonts w:ascii="Times New Roman" w:hAnsi="Times New Roman"/>
          <w:sz w:val="22"/>
          <w:szCs w:val="22"/>
        </w:rPr>
        <w:t>způsob</w:t>
      </w:r>
      <w:r w:rsidR="00FE29B4" w:rsidRPr="005D6FCC">
        <w:rPr>
          <w:rFonts w:ascii="Times New Roman" w:hAnsi="Times New Roman"/>
          <w:sz w:val="22"/>
          <w:szCs w:val="22"/>
        </w:rPr>
        <w:t>u</w:t>
      </w:r>
      <w:r w:rsidRPr="005D6FCC">
        <w:rPr>
          <w:rFonts w:ascii="Times New Roman" w:hAnsi="Times New Roman"/>
          <w:sz w:val="22"/>
          <w:szCs w:val="22"/>
        </w:rPr>
        <w:t xml:space="preserve"> prezentace poskytovatele při </w:t>
      </w:r>
      <w:r w:rsidR="00C13802" w:rsidRPr="005D6FCC">
        <w:rPr>
          <w:rFonts w:ascii="Times New Roman" w:hAnsi="Times New Roman"/>
          <w:sz w:val="22"/>
          <w:szCs w:val="22"/>
        </w:rPr>
        <w:t>finančním vypořádání</w:t>
      </w:r>
      <w:r w:rsidRPr="005D6FCC">
        <w:rPr>
          <w:rFonts w:ascii="Times New Roman" w:hAnsi="Times New Roman"/>
          <w:sz w:val="22"/>
          <w:szCs w:val="22"/>
        </w:rPr>
        <w:t xml:space="preserve"> dotace v rámci </w:t>
      </w:r>
      <w:r w:rsidR="00C13802" w:rsidRPr="005D6FCC">
        <w:rPr>
          <w:rFonts w:ascii="Times New Roman" w:hAnsi="Times New Roman"/>
          <w:sz w:val="22"/>
          <w:szCs w:val="22"/>
        </w:rPr>
        <w:t>závěrečné</w:t>
      </w:r>
      <w:r w:rsidR="006A5FD4" w:rsidRPr="005D6FCC">
        <w:rPr>
          <w:rFonts w:ascii="Times New Roman" w:hAnsi="Times New Roman"/>
          <w:sz w:val="22"/>
          <w:szCs w:val="22"/>
        </w:rPr>
        <w:t xml:space="preserve"> zprávy</w:t>
      </w:r>
      <w:r w:rsidRPr="005D6FCC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5D6FCC">
        <w:rPr>
          <w:rFonts w:ascii="Times New Roman" w:hAnsi="Times New Roman"/>
          <w:sz w:val="22"/>
          <w:szCs w:val="22"/>
        </w:rPr>
        <w:t xml:space="preserve"> zveřejněná na </w:t>
      </w:r>
      <w:r w:rsidRPr="005D6FCC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5D6FCC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Pr="005D6FC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 w:rsidRPr="005D6FCC">
        <w:rPr>
          <w:rFonts w:ascii="Times New Roman" w:hAnsi="Times New Roman"/>
          <w:bCs/>
          <w:sz w:val="22"/>
          <w:szCs w:val="22"/>
        </w:rPr>
        <w:t>2</w:t>
      </w:r>
      <w:r w:rsidRPr="005D6FCC">
        <w:rPr>
          <w:rFonts w:ascii="Times New Roman" w:hAnsi="Times New Roman"/>
          <w:bCs/>
          <w:sz w:val="22"/>
          <w:szCs w:val="22"/>
        </w:rPr>
        <w:t>/</w:t>
      </w:r>
      <w:r w:rsidR="007D5F8B" w:rsidRPr="005D6FCC">
        <w:rPr>
          <w:rFonts w:ascii="Times New Roman" w:hAnsi="Times New Roman"/>
          <w:bCs/>
          <w:sz w:val="22"/>
          <w:szCs w:val="22"/>
        </w:rPr>
        <w:t>2020</w:t>
      </w:r>
      <w:r w:rsidRPr="005D6FCC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 w:rsidRPr="005D6FCC">
        <w:rPr>
          <w:rFonts w:ascii="Times New Roman" w:hAnsi="Times New Roman"/>
          <w:bCs/>
          <w:sz w:val="22"/>
          <w:szCs w:val="22"/>
        </w:rPr>
        <w:t> </w:t>
      </w:r>
      <w:r w:rsidRPr="005D6FCC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 w:rsidRPr="005D6FCC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5D6FCC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5D6FCC">
        <w:rPr>
          <w:rFonts w:ascii="Times New Roman" w:hAnsi="Times New Roman"/>
          <w:bCs/>
          <w:sz w:val="22"/>
          <w:szCs w:val="22"/>
        </w:rPr>
        <w:t>vlastníka věci</w:t>
      </w:r>
      <w:r w:rsidRPr="005D6FCC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5D6FC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5D6FC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5D6FCC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5D6FCC">
        <w:rPr>
          <w:rFonts w:ascii="Times New Roman" w:hAnsi="Times New Roman"/>
          <w:b/>
          <w:sz w:val="22"/>
          <w:szCs w:val="22"/>
        </w:rPr>
        <w:t>do 31.01.20</w:t>
      </w:r>
      <w:r w:rsidR="00722C4A" w:rsidRPr="005D6FCC">
        <w:rPr>
          <w:rFonts w:ascii="Times New Roman" w:hAnsi="Times New Roman"/>
          <w:b/>
          <w:sz w:val="22"/>
          <w:szCs w:val="22"/>
        </w:rPr>
        <w:t>2</w:t>
      </w:r>
      <w:r w:rsidR="00492D3C" w:rsidRPr="005D6FCC">
        <w:rPr>
          <w:rFonts w:ascii="Times New Roman" w:hAnsi="Times New Roman"/>
          <w:b/>
          <w:sz w:val="22"/>
          <w:szCs w:val="22"/>
        </w:rPr>
        <w:t>5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5D6FCC">
        <w:rPr>
          <w:rFonts w:ascii="Times New Roman" w:hAnsi="Times New Roman"/>
          <w:sz w:val="22"/>
          <w:szCs w:val="22"/>
        </w:rPr>
        <w:t>jež je finančním</w:t>
      </w:r>
      <w:r w:rsidRPr="005D6FCC">
        <w:t xml:space="preserve"> </w:t>
      </w:r>
      <w:r w:rsidRPr="005D6FCC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5D6FCC">
        <w:rPr>
          <w:rFonts w:ascii="Times New Roman" w:hAnsi="Times New Roman"/>
          <w:sz w:val="22"/>
          <w:szCs w:val="22"/>
        </w:rPr>
        <w:t>dotace“),</w:t>
      </w:r>
      <w:r w:rsidR="00FE29B4" w:rsidRPr="005D6FCC">
        <w:rPr>
          <w:rFonts w:ascii="Times New Roman" w:hAnsi="Times New Roman"/>
          <w:b/>
          <w:sz w:val="22"/>
          <w:szCs w:val="22"/>
        </w:rPr>
        <w:t xml:space="preserve"> v tištěné</w:t>
      </w:r>
      <w:r w:rsidRPr="005D6FCC">
        <w:rPr>
          <w:rFonts w:ascii="Times New Roman" w:hAnsi="Times New Roman"/>
          <w:b/>
          <w:sz w:val="22"/>
          <w:szCs w:val="22"/>
        </w:rPr>
        <w:t xml:space="preserve"> podobě</w:t>
      </w:r>
      <w:r w:rsidRPr="005D6FCC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5D6FCC">
        <w:rPr>
          <w:rFonts w:ascii="Times New Roman" w:hAnsi="Times New Roman"/>
          <w:sz w:val="22"/>
          <w:szCs w:val="22"/>
        </w:rPr>
        <w:t>202</w:t>
      </w:r>
      <w:r w:rsidR="00B34424" w:rsidRPr="005D6FCC">
        <w:rPr>
          <w:rFonts w:ascii="Times New Roman" w:hAnsi="Times New Roman"/>
          <w:sz w:val="22"/>
          <w:szCs w:val="22"/>
        </w:rPr>
        <w:t>4</w:t>
      </w:r>
      <w:r w:rsidR="00C348A6" w:rsidRPr="005D6FCC">
        <w:rPr>
          <w:rFonts w:ascii="Times New Roman" w:hAnsi="Times New Roman"/>
          <w:sz w:val="22"/>
          <w:szCs w:val="22"/>
        </w:rPr>
        <w:t>“</w:t>
      </w:r>
      <w:r w:rsidRPr="005D6FCC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</w:t>
      </w:r>
      <w:r w:rsidR="003A7DC3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Pr="005D6FCC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5D6FCC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V případě, že příjemce zjistí, že součtem obdržených finančních prostředků poskytnutých z veřejných rozpočtů </w:t>
      </w:r>
      <w:proofErr w:type="gramStart"/>
      <w:r w:rsidRPr="005D6FCC">
        <w:rPr>
          <w:rFonts w:ascii="Times New Roman" w:hAnsi="Times New Roman"/>
          <w:sz w:val="22"/>
          <w:szCs w:val="22"/>
        </w:rPr>
        <w:t>překročí</w:t>
      </w:r>
      <w:proofErr w:type="gramEnd"/>
      <w:r w:rsidRPr="005D6FCC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 w:rsidRPr="005D6FCC">
        <w:rPr>
          <w:rFonts w:ascii="Times New Roman" w:hAnsi="Times New Roman"/>
          <w:sz w:val="22"/>
          <w:szCs w:val="22"/>
        </w:rPr>
        <w:t>6</w:t>
      </w:r>
      <w:r w:rsidRPr="005D6FCC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Pr="005D6FCC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5D6FCC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5D6FCC">
        <w:rPr>
          <w:rFonts w:ascii="Times New Roman" w:hAnsi="Times New Roman"/>
          <w:sz w:val="22"/>
          <w:szCs w:val="22"/>
        </w:rPr>
        <w:t>přeruší</w:t>
      </w:r>
      <w:proofErr w:type="gramEnd"/>
      <w:r w:rsidRPr="005D6FCC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 w:rsidRPr="005D6FCC">
        <w:rPr>
          <w:rFonts w:ascii="Times New Roman" w:hAnsi="Times New Roman"/>
          <w:sz w:val="22"/>
          <w:szCs w:val="22"/>
        </w:rPr>
        <w:t>2 odstavce 3 zákona č. 108/2006</w:t>
      </w:r>
      <w:r w:rsidR="000A222F" w:rsidRPr="005D6FCC">
        <w:rPr>
          <w:rFonts w:ascii="Times New Roman" w:hAnsi="Times New Roman"/>
          <w:sz w:val="22"/>
          <w:szCs w:val="22"/>
        </w:rPr>
        <w:t xml:space="preserve"> Sb.</w:t>
      </w:r>
      <w:r w:rsidRPr="005D6FCC">
        <w:rPr>
          <w:rFonts w:ascii="Times New Roman" w:hAnsi="Times New Roman"/>
          <w:sz w:val="22"/>
          <w:szCs w:val="22"/>
        </w:rPr>
        <w:t>, o sociálních službách, ve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peněžních prostředků určená pro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 xml:space="preserve">vrácení. Příjemce bude poskytovatelem písemně vyrozuměn a do 30 kalendářních dnů ode dne </w:t>
      </w:r>
      <w:r w:rsidRPr="005D6FCC">
        <w:rPr>
          <w:rFonts w:ascii="Times New Roman" w:hAnsi="Times New Roman"/>
          <w:sz w:val="22"/>
          <w:szCs w:val="22"/>
        </w:rPr>
        <w:lastRenderedPageBreak/>
        <w:t>doručení vyrozumění vrátí příjemce vyměřené peněžní prostředky zpět převodem na účet poskytovatele, vedený u České spořitelny, a. s., číslo účtu 27-1649297309/0800, variabilní symbol 18</w:t>
      </w:r>
      <w:r w:rsidR="006F1CDC" w:rsidRPr="005D6FCC">
        <w:rPr>
          <w:rFonts w:ascii="Times New Roman" w:hAnsi="Times New Roman"/>
          <w:sz w:val="22"/>
          <w:szCs w:val="22"/>
        </w:rPr>
        <w:t>0469</w:t>
      </w:r>
      <w:r w:rsidRPr="005D6FCC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5D6FCC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Pr="005D6FCC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5D6FCC">
        <w:rPr>
          <w:rFonts w:ascii="Times New Roman" w:hAnsi="Times New Roman"/>
          <w:sz w:val="22"/>
          <w:szCs w:val="22"/>
        </w:rPr>
        <w:t xml:space="preserve"> dotace, jsou-li vyšší než 10 Kč,</w:t>
      </w:r>
      <w:r w:rsidRPr="005D6FCC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18</w:t>
      </w:r>
      <w:r w:rsidR="006F1CDC" w:rsidRPr="005D6FCC">
        <w:rPr>
          <w:rFonts w:ascii="Times New Roman" w:hAnsi="Times New Roman"/>
          <w:sz w:val="22"/>
          <w:szCs w:val="22"/>
        </w:rPr>
        <w:t>0469</w:t>
      </w:r>
      <w:r w:rsidRPr="005D6FCC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 w:rsidRPr="005D6FCC">
        <w:rPr>
          <w:rFonts w:ascii="Times New Roman" w:hAnsi="Times New Roman"/>
          <w:sz w:val="22"/>
          <w:szCs w:val="22"/>
        </w:rPr>
        <w:t>závěrečného vyúčtování</w:t>
      </w:r>
      <w:r w:rsidRPr="005D6FCC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Pr="005D6FCC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Pr="005D6FCC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 w:rsidRPr="005D6FCC">
        <w:rPr>
          <w:rFonts w:ascii="Times New Roman" w:hAnsi="Times New Roman"/>
          <w:sz w:val="22"/>
          <w:szCs w:val="22"/>
        </w:rPr>
        <w:t>závěrečné vyúčt</w:t>
      </w:r>
      <w:r w:rsidR="000A222F" w:rsidRPr="005D6FCC">
        <w:rPr>
          <w:rFonts w:ascii="Times New Roman" w:hAnsi="Times New Roman"/>
          <w:sz w:val="22"/>
          <w:szCs w:val="22"/>
        </w:rPr>
        <w:t>ov</w:t>
      </w:r>
      <w:r w:rsidR="00EB48EA" w:rsidRPr="005D6FCC">
        <w:rPr>
          <w:rFonts w:ascii="Times New Roman" w:hAnsi="Times New Roman"/>
          <w:sz w:val="22"/>
          <w:szCs w:val="22"/>
        </w:rPr>
        <w:t>ání</w:t>
      </w:r>
      <w:r w:rsidRPr="005D6FCC"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Pr="005D6FC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Pr="005D6FCC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 w:rsidRPr="005D6FCC">
        <w:rPr>
          <w:rFonts w:ascii="Times New Roman" w:hAnsi="Times New Roman"/>
          <w:sz w:val="22"/>
          <w:szCs w:val="22"/>
        </w:rPr>
        <w:t>předloženém</w:t>
      </w:r>
      <w:r w:rsidRPr="005D6FCC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5D6FCC">
        <w:rPr>
          <w:rFonts w:ascii="Times New Roman" w:hAnsi="Times New Roman"/>
          <w:sz w:val="22"/>
          <w:szCs w:val="22"/>
        </w:rPr>
        <w:t>p</w:t>
      </w:r>
      <w:r w:rsidRPr="005D6FCC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5D6FCC">
        <w:rPr>
          <w:rFonts w:ascii="Times New Roman" w:hAnsi="Times New Roman"/>
          <w:sz w:val="22"/>
          <w:szCs w:val="22"/>
        </w:rPr>
        <w:t>a </w:t>
      </w:r>
      <w:r w:rsidRPr="005D6FCC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5D6FCC">
        <w:rPr>
          <w:rFonts w:ascii="Times New Roman" w:hAnsi="Times New Roman"/>
          <w:sz w:val="22"/>
          <w:szCs w:val="22"/>
        </w:rPr>
        <w:t>o </w:t>
      </w:r>
      <w:r w:rsidRPr="005D6FCC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Pr="005D6FCC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Pr="005D6FCC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Pr="005D6FCC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5D6FCC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5D6FCC">
        <w:rPr>
          <w:rFonts w:ascii="Times New Roman" w:hAnsi="Times New Roman"/>
          <w:sz w:val="22"/>
          <w:szCs w:val="22"/>
        </w:rPr>
        <w:t xml:space="preserve">ani tuto smlouvu </w:t>
      </w:r>
      <w:r w:rsidRPr="005D6FCC">
        <w:rPr>
          <w:rFonts w:ascii="Times New Roman" w:hAnsi="Times New Roman"/>
          <w:sz w:val="22"/>
          <w:szCs w:val="22"/>
        </w:rPr>
        <w:t>na jinou</w:t>
      </w:r>
      <w:r w:rsidR="009E5B61" w:rsidRPr="005D6FCC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5D6FCC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5D6FCC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5D6FCC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Postupovat při výběru dodavatele v souladu se zákonem č. 134/2016 Sb., o zadávání veřejných zakázek, ve znění pozdějších předpisů, je – </w:t>
      </w:r>
      <w:proofErr w:type="spellStart"/>
      <w:r w:rsidRPr="005D6FCC">
        <w:rPr>
          <w:rFonts w:ascii="Times New Roman" w:hAnsi="Times New Roman"/>
          <w:sz w:val="22"/>
          <w:szCs w:val="22"/>
        </w:rPr>
        <w:t>li</w:t>
      </w:r>
      <w:proofErr w:type="spellEnd"/>
      <w:r w:rsidRPr="005D6FCC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5D6FCC">
        <w:rPr>
          <w:rFonts w:ascii="Times New Roman" w:hAnsi="Times New Roman"/>
          <w:sz w:val="22"/>
          <w:szCs w:val="22"/>
        </w:rPr>
        <w:t>li</w:t>
      </w:r>
      <w:proofErr w:type="spellEnd"/>
      <w:r w:rsidRPr="005D6FCC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zákona.</w:t>
      </w:r>
    </w:p>
    <w:p w14:paraId="38DF408E" w14:textId="77777777" w:rsidR="002D6629" w:rsidRPr="005D6FCC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Pr="005D6FCC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0A222F" w:rsidRPr="005D6FCC">
        <w:rPr>
          <w:rFonts w:ascii="Times New Roman" w:hAnsi="Times New Roman"/>
          <w:sz w:val="22"/>
          <w:szCs w:val="22"/>
        </w:rPr>
        <w:t>závěrečného vyúčtování</w:t>
      </w:r>
      <w:r w:rsidRPr="005D6FCC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Pr="005D6FCC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Pr="005D6FCC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Informovat poskytovatele v rámci </w:t>
      </w:r>
      <w:r w:rsidR="000A222F" w:rsidRPr="005D6FCC">
        <w:rPr>
          <w:rFonts w:ascii="Times New Roman" w:hAnsi="Times New Roman"/>
          <w:sz w:val="22"/>
          <w:szCs w:val="22"/>
        </w:rPr>
        <w:t>závěrečného vyúčtování</w:t>
      </w:r>
      <w:r w:rsidRPr="005D6FCC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5D6FCC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5D6FCC" w:rsidRDefault="006A0802" w:rsidP="007E176F">
      <w:pPr>
        <w:pStyle w:val="JVS2"/>
        <w:tabs>
          <w:tab w:val="clear" w:pos="1440"/>
        </w:tabs>
        <w:jc w:val="both"/>
      </w:pPr>
      <w:r w:rsidRPr="005D6FCC">
        <w:t xml:space="preserve">čl. </w:t>
      </w:r>
      <w:r w:rsidR="00795E5C" w:rsidRPr="005D6FCC">
        <w:t xml:space="preserve">VI. </w:t>
      </w:r>
    </w:p>
    <w:p w14:paraId="67522CC0" w14:textId="77777777" w:rsidR="00795E5C" w:rsidRPr="005D6FCC" w:rsidRDefault="00795E5C" w:rsidP="007E176F">
      <w:pPr>
        <w:pStyle w:val="JVS2"/>
        <w:tabs>
          <w:tab w:val="clear" w:pos="1440"/>
        </w:tabs>
        <w:jc w:val="both"/>
        <w:outlineLvl w:val="0"/>
      </w:pPr>
      <w:r w:rsidRPr="005D6FCC">
        <w:t>Kontrola</w:t>
      </w:r>
    </w:p>
    <w:p w14:paraId="568BAFF8" w14:textId="77777777" w:rsidR="00795E5C" w:rsidRPr="005D6FCC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č. 320/2001 Sb., o finanční kontrole </w:t>
      </w:r>
      <w:r w:rsidR="005F698B" w:rsidRPr="005D6FCC">
        <w:rPr>
          <w:rFonts w:ascii="Times New Roman" w:hAnsi="Times New Roman"/>
          <w:sz w:val="22"/>
          <w:szCs w:val="22"/>
        </w:rPr>
        <w:t>ve veřejné správě</w:t>
      </w:r>
      <w:r w:rsidRPr="005D6FCC">
        <w:rPr>
          <w:rFonts w:ascii="Times New Roman" w:hAnsi="Times New Roman"/>
          <w:sz w:val="22"/>
          <w:szCs w:val="22"/>
        </w:rPr>
        <w:t xml:space="preserve"> a o změně některých </w:t>
      </w:r>
      <w:r w:rsidR="005F698B" w:rsidRPr="005D6FCC">
        <w:rPr>
          <w:rFonts w:ascii="Times New Roman" w:hAnsi="Times New Roman"/>
          <w:sz w:val="22"/>
          <w:szCs w:val="22"/>
        </w:rPr>
        <w:t>zákonů</w:t>
      </w:r>
      <w:r w:rsidR="003905FC" w:rsidRPr="005D6FC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5D6FCC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 w:rsidRPr="005D6FCC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 w:rsidRPr="005D6FCC">
        <w:rPr>
          <w:rFonts w:ascii="Times New Roman" w:hAnsi="Times New Roman"/>
          <w:sz w:val="22"/>
          <w:szCs w:val="22"/>
        </w:rPr>
        <w:t>závěrečného vyúčtování</w:t>
      </w:r>
      <w:r w:rsidR="00CB17E9" w:rsidRPr="005D6FCC">
        <w:rPr>
          <w:rFonts w:ascii="Times New Roman" w:hAnsi="Times New Roman"/>
          <w:sz w:val="22"/>
          <w:szCs w:val="22"/>
        </w:rPr>
        <w:t xml:space="preserve"> dotace</w:t>
      </w:r>
      <w:r w:rsidRPr="005D6FCC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 w:rsidRPr="005D6FCC">
        <w:rPr>
          <w:rFonts w:ascii="Times New Roman" w:hAnsi="Times New Roman"/>
          <w:sz w:val="22"/>
          <w:szCs w:val="22"/>
        </w:rPr>
        <w:t>peněžními</w:t>
      </w:r>
      <w:r w:rsidRPr="005D6FCC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5D6FCC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5D6FCC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5D6FCC">
        <w:rPr>
          <w:rFonts w:ascii="Times New Roman" w:hAnsi="Times New Roman"/>
          <w:sz w:val="22"/>
          <w:szCs w:val="22"/>
        </w:rPr>
        <w:t>tj. </w:t>
      </w:r>
      <w:r w:rsidRPr="005D6FCC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 w:rsidRPr="005D6FCC">
        <w:rPr>
          <w:rFonts w:ascii="Times New Roman" w:hAnsi="Times New Roman"/>
          <w:sz w:val="22"/>
          <w:szCs w:val="22"/>
        </w:rPr>
        <w:t xml:space="preserve"> dle této smlouvy</w:t>
      </w:r>
      <w:r w:rsidRPr="005D6FCC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5D6FCC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5D6FCC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5D6FCC">
        <w:rPr>
          <w:rFonts w:ascii="Times New Roman" w:hAnsi="Times New Roman"/>
          <w:sz w:val="22"/>
          <w:szCs w:val="22"/>
        </w:rPr>
        <w:t xml:space="preserve">realizace </w:t>
      </w:r>
      <w:r w:rsidR="002D0445" w:rsidRPr="005D6FCC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5D6FCC">
        <w:rPr>
          <w:rFonts w:ascii="Times New Roman" w:hAnsi="Times New Roman"/>
          <w:sz w:val="22"/>
          <w:szCs w:val="22"/>
        </w:rPr>
        <w:t xml:space="preserve">projektu </w:t>
      </w:r>
      <w:r w:rsidR="00EB48EA" w:rsidRPr="005D6FCC">
        <w:rPr>
          <w:rFonts w:ascii="Times New Roman" w:hAnsi="Times New Roman"/>
          <w:sz w:val="22"/>
          <w:szCs w:val="22"/>
        </w:rPr>
        <w:t xml:space="preserve">a poskytovaných služeb </w:t>
      </w:r>
      <w:r w:rsidRPr="005D6FCC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D6FCC">
        <w:rPr>
          <w:rFonts w:ascii="Times New Roman" w:hAnsi="Times New Roman"/>
          <w:sz w:val="22"/>
          <w:szCs w:val="22"/>
        </w:rPr>
        <w:t>poskytovatele</w:t>
      </w:r>
      <w:r w:rsidRPr="005D6FCC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D6FCC">
        <w:rPr>
          <w:rFonts w:ascii="Times New Roman" w:hAnsi="Times New Roman"/>
          <w:sz w:val="22"/>
          <w:szCs w:val="22"/>
        </w:rPr>
        <w:t>se smluvní strany dohodly, že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="005A005E" w:rsidRPr="005D6FCC">
        <w:rPr>
          <w:rFonts w:ascii="Times New Roman" w:hAnsi="Times New Roman"/>
          <w:sz w:val="22"/>
          <w:szCs w:val="22"/>
        </w:rPr>
        <w:t>pověření</w:t>
      </w:r>
      <w:r w:rsidRPr="005D6FCC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D6FCC">
        <w:rPr>
          <w:rFonts w:ascii="Times New Roman" w:hAnsi="Times New Roman"/>
          <w:sz w:val="22"/>
          <w:szCs w:val="22"/>
        </w:rPr>
        <w:t>poskytovatele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="005F698B" w:rsidRPr="005D6FCC">
        <w:rPr>
          <w:rFonts w:ascii="Times New Roman" w:hAnsi="Times New Roman"/>
          <w:sz w:val="22"/>
          <w:szCs w:val="22"/>
        </w:rPr>
        <w:t>jsou</w:t>
      </w:r>
      <w:r w:rsidRPr="005D6FCC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5D6FCC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Pr="005D6FCC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5D6FCC">
        <w:rPr>
          <w:rFonts w:ascii="Times New Roman" w:hAnsi="Times New Roman"/>
          <w:sz w:val="22"/>
          <w:szCs w:val="22"/>
        </w:rPr>
        <w:t xml:space="preserve"> dle</w:t>
      </w:r>
      <w:r w:rsidR="000363DF" w:rsidRPr="005D6FCC">
        <w:rPr>
          <w:rFonts w:ascii="Times New Roman" w:hAnsi="Times New Roman"/>
          <w:sz w:val="22"/>
          <w:szCs w:val="22"/>
        </w:rPr>
        <w:t> </w:t>
      </w:r>
      <w:r w:rsidR="0060285D" w:rsidRPr="005D6FCC">
        <w:rPr>
          <w:rFonts w:ascii="Times New Roman" w:hAnsi="Times New Roman"/>
          <w:sz w:val="22"/>
          <w:szCs w:val="22"/>
        </w:rPr>
        <w:t xml:space="preserve">zákona </w:t>
      </w:r>
      <w:r w:rsidR="00376EB3" w:rsidRPr="005D6FCC">
        <w:rPr>
          <w:rFonts w:ascii="Times New Roman" w:hAnsi="Times New Roman"/>
          <w:sz w:val="22"/>
          <w:szCs w:val="22"/>
        </w:rPr>
        <w:t xml:space="preserve">č. </w:t>
      </w:r>
      <w:r w:rsidR="0060285D" w:rsidRPr="005D6FCC">
        <w:rPr>
          <w:rFonts w:ascii="Times New Roman" w:hAnsi="Times New Roman"/>
          <w:sz w:val="22"/>
          <w:szCs w:val="22"/>
        </w:rPr>
        <w:t>108/2006 Sb., o sociálních službách</w:t>
      </w:r>
      <w:r w:rsidRPr="005D6FCC">
        <w:rPr>
          <w:rFonts w:ascii="Times New Roman" w:hAnsi="Times New Roman"/>
          <w:sz w:val="22"/>
          <w:szCs w:val="22"/>
        </w:rPr>
        <w:t>,</w:t>
      </w:r>
      <w:r w:rsidR="0060285D" w:rsidRPr="005D6FCC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5D6FCC">
        <w:rPr>
          <w:rFonts w:ascii="Times New Roman" w:hAnsi="Times New Roman"/>
          <w:sz w:val="22"/>
          <w:szCs w:val="22"/>
        </w:rPr>
        <w:t>,</w:t>
      </w:r>
      <w:r w:rsidRPr="005D6FCC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5D6FCC">
        <w:rPr>
          <w:rFonts w:ascii="Times New Roman" w:hAnsi="Times New Roman"/>
          <w:sz w:val="22"/>
          <w:szCs w:val="22"/>
        </w:rPr>
        <w:t>ve </w:t>
      </w:r>
      <w:r w:rsidRPr="005D6FCC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5D6FCC">
        <w:rPr>
          <w:rFonts w:ascii="Times New Roman" w:hAnsi="Times New Roman"/>
          <w:sz w:val="22"/>
          <w:szCs w:val="22"/>
        </w:rPr>
        <w:t>I</w:t>
      </w:r>
      <w:r w:rsidRPr="005D6FCC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5D6FCC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5D6FCC">
        <w:rPr>
          <w:rFonts w:ascii="Times New Roman" w:hAnsi="Times New Roman"/>
          <w:sz w:val="22"/>
          <w:szCs w:val="22"/>
        </w:rPr>
        <w:t>“</w:t>
      </w:r>
      <w:r w:rsidR="00AF33F6" w:rsidRPr="005D6FCC">
        <w:rPr>
          <w:rFonts w:ascii="Times New Roman" w:hAnsi="Times New Roman"/>
          <w:sz w:val="22"/>
          <w:szCs w:val="22"/>
        </w:rPr>
        <w:t xml:space="preserve"> zaslat kopii zprávy </w:t>
      </w:r>
      <w:r w:rsidR="003530D3" w:rsidRPr="005D6FCC">
        <w:rPr>
          <w:rFonts w:ascii="Times New Roman" w:hAnsi="Times New Roman"/>
          <w:sz w:val="22"/>
          <w:szCs w:val="22"/>
        </w:rPr>
        <w:t xml:space="preserve">poskytovateli a </w:t>
      </w:r>
      <w:r w:rsidRPr="005D6FCC">
        <w:rPr>
          <w:rFonts w:ascii="Times New Roman" w:hAnsi="Times New Roman"/>
          <w:sz w:val="22"/>
          <w:szCs w:val="22"/>
        </w:rPr>
        <w:t xml:space="preserve">umožnit </w:t>
      </w:r>
      <w:r w:rsidR="00AF33F6" w:rsidRPr="005D6FCC">
        <w:rPr>
          <w:rFonts w:ascii="Times New Roman" w:hAnsi="Times New Roman"/>
          <w:sz w:val="22"/>
          <w:szCs w:val="22"/>
        </w:rPr>
        <w:t>poskytovateli</w:t>
      </w:r>
      <w:r w:rsidRPr="005D6FCC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5D6FCC">
        <w:rPr>
          <w:rFonts w:ascii="Times New Roman" w:hAnsi="Times New Roman"/>
          <w:sz w:val="22"/>
          <w:szCs w:val="22"/>
        </w:rPr>
        <w:t>do </w:t>
      </w:r>
      <w:r w:rsidRPr="005D6FCC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5D6FCC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5D6FCC" w:rsidRDefault="006A0802" w:rsidP="007E176F">
      <w:pPr>
        <w:pStyle w:val="JVS2"/>
        <w:tabs>
          <w:tab w:val="clear" w:pos="1440"/>
        </w:tabs>
        <w:jc w:val="both"/>
      </w:pPr>
      <w:r w:rsidRPr="005D6FCC">
        <w:t xml:space="preserve">čl. </w:t>
      </w:r>
      <w:r w:rsidR="00795E5C" w:rsidRPr="005D6FCC">
        <w:t>VII.</w:t>
      </w:r>
    </w:p>
    <w:p w14:paraId="7494EDF4" w14:textId="77777777" w:rsidR="00795E5C" w:rsidRPr="005D6FCC" w:rsidRDefault="00795E5C" w:rsidP="007E176F">
      <w:pPr>
        <w:pStyle w:val="JVS2"/>
        <w:tabs>
          <w:tab w:val="clear" w:pos="1440"/>
        </w:tabs>
        <w:jc w:val="both"/>
        <w:outlineLvl w:val="0"/>
      </w:pPr>
      <w:r w:rsidRPr="005D6FCC">
        <w:t>Sankční ujednání</w:t>
      </w:r>
    </w:p>
    <w:p w14:paraId="1079AF3E" w14:textId="579CB0DA" w:rsidR="00C95A70" w:rsidRPr="005D6FCC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5D6FCC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5D6FCC">
        <w:rPr>
          <w:rFonts w:ascii="Times New Roman" w:hAnsi="Times New Roman"/>
          <w:sz w:val="22"/>
          <w:szCs w:val="22"/>
        </w:rPr>
        <w:t xml:space="preserve">l postupovat podle § 22 </w:t>
      </w:r>
      <w:r w:rsidRPr="005D6FCC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Pr="005D6FCC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0AE15DB8" w:rsidR="00FB6667" w:rsidRPr="005D6FCC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Pr="005D6FCC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5D6FCC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5D6FCC">
        <w:rPr>
          <w:rFonts w:ascii="Times New Roman" w:hAnsi="Times New Roman"/>
          <w:sz w:val="22"/>
          <w:szCs w:val="22"/>
        </w:rPr>
        <w:t>poruší</w:t>
      </w:r>
      <w:proofErr w:type="gramEnd"/>
      <w:r w:rsidRPr="005D6FCC">
        <w:rPr>
          <w:rFonts w:ascii="Times New Roman" w:hAnsi="Times New Roman"/>
          <w:sz w:val="22"/>
          <w:szCs w:val="22"/>
        </w:rPr>
        <w:t xml:space="preserve"> jakoukoliv jinou povinnost, vyplývající pro něj z této smlouvy a toto porušení nebude porušením rozpočtové kázně, je povinen zaplatit smluvní pokutu ve výši 1 % z poskytnuté dotace, nedojde-li k nápravě ve lhůtě stanovené poskytovatelem.</w:t>
      </w:r>
    </w:p>
    <w:p w14:paraId="22EC7A9C" w14:textId="77777777" w:rsidR="00075B63" w:rsidRPr="005D6FCC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5D6FCC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5D6FCC">
        <w:rPr>
          <w:rFonts w:ascii="Times New Roman" w:hAnsi="Times New Roman"/>
          <w:sz w:val="22"/>
        </w:rPr>
        <w:t>S</w:t>
      </w:r>
      <w:r w:rsidRPr="005D6FCC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 xml:space="preserve">porušení </w:t>
      </w:r>
      <w:r w:rsidR="00FC2516" w:rsidRPr="005D6FCC">
        <w:rPr>
          <w:rFonts w:ascii="Times New Roman" w:hAnsi="Times New Roman"/>
          <w:sz w:val="22"/>
          <w:szCs w:val="22"/>
        </w:rPr>
        <w:t>povinností</w:t>
      </w:r>
      <w:r w:rsidRPr="005D6FCC">
        <w:rPr>
          <w:rFonts w:ascii="Times New Roman" w:hAnsi="Times New Roman"/>
          <w:sz w:val="22"/>
          <w:szCs w:val="22"/>
        </w:rPr>
        <w:t xml:space="preserve">, ke </w:t>
      </w:r>
      <w:r w:rsidR="00FC2516" w:rsidRPr="005D6FCC">
        <w:rPr>
          <w:rFonts w:ascii="Times New Roman" w:hAnsi="Times New Roman"/>
          <w:sz w:val="22"/>
          <w:szCs w:val="22"/>
        </w:rPr>
        <w:t>kterému</w:t>
      </w:r>
      <w:r w:rsidRPr="005D6FCC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5D6FCC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5D6FCC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Porušení </w:t>
      </w:r>
      <w:r w:rsidR="0076108E" w:rsidRPr="005D6FCC">
        <w:rPr>
          <w:rFonts w:ascii="Times New Roman" w:hAnsi="Times New Roman"/>
          <w:sz w:val="22"/>
          <w:szCs w:val="22"/>
        </w:rPr>
        <w:t>povinnosti uvedené</w:t>
      </w:r>
      <w:r w:rsidRPr="005D6FCC">
        <w:rPr>
          <w:rFonts w:ascii="Times New Roman" w:hAnsi="Times New Roman"/>
          <w:sz w:val="22"/>
          <w:szCs w:val="22"/>
        </w:rPr>
        <w:t xml:space="preserve"> v odst. </w:t>
      </w:r>
      <w:r w:rsidR="00766FC0" w:rsidRPr="005D6FCC">
        <w:rPr>
          <w:rFonts w:ascii="Times New Roman" w:hAnsi="Times New Roman"/>
          <w:sz w:val="22"/>
          <w:szCs w:val="22"/>
        </w:rPr>
        <w:t>1</w:t>
      </w:r>
      <w:r w:rsidR="00EB48EA" w:rsidRPr="005D6FCC">
        <w:rPr>
          <w:rFonts w:ascii="Times New Roman" w:hAnsi="Times New Roman"/>
          <w:sz w:val="22"/>
          <w:szCs w:val="22"/>
        </w:rPr>
        <w:t>7</w:t>
      </w:r>
      <w:r w:rsidRPr="005D6FCC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5D6FCC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5D6FCC">
        <w:rPr>
          <w:rFonts w:ascii="Times New Roman" w:hAnsi="Times New Roman"/>
          <w:sz w:val="22"/>
          <w:szCs w:val="22"/>
        </w:rPr>
        <w:br/>
      </w:r>
      <w:r w:rsidR="009932C2" w:rsidRPr="005D6FCC">
        <w:rPr>
          <w:rFonts w:ascii="Times New Roman" w:hAnsi="Times New Roman"/>
          <w:sz w:val="22"/>
          <w:szCs w:val="22"/>
        </w:rPr>
        <w:t xml:space="preserve">ve výši </w:t>
      </w:r>
      <w:r w:rsidR="0076108E" w:rsidRPr="005D6FCC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5D6FCC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5D6FCC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5D6FCC">
        <w:rPr>
          <w:rFonts w:ascii="Times New Roman" w:hAnsi="Times New Roman"/>
          <w:sz w:val="22"/>
          <w:szCs w:val="22"/>
        </w:rPr>
        <w:t> odst.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="001C147A" w:rsidRPr="005D6FCC">
        <w:rPr>
          <w:rFonts w:ascii="Times New Roman" w:hAnsi="Times New Roman"/>
          <w:sz w:val="22"/>
          <w:szCs w:val="22"/>
        </w:rPr>
        <w:t xml:space="preserve">11 a </w:t>
      </w:r>
      <w:r w:rsidR="006A2462" w:rsidRPr="005D6FCC">
        <w:rPr>
          <w:rFonts w:ascii="Times New Roman" w:hAnsi="Times New Roman"/>
          <w:sz w:val="22"/>
          <w:szCs w:val="22"/>
        </w:rPr>
        <w:t>1</w:t>
      </w:r>
      <w:r w:rsidR="00EB48EA" w:rsidRPr="005D6FCC">
        <w:rPr>
          <w:rFonts w:ascii="Times New Roman" w:hAnsi="Times New Roman"/>
          <w:sz w:val="22"/>
          <w:szCs w:val="22"/>
        </w:rPr>
        <w:t>8</w:t>
      </w:r>
      <w:r w:rsidR="006A2462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>čl. V</w:t>
      </w:r>
      <w:r w:rsidR="005A005E" w:rsidRPr="005D6FCC">
        <w:rPr>
          <w:rFonts w:ascii="Times New Roman" w:hAnsi="Times New Roman"/>
          <w:sz w:val="22"/>
          <w:szCs w:val="22"/>
        </w:rPr>
        <w:t xml:space="preserve"> této </w:t>
      </w:r>
      <w:r w:rsidRPr="005D6FCC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5D6FCC">
        <w:rPr>
          <w:rFonts w:ascii="Times New Roman" w:hAnsi="Times New Roman"/>
          <w:sz w:val="22"/>
          <w:szCs w:val="22"/>
        </w:rPr>
        <w:t>10a</w:t>
      </w:r>
      <w:r w:rsidR="009A65D9" w:rsidRPr="005D6FCC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5D6FCC">
        <w:rPr>
          <w:rFonts w:ascii="Times New Roman" w:hAnsi="Times New Roman"/>
          <w:sz w:val="22"/>
          <w:szCs w:val="22"/>
        </w:rPr>
        <w:t>y</w:t>
      </w:r>
      <w:r w:rsidR="009A65D9" w:rsidRPr="005D6FCC">
        <w:rPr>
          <w:rFonts w:ascii="Times New Roman" w:hAnsi="Times New Roman"/>
          <w:sz w:val="22"/>
          <w:szCs w:val="22"/>
        </w:rPr>
        <w:t xml:space="preserve"> za</w:t>
      </w:r>
      <w:r w:rsidR="000C46D4" w:rsidRPr="005D6FCC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5D6FCC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5D6FCC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5D6FCC">
        <w:rPr>
          <w:rFonts w:ascii="Times New Roman" w:hAnsi="Times New Roman"/>
          <w:sz w:val="22"/>
          <w:szCs w:val="22"/>
        </w:rPr>
        <w:t>požadovaných dokumentů</w:t>
      </w:r>
      <w:r w:rsidRPr="005D6FCC">
        <w:rPr>
          <w:rFonts w:ascii="Times New Roman" w:hAnsi="Times New Roman"/>
          <w:sz w:val="22"/>
          <w:szCs w:val="22"/>
        </w:rPr>
        <w:t xml:space="preserve"> dle</w:t>
      </w:r>
      <w:r w:rsidR="002128C5" w:rsidRPr="005D6FCC">
        <w:rPr>
          <w:rFonts w:ascii="Times New Roman" w:hAnsi="Times New Roman"/>
          <w:sz w:val="22"/>
          <w:szCs w:val="22"/>
        </w:rPr>
        <w:t xml:space="preserve"> odst.</w:t>
      </w:r>
      <w:r w:rsidRPr="005D6FCC">
        <w:rPr>
          <w:rFonts w:ascii="Times New Roman" w:hAnsi="Times New Roman"/>
          <w:sz w:val="22"/>
          <w:szCs w:val="22"/>
        </w:rPr>
        <w:t xml:space="preserve"> </w:t>
      </w:r>
      <w:r w:rsidR="0064291A" w:rsidRPr="005D6FCC">
        <w:rPr>
          <w:rFonts w:ascii="Times New Roman" w:hAnsi="Times New Roman"/>
          <w:sz w:val="22"/>
          <w:szCs w:val="22"/>
        </w:rPr>
        <w:t xml:space="preserve">11 a </w:t>
      </w:r>
      <w:r w:rsidR="002128C5" w:rsidRPr="005D6FCC">
        <w:rPr>
          <w:rFonts w:ascii="Times New Roman" w:hAnsi="Times New Roman"/>
          <w:sz w:val="22"/>
          <w:szCs w:val="22"/>
        </w:rPr>
        <w:t>1</w:t>
      </w:r>
      <w:r w:rsidR="00EB48EA" w:rsidRPr="005D6FCC">
        <w:rPr>
          <w:rFonts w:ascii="Times New Roman" w:hAnsi="Times New Roman"/>
          <w:sz w:val="22"/>
          <w:szCs w:val="22"/>
        </w:rPr>
        <w:t>8</w:t>
      </w:r>
      <w:r w:rsidRPr="005D6FCC">
        <w:rPr>
          <w:rFonts w:ascii="Times New Roman" w:hAnsi="Times New Roman"/>
          <w:sz w:val="22"/>
          <w:szCs w:val="22"/>
        </w:rPr>
        <w:t xml:space="preserve"> čl. V</w:t>
      </w:r>
      <w:r w:rsidR="00002951" w:rsidRPr="005D6FCC">
        <w:rPr>
          <w:rFonts w:ascii="Times New Roman" w:hAnsi="Times New Roman"/>
          <w:sz w:val="22"/>
          <w:szCs w:val="22"/>
        </w:rPr>
        <w:t> této</w:t>
      </w:r>
      <w:r w:rsidRPr="005D6FCC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5D6FCC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5D6FCC">
        <w:rPr>
          <w:rFonts w:ascii="Times New Roman" w:hAnsi="Times New Roman"/>
          <w:sz w:val="22"/>
          <w:szCs w:val="22"/>
        </w:rPr>
        <w:t>1</w:t>
      </w:r>
      <w:r w:rsidR="00182108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5D6FCC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8–30</w:t>
      </w:r>
      <w:r w:rsidR="009A65D9" w:rsidRPr="005D6FCC">
        <w:rPr>
          <w:rFonts w:ascii="Times New Roman" w:hAnsi="Times New Roman"/>
          <w:sz w:val="22"/>
          <w:szCs w:val="22"/>
        </w:rPr>
        <w:t xml:space="preserve"> dní </w:t>
      </w:r>
      <w:r w:rsidR="007A321C" w:rsidRPr="005D6FCC">
        <w:rPr>
          <w:rFonts w:ascii="Times New Roman" w:hAnsi="Times New Roman"/>
          <w:sz w:val="22"/>
          <w:szCs w:val="22"/>
        </w:rPr>
        <w:t>5</w:t>
      </w:r>
      <w:r w:rsidR="00182108" w:rsidRPr="005D6FCC">
        <w:rPr>
          <w:rFonts w:ascii="Times New Roman" w:hAnsi="Times New Roman"/>
          <w:sz w:val="22"/>
          <w:szCs w:val="22"/>
        </w:rPr>
        <w:t> </w:t>
      </w:r>
      <w:r w:rsidR="009A65D9" w:rsidRPr="005D6FCC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5D6FCC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31–60</w:t>
      </w:r>
      <w:r w:rsidR="00FB4039" w:rsidRPr="005D6FCC">
        <w:rPr>
          <w:rFonts w:ascii="Times New Roman" w:hAnsi="Times New Roman"/>
          <w:sz w:val="22"/>
          <w:szCs w:val="22"/>
        </w:rPr>
        <w:t xml:space="preserve"> dní </w:t>
      </w:r>
      <w:r w:rsidR="007A321C" w:rsidRPr="005D6FCC">
        <w:rPr>
          <w:rFonts w:ascii="Times New Roman" w:hAnsi="Times New Roman"/>
          <w:sz w:val="22"/>
          <w:szCs w:val="22"/>
        </w:rPr>
        <w:t>10</w:t>
      </w:r>
      <w:r w:rsidR="00182108" w:rsidRPr="005D6FCC">
        <w:rPr>
          <w:rFonts w:ascii="Times New Roman" w:hAnsi="Times New Roman"/>
          <w:sz w:val="22"/>
          <w:szCs w:val="22"/>
        </w:rPr>
        <w:t> </w:t>
      </w:r>
      <w:r w:rsidR="009A65D9" w:rsidRPr="005D6FCC">
        <w:rPr>
          <w:rFonts w:ascii="Times New Roman" w:hAnsi="Times New Roman"/>
          <w:sz w:val="22"/>
          <w:szCs w:val="22"/>
        </w:rPr>
        <w:t>% poskytnuté dotace</w:t>
      </w:r>
      <w:r w:rsidR="00182108" w:rsidRPr="005D6FCC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5D6FCC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5D6FCC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5D6FCC">
        <w:rPr>
          <w:rFonts w:ascii="Times New Roman" w:hAnsi="Times New Roman"/>
          <w:sz w:val="22"/>
          <w:szCs w:val="22"/>
        </w:rPr>
        <w:t>nepředloží</w:t>
      </w:r>
      <w:proofErr w:type="gramEnd"/>
      <w:r w:rsidRPr="005D6FCC">
        <w:rPr>
          <w:rFonts w:ascii="Times New Roman" w:hAnsi="Times New Roman"/>
          <w:sz w:val="22"/>
          <w:szCs w:val="22"/>
        </w:rPr>
        <w:t xml:space="preserve"> </w:t>
      </w:r>
      <w:r w:rsidR="00CF79D7" w:rsidRPr="005D6FCC">
        <w:rPr>
          <w:rFonts w:ascii="Times New Roman" w:hAnsi="Times New Roman"/>
          <w:sz w:val="22"/>
          <w:szCs w:val="22"/>
        </w:rPr>
        <w:t>požadované dokumenty</w:t>
      </w:r>
      <w:r w:rsidRPr="005D6FCC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5D6FCC">
        <w:rPr>
          <w:rFonts w:ascii="Times New Roman" w:hAnsi="Times New Roman"/>
          <w:sz w:val="22"/>
          <w:szCs w:val="22"/>
        </w:rPr>
        <w:t xml:space="preserve"> 11 a </w:t>
      </w:r>
      <w:r w:rsidRPr="005D6FCC">
        <w:rPr>
          <w:rFonts w:ascii="Times New Roman" w:hAnsi="Times New Roman"/>
          <w:sz w:val="22"/>
          <w:szCs w:val="22"/>
        </w:rPr>
        <w:t>1</w:t>
      </w:r>
      <w:r w:rsidR="000A222F" w:rsidRPr="005D6FCC">
        <w:rPr>
          <w:rFonts w:ascii="Times New Roman" w:hAnsi="Times New Roman"/>
          <w:sz w:val="22"/>
          <w:szCs w:val="22"/>
        </w:rPr>
        <w:t>8</w:t>
      </w:r>
      <w:r w:rsidRPr="005D6FCC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5D6FCC" w:rsidRDefault="009A65D9" w:rsidP="007E176F">
      <w:pPr>
        <w:ind w:left="284"/>
        <w:jc w:val="both"/>
        <w:rPr>
          <w:rFonts w:ascii="Times New Roman" w:hAnsi="Times New Roman"/>
          <w:sz w:val="22"/>
        </w:rPr>
      </w:pPr>
    </w:p>
    <w:p w14:paraId="435A8738" w14:textId="77777777" w:rsidR="0029269F" w:rsidRPr="005D6FCC" w:rsidRDefault="0029269F" w:rsidP="007E176F">
      <w:pPr>
        <w:ind w:left="284"/>
        <w:jc w:val="both"/>
        <w:rPr>
          <w:rFonts w:ascii="Times New Roman" w:hAnsi="Times New Roman"/>
          <w:sz w:val="22"/>
        </w:rPr>
      </w:pPr>
    </w:p>
    <w:p w14:paraId="412E7A70" w14:textId="77777777" w:rsidR="0029269F" w:rsidRPr="005D6FCC" w:rsidRDefault="0029269F" w:rsidP="007E176F">
      <w:pPr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5D6FCC" w:rsidRDefault="006A0802" w:rsidP="007E176F">
      <w:pPr>
        <w:pStyle w:val="JVS2"/>
        <w:tabs>
          <w:tab w:val="clear" w:pos="1440"/>
        </w:tabs>
        <w:jc w:val="both"/>
      </w:pPr>
      <w:r w:rsidRPr="005D6FCC">
        <w:lastRenderedPageBreak/>
        <w:t xml:space="preserve">čl. </w:t>
      </w:r>
      <w:r w:rsidR="001236E1" w:rsidRPr="005D6FCC">
        <w:t>VIII</w:t>
      </w:r>
      <w:r w:rsidR="00795E5C" w:rsidRPr="005D6FCC">
        <w:t>.</w:t>
      </w:r>
    </w:p>
    <w:p w14:paraId="4FA4F6A0" w14:textId="77777777" w:rsidR="00795E5C" w:rsidRPr="005D6FCC" w:rsidRDefault="00795E5C" w:rsidP="007E176F">
      <w:pPr>
        <w:pStyle w:val="JVS2"/>
        <w:tabs>
          <w:tab w:val="clear" w:pos="1440"/>
        </w:tabs>
        <w:jc w:val="both"/>
        <w:outlineLvl w:val="0"/>
      </w:pPr>
      <w:r w:rsidRPr="005D6FCC">
        <w:t>Závěrečná ujednání</w:t>
      </w:r>
    </w:p>
    <w:p w14:paraId="06964261" w14:textId="6D62DA73" w:rsidR="00795E5C" w:rsidRPr="005D6FCC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5D6FCC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5D6FCC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5D6FCC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5D6FCC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5D6FCC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5D6FCC">
        <w:rPr>
          <w:rFonts w:ascii="Times New Roman" w:hAnsi="Times New Roman"/>
          <w:b/>
          <w:sz w:val="22"/>
          <w:szCs w:val="22"/>
        </w:rPr>
        <w:t xml:space="preserve"> pro doručování veškerých souvisejících písemností</w:t>
      </w:r>
      <w:r w:rsidR="00051FF6" w:rsidRPr="005D6FCC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5D6FCC">
        <w:rPr>
          <w:rFonts w:ascii="Times New Roman" w:hAnsi="Times New Roman"/>
          <w:b/>
          <w:sz w:val="22"/>
          <w:szCs w:val="22"/>
        </w:rPr>
        <w:t>.</w:t>
      </w:r>
      <w:r w:rsidRPr="005D6FCC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5D6FCC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01D82867" w:rsidR="00795E5C" w:rsidRPr="005D6FCC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5D6FCC">
        <w:rPr>
          <w:rFonts w:ascii="Times New Roman" w:hAnsi="Times New Roman"/>
          <w:iCs/>
          <w:sz w:val="22"/>
          <w:szCs w:val="22"/>
        </w:rPr>
        <w:t>Tato smlouva nabývá účinnosti dnem jejího uveřejnění v registru smluv podle zákona č. 340/2015 Sb., o</w:t>
      </w:r>
      <w:r w:rsidR="005D6FCC" w:rsidRPr="005D6FCC">
        <w:rPr>
          <w:rFonts w:ascii="Times New Roman" w:hAnsi="Times New Roman"/>
          <w:iCs/>
          <w:sz w:val="22"/>
          <w:szCs w:val="22"/>
        </w:rPr>
        <w:t> </w:t>
      </w:r>
      <w:r w:rsidRPr="005D6FCC">
        <w:rPr>
          <w:rFonts w:ascii="Times New Roman" w:hAnsi="Times New Roman"/>
          <w:iCs/>
          <w:sz w:val="22"/>
          <w:szCs w:val="22"/>
        </w:rPr>
        <w:t>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5D6FCC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5D6FCC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 w:rsidRPr="005D6FCC">
        <w:rPr>
          <w:rFonts w:ascii="Times New Roman" w:hAnsi="Times New Roman"/>
          <w:sz w:val="22"/>
          <w:szCs w:val="22"/>
        </w:rPr>
        <w:t xml:space="preserve"> </w:t>
      </w:r>
      <w:r w:rsidR="00AC0E1E" w:rsidRPr="005D6FCC">
        <w:rPr>
          <w:rFonts w:ascii="Times New Roman" w:hAnsi="Times New Roman"/>
          <w:sz w:val="22"/>
          <w:szCs w:val="22"/>
        </w:rPr>
        <w:t>občansk</w:t>
      </w:r>
      <w:r w:rsidR="00C644E2" w:rsidRPr="005D6FCC">
        <w:rPr>
          <w:rFonts w:ascii="Times New Roman" w:hAnsi="Times New Roman"/>
          <w:sz w:val="22"/>
          <w:szCs w:val="22"/>
        </w:rPr>
        <w:t>ý</w:t>
      </w:r>
      <w:r w:rsidR="00AC0E1E" w:rsidRPr="005D6FCC">
        <w:rPr>
          <w:rFonts w:ascii="Times New Roman" w:hAnsi="Times New Roman"/>
          <w:sz w:val="22"/>
          <w:szCs w:val="22"/>
        </w:rPr>
        <w:t xml:space="preserve"> zákoník</w:t>
      </w:r>
      <w:r w:rsidR="0099245A" w:rsidRPr="005D6FCC">
        <w:rPr>
          <w:rFonts w:ascii="Times New Roman" w:hAnsi="Times New Roman"/>
          <w:sz w:val="22"/>
          <w:szCs w:val="22"/>
        </w:rPr>
        <w:t xml:space="preserve">, </w:t>
      </w:r>
      <w:r w:rsidR="00DA30F5" w:rsidRPr="005D6FCC">
        <w:rPr>
          <w:rFonts w:ascii="Times New Roman" w:hAnsi="Times New Roman"/>
          <w:sz w:val="22"/>
          <w:szCs w:val="22"/>
        </w:rPr>
        <w:t>ve znění pozdějších předpisů</w:t>
      </w:r>
      <w:r w:rsidR="002128C5" w:rsidRPr="005D6FCC">
        <w:rPr>
          <w:rFonts w:ascii="Times New Roman" w:hAnsi="Times New Roman"/>
          <w:sz w:val="22"/>
          <w:szCs w:val="22"/>
        </w:rPr>
        <w:t xml:space="preserve">, </w:t>
      </w:r>
      <w:r w:rsidR="00E55338" w:rsidRPr="005D6FCC">
        <w:rPr>
          <w:rFonts w:ascii="Times New Roman" w:hAnsi="Times New Roman"/>
          <w:sz w:val="22"/>
          <w:szCs w:val="22"/>
        </w:rPr>
        <w:t>(dále jen „občanský zákoník“)</w:t>
      </w:r>
      <w:r w:rsidRPr="005D6FCC">
        <w:rPr>
          <w:rFonts w:ascii="Times New Roman" w:hAnsi="Times New Roman"/>
          <w:sz w:val="22"/>
          <w:szCs w:val="22"/>
        </w:rPr>
        <w:t xml:space="preserve">. </w:t>
      </w:r>
      <w:r w:rsidR="00AC0E1E" w:rsidRPr="005D6FCC">
        <w:rPr>
          <w:rFonts w:ascii="Times New Roman" w:hAnsi="Times New Roman"/>
          <w:sz w:val="22"/>
          <w:szCs w:val="22"/>
        </w:rPr>
        <w:t>Zároveň však</w:t>
      </w:r>
      <w:r w:rsidRPr="005D6FCC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>1765 a §</w:t>
      </w:r>
      <w:r w:rsidR="00DB4B51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5D6FCC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Pr="005D6FCC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5D6FCC">
        <w:rPr>
          <w:sz w:val="22"/>
          <w:szCs w:val="22"/>
        </w:rPr>
        <w:t xml:space="preserve">Smluvní strany se dále </w:t>
      </w:r>
      <w:r w:rsidR="006C64D2" w:rsidRPr="005D6FCC">
        <w:rPr>
          <w:sz w:val="22"/>
          <w:szCs w:val="22"/>
        </w:rPr>
        <w:t>dohodly ve</w:t>
      </w:r>
      <w:r w:rsidRPr="005D6FCC">
        <w:rPr>
          <w:sz w:val="22"/>
          <w:szCs w:val="22"/>
        </w:rPr>
        <w:t xml:space="preserve"> smyslu § 1740 odst. 2 a 3</w:t>
      </w:r>
      <w:r w:rsidR="005006C5" w:rsidRPr="005D6FCC">
        <w:rPr>
          <w:sz w:val="22"/>
          <w:szCs w:val="22"/>
        </w:rPr>
        <w:t xml:space="preserve"> občanského zákoníku</w:t>
      </w:r>
      <w:r w:rsidRPr="005D6FCC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5D6FCC">
        <w:t>.</w:t>
      </w:r>
    </w:p>
    <w:p w14:paraId="507A5A45" w14:textId="77777777" w:rsidR="006C64D2" w:rsidRPr="005D6FCC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Pr="005D6FC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5D6FCC">
        <w:rPr>
          <w:rFonts w:ascii="Times New Roman" w:hAnsi="Times New Roman"/>
          <w:sz w:val="22"/>
          <w:szCs w:val="22"/>
        </w:rPr>
        <w:t xml:space="preserve"> </w:t>
      </w:r>
      <w:r w:rsidR="00E84200" w:rsidRPr="005D6FCC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5D6FCC">
        <w:rPr>
          <w:rFonts w:ascii="Times New Roman" w:hAnsi="Times New Roman"/>
          <w:sz w:val="22"/>
          <w:szCs w:val="22"/>
        </w:rPr>
        <w:t>z</w:t>
      </w:r>
      <w:r w:rsidR="00E84200" w:rsidRPr="005D6FCC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5D6FCC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5D6FCC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5D6FCC">
        <w:rPr>
          <w:rFonts w:ascii="Times New Roman" w:hAnsi="Times New Roman"/>
          <w:sz w:val="22"/>
          <w:szCs w:val="22"/>
        </w:rPr>
        <w:t xml:space="preserve">čl. V. </w:t>
      </w:r>
      <w:r w:rsidR="005422F1" w:rsidRPr="005D6FCC">
        <w:rPr>
          <w:rFonts w:ascii="Times New Roman" w:hAnsi="Times New Roman"/>
          <w:sz w:val="22"/>
          <w:szCs w:val="22"/>
        </w:rPr>
        <w:t>odst.</w:t>
      </w:r>
      <w:r w:rsidR="00413E2E" w:rsidRPr="005D6FCC">
        <w:rPr>
          <w:rFonts w:ascii="Times New Roman" w:hAnsi="Times New Roman"/>
          <w:sz w:val="22"/>
          <w:szCs w:val="22"/>
        </w:rPr>
        <w:t xml:space="preserve"> </w:t>
      </w:r>
      <w:r w:rsidR="00C644E2" w:rsidRPr="005D6FCC">
        <w:rPr>
          <w:rFonts w:ascii="Times New Roman" w:hAnsi="Times New Roman"/>
          <w:sz w:val="22"/>
          <w:szCs w:val="22"/>
        </w:rPr>
        <w:t>6</w:t>
      </w:r>
      <w:r w:rsidR="00A931F3" w:rsidRPr="005D6FCC">
        <w:rPr>
          <w:rFonts w:ascii="Times New Roman" w:hAnsi="Times New Roman"/>
          <w:sz w:val="22"/>
          <w:szCs w:val="22"/>
        </w:rPr>
        <w:t xml:space="preserve"> </w:t>
      </w:r>
      <w:r w:rsidRPr="005D6FCC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5D6FCC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5D6FCC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5D6FCC">
        <w:rPr>
          <w:rFonts w:ascii="Times New Roman" w:hAnsi="Times New Roman"/>
          <w:sz w:val="22"/>
          <w:szCs w:val="22"/>
        </w:rPr>
        <w:t>touto smlouvou lze</w:t>
      </w:r>
      <w:r w:rsidR="00007F8F" w:rsidRPr="005D6FCC">
        <w:rPr>
          <w:rFonts w:ascii="Times New Roman" w:hAnsi="Times New Roman"/>
          <w:sz w:val="22"/>
          <w:szCs w:val="22"/>
        </w:rPr>
        <w:t xml:space="preserve"> </w:t>
      </w:r>
      <w:r w:rsidR="00795E5C" w:rsidRPr="005D6FCC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5D6FCC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5D6FCC">
        <w:rPr>
          <w:rFonts w:ascii="Times New Roman" w:hAnsi="Times New Roman"/>
          <w:sz w:val="22"/>
          <w:szCs w:val="22"/>
        </w:rPr>
        <w:t xml:space="preserve"> </w:t>
      </w:r>
      <w:r w:rsidR="00795E5C" w:rsidRPr="005D6FCC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5D6FCC">
        <w:rPr>
          <w:rFonts w:ascii="Times New Roman" w:hAnsi="Times New Roman"/>
          <w:sz w:val="22"/>
          <w:szCs w:val="22"/>
        </w:rPr>
        <w:t>stran</w:t>
      </w:r>
      <w:r w:rsidR="00556164" w:rsidRPr="005D6FCC">
        <w:rPr>
          <w:rFonts w:ascii="Times New Roman" w:hAnsi="Times New Roman"/>
          <w:sz w:val="22"/>
          <w:szCs w:val="22"/>
        </w:rPr>
        <w:t xml:space="preserve"> </w:t>
      </w:r>
      <w:r w:rsidR="00795E5C" w:rsidRPr="005D6FCC">
        <w:rPr>
          <w:rFonts w:ascii="Times New Roman" w:hAnsi="Times New Roman"/>
          <w:sz w:val="22"/>
          <w:szCs w:val="22"/>
        </w:rPr>
        <w:t>uplynutím</w:t>
      </w:r>
      <w:r w:rsidR="00556164" w:rsidRPr="005D6FCC">
        <w:rPr>
          <w:rFonts w:ascii="Times New Roman" w:hAnsi="Times New Roman"/>
          <w:sz w:val="22"/>
          <w:szCs w:val="22"/>
        </w:rPr>
        <w:t xml:space="preserve"> </w:t>
      </w:r>
      <w:r w:rsidR="0010621F" w:rsidRPr="005D6FCC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5D6FCC">
        <w:rPr>
          <w:rFonts w:ascii="Times New Roman" w:hAnsi="Times New Roman"/>
          <w:sz w:val="22"/>
          <w:szCs w:val="22"/>
        </w:rPr>
        <w:t>Výpovědní doba je dvouměsíční a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="00E55338" w:rsidRPr="005D6FCC">
        <w:rPr>
          <w:rFonts w:ascii="Times New Roman" w:hAnsi="Times New Roman"/>
          <w:sz w:val="22"/>
          <w:szCs w:val="22"/>
        </w:rPr>
        <w:t xml:space="preserve">začíná běžet prvním dnem měsíce následujícího po doručení výpovědi druhé smluvní straně. </w:t>
      </w:r>
      <w:r w:rsidR="00203005" w:rsidRPr="005D6FCC">
        <w:rPr>
          <w:rFonts w:ascii="Times New Roman" w:hAnsi="Times New Roman"/>
          <w:sz w:val="22"/>
          <w:szCs w:val="22"/>
        </w:rPr>
        <w:t>V případě ukončení</w:t>
      </w:r>
      <w:r w:rsidR="00B652DB" w:rsidRPr="005D6FCC">
        <w:rPr>
          <w:rFonts w:ascii="Times New Roman" w:hAnsi="Times New Roman"/>
          <w:sz w:val="22"/>
          <w:szCs w:val="22"/>
        </w:rPr>
        <w:t xml:space="preserve"> </w:t>
      </w:r>
      <w:r w:rsidR="00203005" w:rsidRPr="005D6FCC">
        <w:rPr>
          <w:rFonts w:ascii="Times New Roman" w:hAnsi="Times New Roman"/>
          <w:sz w:val="22"/>
          <w:szCs w:val="22"/>
        </w:rPr>
        <w:t xml:space="preserve">smluvního </w:t>
      </w:r>
      <w:r w:rsidR="0010621F" w:rsidRPr="005D6FCC">
        <w:rPr>
          <w:rFonts w:ascii="Times New Roman" w:hAnsi="Times New Roman"/>
          <w:sz w:val="22"/>
          <w:szCs w:val="22"/>
        </w:rPr>
        <w:t>v</w:t>
      </w:r>
      <w:r w:rsidR="00293753" w:rsidRPr="005D6FCC">
        <w:rPr>
          <w:rFonts w:ascii="Times New Roman" w:hAnsi="Times New Roman"/>
          <w:sz w:val="22"/>
          <w:szCs w:val="22"/>
        </w:rPr>
        <w:t xml:space="preserve">ztahu </w:t>
      </w:r>
      <w:r w:rsidR="00203005" w:rsidRPr="005D6FCC">
        <w:rPr>
          <w:rFonts w:ascii="Times New Roman" w:hAnsi="Times New Roman"/>
          <w:sz w:val="22"/>
          <w:szCs w:val="22"/>
        </w:rPr>
        <w:t>je příjemce povinen</w:t>
      </w:r>
      <w:r w:rsidR="006D3782" w:rsidRPr="005D6FCC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 w:rsidRPr="005D6FCC">
        <w:rPr>
          <w:rFonts w:ascii="Times New Roman" w:hAnsi="Times New Roman"/>
          <w:sz w:val="22"/>
          <w:szCs w:val="22"/>
        </w:rPr>
        <w:t>závěrečné vyúčtování</w:t>
      </w:r>
      <w:r w:rsidR="006D3782" w:rsidRPr="005D6FCC">
        <w:rPr>
          <w:rFonts w:ascii="Times New Roman" w:hAnsi="Times New Roman"/>
          <w:sz w:val="22"/>
          <w:szCs w:val="22"/>
        </w:rPr>
        <w:t xml:space="preserve"> dotace a</w:t>
      </w:r>
      <w:r w:rsidR="00CE7CFC" w:rsidRPr="005D6FCC">
        <w:rPr>
          <w:rFonts w:ascii="Times New Roman" w:hAnsi="Times New Roman"/>
          <w:sz w:val="22"/>
          <w:szCs w:val="22"/>
        </w:rPr>
        <w:t> </w:t>
      </w:r>
      <w:r w:rsidR="00203005" w:rsidRPr="005D6FCC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5D6FCC">
        <w:rPr>
          <w:rFonts w:ascii="Times New Roman" w:hAnsi="Times New Roman"/>
          <w:sz w:val="22"/>
          <w:szCs w:val="22"/>
        </w:rPr>
        <w:t>ukončení smlouvy</w:t>
      </w:r>
      <w:r w:rsidR="00203005" w:rsidRPr="005D6FCC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5D6FCC">
        <w:rPr>
          <w:rFonts w:ascii="Times New Roman" w:hAnsi="Times New Roman"/>
          <w:sz w:val="22"/>
          <w:szCs w:val="22"/>
        </w:rPr>
        <w:t>ukončení smlouvy</w:t>
      </w:r>
      <w:r w:rsidR="00203005" w:rsidRPr="005D6FCC">
        <w:rPr>
          <w:rFonts w:ascii="Times New Roman" w:hAnsi="Times New Roman"/>
          <w:sz w:val="22"/>
          <w:szCs w:val="22"/>
        </w:rPr>
        <w:t>.</w:t>
      </w:r>
      <w:r w:rsidR="0010621F" w:rsidRPr="005D6FCC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Pr="005D6FCC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Pr="005D6FCC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 w:rsidRPr="005D6FCC">
        <w:rPr>
          <w:rFonts w:ascii="Times New Roman" w:hAnsi="Times New Roman"/>
          <w:sz w:val="22"/>
          <w:szCs w:val="22"/>
        </w:rPr>
        <w:t>této smlouvy dle §</w:t>
      </w:r>
      <w:r w:rsidR="00FC0334" w:rsidRPr="005D6FCC">
        <w:rPr>
          <w:rFonts w:ascii="Times New Roman" w:hAnsi="Times New Roman"/>
          <w:sz w:val="22"/>
          <w:szCs w:val="22"/>
        </w:rPr>
        <w:t xml:space="preserve"> </w:t>
      </w:r>
      <w:r w:rsidR="009A42A2" w:rsidRPr="005D6FCC">
        <w:rPr>
          <w:rFonts w:ascii="Times New Roman" w:hAnsi="Times New Roman"/>
          <w:sz w:val="22"/>
          <w:szCs w:val="22"/>
        </w:rPr>
        <w:t>167 zákona č.</w:t>
      </w:r>
      <w:r w:rsidR="002128C5" w:rsidRPr="005D6FCC">
        <w:rPr>
          <w:rFonts w:ascii="Times New Roman" w:hAnsi="Times New Roman"/>
          <w:sz w:val="22"/>
          <w:szCs w:val="22"/>
        </w:rPr>
        <w:t> </w:t>
      </w:r>
      <w:r w:rsidRPr="005D6FCC">
        <w:rPr>
          <w:rFonts w:ascii="Times New Roman" w:hAnsi="Times New Roman"/>
          <w:sz w:val="22"/>
          <w:szCs w:val="22"/>
        </w:rPr>
        <w:t xml:space="preserve">500/2004 Sb., </w:t>
      </w:r>
      <w:r w:rsidR="00FC0334" w:rsidRPr="005D6FCC">
        <w:rPr>
          <w:rFonts w:ascii="Times New Roman" w:hAnsi="Times New Roman"/>
          <w:sz w:val="22"/>
          <w:szCs w:val="22"/>
        </w:rPr>
        <w:t>správní řád</w:t>
      </w:r>
      <w:r w:rsidRPr="005D6FCC">
        <w:rPr>
          <w:rFonts w:ascii="Times New Roman" w:hAnsi="Times New Roman"/>
          <w:sz w:val="22"/>
          <w:szCs w:val="22"/>
        </w:rPr>
        <w:t xml:space="preserve">, </w:t>
      </w:r>
      <w:r w:rsidR="00E55338" w:rsidRPr="005D6FCC">
        <w:rPr>
          <w:rFonts w:ascii="Times New Roman" w:hAnsi="Times New Roman"/>
          <w:sz w:val="22"/>
          <w:szCs w:val="22"/>
        </w:rPr>
        <w:t>ve znění</w:t>
      </w:r>
      <w:r w:rsidRPr="005D6FCC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5D6FCC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5D6FCC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5D6FCC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5D6FCC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5D6FCC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5D6FCC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5D6FCC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5E2D5477" w14:textId="77777777" w:rsidR="0029269F" w:rsidRPr="005D6FCC" w:rsidRDefault="0029269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862645C" w14:textId="77777777" w:rsidR="0029269F" w:rsidRPr="005D6FCC" w:rsidRDefault="0029269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5D6FCC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lastRenderedPageBreak/>
        <w:t>T</w:t>
      </w:r>
      <w:r w:rsidR="00F4150A" w:rsidRPr="005D6FCC">
        <w:rPr>
          <w:rFonts w:ascii="Times New Roman" w:hAnsi="Times New Roman"/>
          <w:sz w:val="22"/>
          <w:szCs w:val="22"/>
        </w:rPr>
        <w:t>ato smlouva obsahuje úplné</w:t>
      </w:r>
      <w:r w:rsidRPr="005D6FC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5D6FCC">
        <w:rPr>
          <w:rFonts w:ascii="Times New Roman" w:hAnsi="Times New Roman"/>
          <w:sz w:val="22"/>
          <w:szCs w:val="22"/>
        </w:rPr>
        <w:t>poru</w:t>
      </w:r>
      <w:r w:rsidRPr="005D6FC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5D6FCC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5D6FCC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5D6FCC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5D6FCC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5D6FCC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5D6FCC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5D6FCC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5D6FCC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5D6FCC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5D6FCC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ab/>
      </w:r>
      <w:r w:rsidR="000E30B3" w:rsidRPr="005D6FCC">
        <w:rPr>
          <w:rFonts w:ascii="Times New Roman" w:hAnsi="Times New Roman"/>
          <w:sz w:val="22"/>
          <w:szCs w:val="22"/>
        </w:rPr>
        <w:t xml:space="preserve">O uzavření této smlouvy rozhodlo zastupitelstvo města </w:t>
      </w:r>
      <w:r w:rsidR="00630DE2" w:rsidRPr="005D6FCC">
        <w:rPr>
          <w:rFonts w:ascii="Times New Roman" w:hAnsi="Times New Roman"/>
          <w:sz w:val="22"/>
          <w:szCs w:val="22"/>
        </w:rPr>
        <w:t>usnesením</w:t>
      </w:r>
      <w:r w:rsidR="000E30B3" w:rsidRPr="005D6FCC">
        <w:rPr>
          <w:rFonts w:ascii="Times New Roman" w:hAnsi="Times New Roman"/>
          <w:sz w:val="22"/>
          <w:szCs w:val="22"/>
        </w:rPr>
        <w:t xml:space="preserve"> </w:t>
      </w:r>
      <w:r w:rsidR="006338B2" w:rsidRPr="005D6FCC">
        <w:rPr>
          <w:rFonts w:ascii="Times New Roman" w:hAnsi="Times New Roman"/>
          <w:sz w:val="22"/>
          <w:szCs w:val="22"/>
        </w:rPr>
        <w:t>č.</w:t>
      </w:r>
      <w:r w:rsidR="00FF58A1" w:rsidRPr="005D6FCC">
        <w:rPr>
          <w:rFonts w:ascii="Times New Roman" w:hAnsi="Times New Roman"/>
          <w:sz w:val="22"/>
          <w:szCs w:val="22"/>
        </w:rPr>
        <w:t xml:space="preserve"> </w:t>
      </w:r>
      <w:r w:rsidR="0056342A" w:rsidRPr="005D6FCC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5D6FCC">
        <w:rPr>
          <w:rFonts w:ascii="Times New Roman" w:hAnsi="Times New Roman"/>
          <w:sz w:val="22"/>
          <w:szCs w:val="22"/>
        </w:rPr>
        <w:t xml:space="preserve">ze dne </w:t>
      </w:r>
      <w:r w:rsidR="00C10506" w:rsidRPr="005D6FCC">
        <w:rPr>
          <w:rFonts w:ascii="Times New Roman" w:hAnsi="Times New Roman"/>
          <w:sz w:val="22"/>
          <w:szCs w:val="22"/>
        </w:rPr>
        <w:t>31.01</w:t>
      </w:r>
      <w:r w:rsidR="002128C5" w:rsidRPr="005D6FCC">
        <w:rPr>
          <w:rFonts w:ascii="Times New Roman" w:hAnsi="Times New Roman"/>
          <w:sz w:val="22"/>
          <w:szCs w:val="22"/>
        </w:rPr>
        <w:t>.</w:t>
      </w:r>
      <w:r w:rsidR="006338B2" w:rsidRPr="005D6FCC">
        <w:rPr>
          <w:rFonts w:ascii="Times New Roman" w:hAnsi="Times New Roman"/>
          <w:sz w:val="22"/>
          <w:szCs w:val="22"/>
        </w:rPr>
        <w:t>20</w:t>
      </w:r>
      <w:r w:rsidR="001D207F" w:rsidRPr="005D6FCC">
        <w:rPr>
          <w:rFonts w:ascii="Times New Roman" w:hAnsi="Times New Roman"/>
          <w:sz w:val="22"/>
          <w:szCs w:val="22"/>
        </w:rPr>
        <w:t>2</w:t>
      </w:r>
      <w:r w:rsidR="000363DF" w:rsidRPr="005D6FCC">
        <w:rPr>
          <w:rFonts w:ascii="Times New Roman" w:hAnsi="Times New Roman"/>
          <w:sz w:val="22"/>
          <w:szCs w:val="22"/>
        </w:rPr>
        <w:t>4</w:t>
      </w:r>
      <w:r w:rsidR="006338B2" w:rsidRPr="005D6FCC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Pr="005D6FCC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5D6FCC"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5D6FCC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5D6FCC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5D6FCC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5D6FCC">
              <w:rPr>
                <w:rFonts w:cs="Arial"/>
                <w:b/>
              </w:rPr>
              <w:t>Za příjemce:</w:t>
            </w:r>
          </w:p>
        </w:tc>
      </w:tr>
      <w:tr w:rsidR="0056342A" w:rsidRPr="005D6FCC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147FEEE3" w:rsidR="0056342A" w:rsidRPr="005D6FCC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0AFC2D58" w:rsidR="0056342A" w:rsidRPr="005D6FCC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5D6FCC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5D6FCC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6FCC"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Pr="005D6FCC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D6FCC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Pr="005D6FCC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5D6FCC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5D6FCC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FD4B32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6FCC">
              <w:rPr>
                <w:rFonts w:ascii="Times New Roman" w:hAnsi="Times New Roman"/>
                <w:b/>
                <w:sz w:val="22"/>
                <w:szCs w:val="22"/>
              </w:rPr>
              <w:t>Bc. Bronislava Husovská</w:t>
            </w:r>
          </w:p>
          <w:p w14:paraId="673A8D69" w14:textId="77777777" w:rsidR="0056342A" w:rsidRPr="005D6FCC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FCC">
              <w:rPr>
                <w:rFonts w:ascii="Times New Roman" w:hAnsi="Times New Roman"/>
                <w:sz w:val="22"/>
                <w:szCs w:val="22"/>
              </w:rPr>
              <w:t>ředitelka</w:t>
            </w:r>
          </w:p>
          <w:p w14:paraId="4C4FE397" w14:textId="77777777" w:rsidR="0056342A" w:rsidRPr="005D6FCC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5D6FCC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5D6FCC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5D6FCC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5D6FCC" w:rsidSect="00163494">
      <w:headerReference w:type="default" r:id="rId8"/>
      <w:footerReference w:type="default" r:id="rId9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7EBD" w14:textId="77777777" w:rsidR="00163494" w:rsidRDefault="00163494">
      <w:r>
        <w:separator/>
      </w:r>
    </w:p>
  </w:endnote>
  <w:endnote w:type="continuationSeparator" w:id="0">
    <w:p w14:paraId="495F14C3" w14:textId="77777777" w:rsidR="00163494" w:rsidRDefault="00163494">
      <w:r>
        <w:continuationSeparator/>
      </w:r>
    </w:p>
  </w:endnote>
  <w:endnote w:type="continuationNotice" w:id="1">
    <w:p w14:paraId="6F5B5BD7" w14:textId="77777777" w:rsidR="00163494" w:rsidRDefault="00163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3F3A86">
      <w:rPr>
        <w:rStyle w:val="slostrnky"/>
        <w:rFonts w:cs="Arial"/>
        <w:b/>
        <w:color w:val="003C69"/>
        <w:sz w:val="16"/>
        <w:lang w:val="en-US"/>
      </w:rPr>
      <w:t>sociální péče</w:t>
    </w:r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3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10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Mobilní hospicová péče pro děti a dospělé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3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010A1396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EEAC" w14:textId="77777777" w:rsidR="00163494" w:rsidRDefault="00163494">
      <w:r>
        <w:separator/>
      </w:r>
    </w:p>
  </w:footnote>
  <w:footnote w:type="continuationSeparator" w:id="0">
    <w:p w14:paraId="259B3BBF" w14:textId="77777777" w:rsidR="00163494" w:rsidRDefault="00163494">
      <w:r>
        <w:continuationSeparator/>
      </w:r>
    </w:p>
  </w:footnote>
  <w:footnote w:type="continuationNotice" w:id="1">
    <w:p w14:paraId="41E6EBCB" w14:textId="77777777" w:rsidR="00163494" w:rsidRDefault="00163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2D9D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3494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69F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D6FCC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5B5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0A07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384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0C02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3934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4</cp:revision>
  <cp:lastPrinted>2019-09-03T05:55:00Z</cp:lastPrinted>
  <dcterms:created xsi:type="dcterms:W3CDTF">2024-02-21T10:08:00Z</dcterms:created>
  <dcterms:modified xsi:type="dcterms:W3CDTF">2024-03-12T09:48:00Z</dcterms:modified>
</cp:coreProperties>
</file>