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D344" w14:textId="2E656F85"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w:t>
      </w:r>
      <w:r w:rsidR="00D719F8">
        <w:rPr>
          <w:rFonts w:ascii="Calibri" w:hAnsi="Calibri"/>
          <w:b/>
          <w:u w:val="single"/>
        </w:rPr>
        <w:t>4</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6596719D" w14:textId="0CF52A0D" w:rsidR="00A05FDB" w:rsidRDefault="00A05FDB" w:rsidP="008D7B97">
      <w:pPr>
        <w:ind w:left="1416" w:firstLine="708"/>
        <w:jc w:val="both"/>
        <w:rPr>
          <w:rFonts w:ascii="Calibri" w:hAnsi="Calibri"/>
        </w:rPr>
      </w:pPr>
      <w:r>
        <w:rPr>
          <w:rFonts w:ascii="Calibri" w:hAnsi="Calibri"/>
        </w:rPr>
        <w:t>DIČ: CZ70843155</w:t>
      </w:r>
    </w:p>
    <w:p w14:paraId="33A0F824" w14:textId="7D222346"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21B027F9"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 xml:space="preserve">Theodor </w:t>
      </w:r>
      <w:proofErr w:type="spellStart"/>
      <w:r w:rsidR="00B10310">
        <w:rPr>
          <w:rFonts w:ascii="Calibri" w:hAnsi="Calibri"/>
        </w:rPr>
        <w:t>Teiner</w:t>
      </w:r>
      <w:proofErr w:type="spellEnd"/>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w:t>
      </w:r>
      <w:proofErr w:type="spellStart"/>
      <w:r w:rsidR="00E43371">
        <w:rPr>
          <w:rFonts w:ascii="Calibri" w:hAnsi="Calibri" w:cs="Arial"/>
        </w:rPr>
        <w:t>routerů</w:t>
      </w:r>
      <w:proofErr w:type="spellEnd"/>
      <w:r w:rsidR="00E43371">
        <w:rPr>
          <w:rFonts w:ascii="Calibri" w:hAnsi="Calibri" w:cs="Arial"/>
        </w:rPr>
        <w:t xml:space="preserve">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 xml:space="preserve">integrace dozorových kamerových systémů a služeb typu </w:t>
      </w:r>
      <w:proofErr w:type="spellStart"/>
      <w:r>
        <w:rPr>
          <w:rFonts w:ascii="Calibri" w:hAnsi="Calibri" w:cs="Arial"/>
        </w:rPr>
        <w:t>VoIP</w:t>
      </w:r>
      <w:proofErr w:type="spellEnd"/>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43B63F6B"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596A93">
        <w:rPr>
          <w:rFonts w:ascii="Calibri" w:hAnsi="Calibri" w:cs="Arial"/>
        </w:rPr>
        <w:t>2</w:t>
      </w:r>
      <w:r w:rsidR="001937AB">
        <w:rPr>
          <w:rFonts w:ascii="Calibri" w:hAnsi="Calibri" w:cs="Arial"/>
        </w:rPr>
        <w:t>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58EEF8F9"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C67656">
        <w:rPr>
          <w:rFonts w:ascii="Calibri" w:hAnsi="Calibri" w:cs="Arial"/>
        </w:rPr>
        <w:t>2</w:t>
      </w:r>
      <w:r w:rsidR="00B10310">
        <w:rPr>
          <w:rFonts w:ascii="Calibri" w:hAnsi="Calibri" w:cs="Arial"/>
        </w:rPr>
        <w:t>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 xml:space="preserve">Theodor </w:t>
      </w:r>
      <w:proofErr w:type="spellStart"/>
      <w:r w:rsidR="000C6040" w:rsidRPr="00F90131">
        <w:rPr>
          <w:rFonts w:ascii="Calibri" w:hAnsi="Calibri" w:cs="Arial"/>
        </w:rPr>
        <w:t>Teiner</w:t>
      </w:r>
      <w:proofErr w:type="spellEnd"/>
      <w:r w:rsidR="000C6040" w:rsidRPr="00F90131">
        <w:rPr>
          <w:rFonts w:ascii="Calibri" w:hAnsi="Calibri" w:cs="Arial"/>
        </w:rPr>
        <w:t>, Martin Pěček</w:t>
      </w:r>
    </w:p>
    <w:p w14:paraId="10D19104" w14:textId="7DFA3287"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5625E4C9"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bookmarkStart w:id="1" w:name="_GoBack"/>
      <w:bookmarkEnd w:id="1"/>
    </w:p>
    <w:p w14:paraId="02A2FF9F" w14:textId="52114A75"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 podp</w:t>
      </w:r>
      <w:r w:rsidR="00F12DE5">
        <w:rPr>
          <w:rFonts w:ascii="Calibri" w:hAnsi="Calibri" w:cs="Arial"/>
        </w:rPr>
        <w:t>o</w:t>
      </w:r>
      <w:r w:rsidR="000C6040">
        <w:rPr>
          <w:rFonts w:ascii="Calibri" w:hAnsi="Calibri" w:cs="Arial"/>
        </w:rPr>
        <w:t>ra@</w:t>
      </w:r>
      <w:r w:rsidR="00A87CFA">
        <w:rPr>
          <w:rFonts w:ascii="Calibri" w:hAnsi="Calibri" w:cs="Arial"/>
        </w:rPr>
        <w:t>vrsystem</w:t>
      </w:r>
      <w:r w:rsidR="000C6040">
        <w:rPr>
          <w:rFonts w:ascii="Calibri" w:hAnsi="Calibri" w:cs="Arial"/>
        </w:rPr>
        <w:t>.cz</w:t>
      </w:r>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6CF0166"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646D52">
        <w:rPr>
          <w:rFonts w:ascii="Calibri" w:hAnsi="Calibri"/>
        </w:rPr>
        <w:t>9</w:t>
      </w:r>
      <w:r w:rsidR="00246660">
        <w:rPr>
          <w:rFonts w:ascii="Calibri" w:hAnsi="Calibri"/>
        </w:rPr>
        <w:t>.</w:t>
      </w:r>
      <w:r w:rsidR="00646D52">
        <w:rPr>
          <w:rFonts w:ascii="Calibri" w:hAnsi="Calibri"/>
        </w:rPr>
        <w:t>9</w:t>
      </w:r>
      <w:r w:rsidR="00246660">
        <w:rPr>
          <w:rFonts w:ascii="Calibri" w:hAnsi="Calibri"/>
        </w:rPr>
        <w:t xml:space="preserve">00,- Kč </w:t>
      </w:r>
      <w:r w:rsidRPr="009516E1">
        <w:rPr>
          <w:rFonts w:ascii="Calibri" w:hAnsi="Calibri"/>
        </w:rPr>
        <w:t>(slovy:</w:t>
      </w:r>
      <w:r w:rsidR="00246660">
        <w:rPr>
          <w:rFonts w:ascii="Calibri" w:hAnsi="Calibri"/>
        </w:rPr>
        <w:t xml:space="preserve"> </w:t>
      </w:r>
      <w:proofErr w:type="spellStart"/>
      <w:r w:rsidR="00646D52" w:rsidRPr="00646D52">
        <w:rPr>
          <w:rFonts w:ascii="Calibri" w:hAnsi="Calibri"/>
        </w:rPr>
        <w:t>devěttisícdevětsetkorunčeských</w:t>
      </w:r>
      <w:proofErr w:type="spellEnd"/>
      <w:r w:rsidR="00366AF8" w:rsidRPr="009516E1">
        <w:rPr>
          <w:rFonts w:ascii="Calibri" w:hAnsi="Calibri"/>
        </w:rPr>
        <w:t>) měsíčně</w:t>
      </w:r>
      <w:r w:rsidR="00246660">
        <w:rPr>
          <w:rFonts w:ascii="Calibri" w:hAnsi="Calibri"/>
        </w:rPr>
        <w:t>.</w:t>
      </w:r>
    </w:p>
    <w:p w14:paraId="5F83415D" w14:textId="7E758F7A"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332801">
        <w:rPr>
          <w:rFonts w:ascii="Calibri" w:hAnsi="Calibri"/>
        </w:rPr>
        <w:t>9</w:t>
      </w:r>
      <w:r>
        <w:rPr>
          <w:rFonts w:ascii="Calibri" w:hAnsi="Calibri"/>
        </w:rPr>
        <w:t>.</w:t>
      </w:r>
      <w:r w:rsidR="00332801">
        <w:rPr>
          <w:rFonts w:ascii="Calibri" w:hAnsi="Calibri"/>
        </w:rPr>
        <w:t>9</w:t>
      </w:r>
      <w:r>
        <w:rPr>
          <w:rFonts w:ascii="Calibri" w:hAnsi="Calibri"/>
        </w:rPr>
        <w:t xml:space="preserve">00,- Kč </w:t>
      </w:r>
      <w:r w:rsidRPr="009516E1">
        <w:rPr>
          <w:rFonts w:ascii="Calibri" w:hAnsi="Calibri"/>
        </w:rPr>
        <w:t>(slovy:</w:t>
      </w:r>
      <w:r>
        <w:rPr>
          <w:rFonts w:ascii="Calibri" w:hAnsi="Calibri"/>
        </w:rPr>
        <w:t xml:space="preserve"> </w:t>
      </w:r>
      <w:bookmarkStart w:id="2" w:name="_Hlk160564917"/>
      <w:proofErr w:type="spellStart"/>
      <w:r w:rsidR="00332801">
        <w:rPr>
          <w:rFonts w:ascii="Calibri" w:hAnsi="Calibri"/>
        </w:rPr>
        <w:t>devěttisícdevětset</w:t>
      </w:r>
      <w:r>
        <w:rPr>
          <w:rFonts w:ascii="Calibri" w:hAnsi="Calibri"/>
        </w:rPr>
        <w:t>korunčeských</w:t>
      </w:r>
      <w:bookmarkEnd w:id="2"/>
      <w:proofErr w:type="spellEnd"/>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686E79A4"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3819D1">
        <w:rPr>
          <w:rFonts w:ascii="Calibri" w:hAnsi="Calibri"/>
        </w:rPr>
        <w:t>75</w:t>
      </w:r>
      <w:r>
        <w:rPr>
          <w:rFonts w:ascii="Calibri" w:hAnsi="Calibri"/>
        </w:rPr>
        <w:t>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 xml:space="preserve">Theodor </w:t>
      </w:r>
      <w:proofErr w:type="spellStart"/>
      <w:r>
        <w:rPr>
          <w:rFonts w:ascii="Calibri" w:hAnsi="Calibri"/>
        </w:rPr>
        <w:t>Teiner</w:t>
      </w:r>
      <w:proofErr w:type="spellEnd"/>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BEE0022"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w:t>
      </w:r>
      <w:r w:rsidR="00404599">
        <w:rPr>
          <w:rFonts w:ascii="Calibri" w:hAnsi="Calibri"/>
          <w:color w:val="000000"/>
        </w:rPr>
        <w:t>10</w:t>
      </w:r>
      <w:r w:rsidR="00E46B8F" w:rsidRPr="00E46B8F">
        <w:rPr>
          <w:rFonts w:ascii="Calibri" w:hAnsi="Calibri"/>
          <w:color w:val="000000"/>
        </w:rPr>
        <w:t>/</w:t>
      </w:r>
      <w:r w:rsidR="00404599">
        <w:rPr>
          <w:rFonts w:ascii="Calibri" w:hAnsi="Calibri"/>
          <w:color w:val="000000"/>
        </w:rPr>
        <w:t>2019</w:t>
      </w:r>
      <w:r w:rsidR="00E46B8F" w:rsidRPr="00E46B8F">
        <w:rPr>
          <w:rFonts w:ascii="Calibri" w:hAnsi="Calibri"/>
          <w:color w:val="000000"/>
        </w:rPr>
        <w:t xml:space="preserve"> Sb.</w:t>
      </w:r>
      <w:r w:rsidR="000C7AA6">
        <w:rPr>
          <w:rFonts w:ascii="Calibri" w:hAnsi="Calibri"/>
          <w:color w:val="000000"/>
        </w:rPr>
        <w:t xml:space="preserve"> </w:t>
      </w:r>
      <w:r w:rsidR="000C7AA6" w:rsidRPr="00F15B27">
        <w:rPr>
          <w:rFonts w:ascii="Calibri" w:hAnsi="Calibri"/>
        </w:rPr>
        <w:t xml:space="preserve">o </w:t>
      </w:r>
      <w:r w:rsidR="002E1306">
        <w:rPr>
          <w:rFonts w:ascii="Calibri" w:hAnsi="Calibri"/>
        </w:rPr>
        <w:t>zpracování</w:t>
      </w:r>
      <w:r w:rsidR="000C7AA6" w:rsidRPr="00F15B27">
        <w:rPr>
          <w:rFonts w:ascii="Calibri" w:hAnsi="Calibri"/>
        </w:rPr>
        <w:t xml:space="preserve">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3DE7276D"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w:t>
      </w:r>
      <w:r w:rsidR="00FB58C9">
        <w:rPr>
          <w:rFonts w:ascii="Calibri" w:hAnsi="Calibri"/>
        </w:rPr>
        <w:t>4</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FB58C9">
        <w:rPr>
          <w:rFonts w:ascii="Calibri" w:hAnsi="Calibri"/>
        </w:rPr>
        <w:t>8</w:t>
      </w:r>
      <w:r w:rsidR="008126FE">
        <w:rPr>
          <w:rFonts w:ascii="Calibri" w:hAnsi="Calibri"/>
        </w:rPr>
        <w:t>.2. 20</w:t>
      </w:r>
      <w:r w:rsidR="004D35C0">
        <w:rPr>
          <w:rFonts w:ascii="Calibri" w:hAnsi="Calibri"/>
        </w:rPr>
        <w:t>2</w:t>
      </w:r>
      <w:r w:rsidR="00FB58C9">
        <w:rPr>
          <w:rFonts w:ascii="Calibri" w:hAnsi="Calibri"/>
        </w:rPr>
        <w:t>5</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7AA28971"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D76383">
        <w:rPr>
          <w:rFonts w:ascii="Calibri" w:hAnsi="Calibri"/>
        </w:rPr>
        <w:t>2</w:t>
      </w:r>
      <w:r w:rsidR="00FB58C9">
        <w:rPr>
          <w:rFonts w:ascii="Calibri" w:hAnsi="Calibri"/>
        </w:rPr>
        <w:t>8</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w:t>
      </w:r>
      <w:r w:rsidR="00FB58C9">
        <w:rPr>
          <w:rFonts w:ascii="Calibri" w:hAnsi="Calibri"/>
        </w:rPr>
        <w:t>4</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632CACEB"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43F29FA4"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59F5DF5E" w14:textId="2BB5F232" w:rsidR="00262906" w:rsidRPr="009516E1" w:rsidRDefault="003106B5" w:rsidP="00262906">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 xml:space="preserve">Theodor </w:t>
      </w:r>
      <w:proofErr w:type="spellStart"/>
      <w:r w:rsidR="00B10310">
        <w:rPr>
          <w:rFonts w:ascii="Calibri" w:hAnsi="Calibri"/>
        </w:rPr>
        <w:t>Teiner</w:t>
      </w:r>
      <w:proofErr w:type="spellEnd"/>
    </w:p>
    <w:sectPr w:rsidR="00262906"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10FE4" w14:textId="77777777" w:rsidR="005507CB" w:rsidRDefault="005507CB" w:rsidP="004C5055">
      <w:r>
        <w:separator/>
      </w:r>
    </w:p>
  </w:endnote>
  <w:endnote w:type="continuationSeparator" w:id="0">
    <w:p w14:paraId="38DB0811" w14:textId="77777777" w:rsidR="005507CB" w:rsidRDefault="005507CB"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298" w14:textId="3BF6C41A" w:rsidR="004C5055" w:rsidRPr="00F90131" w:rsidRDefault="004C5055" w:rsidP="00262906">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790027">
      <w:rPr>
        <w:rFonts w:ascii="Calibri" w:hAnsi="Calibri"/>
        <w:noProof/>
        <w:sz w:val="22"/>
        <w:szCs w:val="22"/>
      </w:rPr>
      <w:t>9</w:t>
    </w:r>
    <w:r w:rsidRPr="00F90131">
      <w:rPr>
        <w:rFonts w:ascii="Calibri" w:hAnsi="Calibri"/>
        <w:sz w:val="22"/>
        <w:szCs w:val="22"/>
      </w:rPr>
      <w:fldChar w:fldCharType="end"/>
    </w:r>
    <w:r w:rsidR="00262906">
      <w:rPr>
        <w:rFonts w:ascii="Calibri" w:hAnsi="Calibri"/>
        <w:sz w:val="22"/>
        <w:szCs w:val="22"/>
      </w:rPr>
      <w:t xml:space="preserve"> z </w:t>
    </w:r>
    <w:r w:rsidR="00262906">
      <w:rPr>
        <w:rFonts w:ascii="Calibri" w:hAnsi="Calibri"/>
        <w:sz w:val="22"/>
        <w:szCs w:val="22"/>
      </w:rPr>
      <w:fldChar w:fldCharType="begin"/>
    </w:r>
    <w:r w:rsidR="00262906">
      <w:rPr>
        <w:rFonts w:ascii="Calibri" w:hAnsi="Calibri"/>
        <w:sz w:val="22"/>
        <w:szCs w:val="22"/>
      </w:rPr>
      <w:instrText xml:space="preserve"> NUMPAGES   \* MERGEFORMAT </w:instrText>
    </w:r>
    <w:r w:rsidR="00262906">
      <w:rPr>
        <w:rFonts w:ascii="Calibri" w:hAnsi="Calibri"/>
        <w:sz w:val="22"/>
        <w:szCs w:val="22"/>
      </w:rPr>
      <w:fldChar w:fldCharType="separate"/>
    </w:r>
    <w:r w:rsidR="00262906">
      <w:rPr>
        <w:rFonts w:ascii="Calibri" w:hAnsi="Calibri"/>
        <w:noProof/>
        <w:sz w:val="22"/>
        <w:szCs w:val="22"/>
      </w:rPr>
      <w:t>10</w:t>
    </w:r>
    <w:r w:rsidR="00262906">
      <w:rPr>
        <w:rFonts w:ascii="Calibri" w:hAnsi="Calibri"/>
        <w:sz w:val="22"/>
        <w:szCs w:val="22"/>
      </w:rPr>
      <w:fldChar w:fldCharType="end"/>
    </w:r>
    <w:r w:rsidR="00262906">
      <w:rPr>
        <w:rFonts w:ascii="Calibri" w:hAnsi="Calibri"/>
        <w:sz w:val="22"/>
        <w:szCs w:val="22"/>
      </w:rPr>
      <w:t xml:space="preserve"> </w:t>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0541" w14:textId="77777777" w:rsidR="005507CB" w:rsidRDefault="005507CB" w:rsidP="004C5055">
      <w:r>
        <w:separator/>
      </w:r>
    </w:p>
  </w:footnote>
  <w:footnote w:type="continuationSeparator" w:id="0">
    <w:p w14:paraId="07E132A6" w14:textId="77777777" w:rsidR="005507CB" w:rsidRDefault="005507CB"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001DD3"/>
    <w:rsid w:val="00002865"/>
    <w:rsid w:val="00006BB8"/>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6025"/>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E50CB"/>
    <w:rsid w:val="000F0C73"/>
    <w:rsid w:val="000F0E96"/>
    <w:rsid w:val="000F775F"/>
    <w:rsid w:val="000F7B92"/>
    <w:rsid w:val="00104C6B"/>
    <w:rsid w:val="00112131"/>
    <w:rsid w:val="00113BDD"/>
    <w:rsid w:val="0012061F"/>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2906"/>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306"/>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2801"/>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19D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04599"/>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1F12"/>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07CB"/>
    <w:rsid w:val="005514CA"/>
    <w:rsid w:val="00552814"/>
    <w:rsid w:val="005547BA"/>
    <w:rsid w:val="00555818"/>
    <w:rsid w:val="005569CE"/>
    <w:rsid w:val="00572BB1"/>
    <w:rsid w:val="00576FB3"/>
    <w:rsid w:val="00580A71"/>
    <w:rsid w:val="00583A39"/>
    <w:rsid w:val="00590C60"/>
    <w:rsid w:val="00594FE9"/>
    <w:rsid w:val="00595374"/>
    <w:rsid w:val="00595CAE"/>
    <w:rsid w:val="00596A93"/>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46D52"/>
    <w:rsid w:val="00655362"/>
    <w:rsid w:val="00667216"/>
    <w:rsid w:val="00673611"/>
    <w:rsid w:val="00673B17"/>
    <w:rsid w:val="006740EE"/>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2DD1"/>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9BC"/>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459E"/>
    <w:rsid w:val="00AC1AD1"/>
    <w:rsid w:val="00AC2A20"/>
    <w:rsid w:val="00AC2ED7"/>
    <w:rsid w:val="00AC5DDB"/>
    <w:rsid w:val="00AD19AC"/>
    <w:rsid w:val="00AD37D5"/>
    <w:rsid w:val="00AD4B93"/>
    <w:rsid w:val="00AD5777"/>
    <w:rsid w:val="00AE3EB9"/>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67656"/>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19F8"/>
    <w:rsid w:val="00D73975"/>
    <w:rsid w:val="00D73F64"/>
    <w:rsid w:val="00D76383"/>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421"/>
    <w:rsid w:val="00E42853"/>
    <w:rsid w:val="00E43371"/>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0FFE"/>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B58C9"/>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2889</Words>
  <Characters>17046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19896</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 PPP Brno</cp:lastModifiedBy>
  <cp:revision>2</cp:revision>
  <cp:lastPrinted>2021-02-26T13:57:00Z</cp:lastPrinted>
  <dcterms:created xsi:type="dcterms:W3CDTF">2024-03-11T09:11:00Z</dcterms:created>
  <dcterms:modified xsi:type="dcterms:W3CDTF">2024-03-11T09:11:00Z</dcterms:modified>
</cp:coreProperties>
</file>