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2D" w:rsidRDefault="001C1E8E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r>
        <w:t>ZÁVAZNÉ PARAMETRY ŘEŠENÍ PROJEKTU</w:t>
      </w:r>
      <w:bookmarkEnd w:id="0"/>
    </w:p>
    <w:p w:rsidR="00F72D2D" w:rsidRDefault="001C1E8E">
      <w:pPr>
        <w:pStyle w:val="Zkladntext1"/>
        <w:shd w:val="clear" w:color="auto" w:fill="auto"/>
        <w:spacing w:line="240" w:lineRule="auto"/>
        <w:ind w:left="400"/>
        <w:jc w:val="left"/>
      </w:pPr>
      <w:r>
        <w:t xml:space="preserve">Číslo projektu: </w:t>
      </w:r>
      <w:r>
        <w:rPr>
          <w:b/>
          <w:bCs/>
        </w:rPr>
        <w:t>QL24020149</w:t>
      </w:r>
    </w:p>
    <w:p w:rsidR="00F72D2D" w:rsidRDefault="001C1E8E">
      <w:pPr>
        <w:pStyle w:val="Zkladntext1"/>
        <w:shd w:val="clear" w:color="auto" w:fill="auto"/>
        <w:spacing w:line="240" w:lineRule="auto"/>
        <w:ind w:left="400"/>
        <w:jc w:val="left"/>
      </w:pPr>
      <w:r>
        <w:t>Rozhodný den pro uznatelnost nákladů dle této verze závazných parametrů:</w:t>
      </w:r>
    </w:p>
    <w:p w:rsidR="00F72D2D" w:rsidRDefault="001C1E8E">
      <w:pPr>
        <w:pStyle w:val="Zkladntext1"/>
        <w:shd w:val="clear" w:color="auto" w:fill="auto"/>
        <w:spacing w:after="280" w:line="240" w:lineRule="auto"/>
        <w:ind w:left="400"/>
        <w:jc w:val="left"/>
      </w:pPr>
      <w:r>
        <w:rPr>
          <w:b/>
          <w:bCs/>
        </w:rPr>
        <w:t>Od data zahájení řešení projektu uvedeném v Závazných parametrech</w:t>
      </w:r>
    </w:p>
    <w:p w:rsidR="00F72D2D" w:rsidRDefault="001C1E8E">
      <w:pPr>
        <w:pStyle w:val="Nadpis20"/>
        <w:keepNext/>
        <w:keepLines/>
        <w:shd w:val="clear" w:color="auto" w:fill="auto"/>
      </w:pPr>
      <w:bookmarkStart w:id="1" w:name="bookmark1"/>
      <w:r>
        <w:t>1. Název projektu v českém jazyce</w:t>
      </w:r>
      <w:bookmarkEnd w:id="1"/>
    </w:p>
    <w:p w:rsidR="00F72D2D" w:rsidRDefault="001C1E8E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20" w:line="240" w:lineRule="auto"/>
        <w:ind w:left="560"/>
      </w:pPr>
      <w:r>
        <w:t xml:space="preserve">Monitoring a </w:t>
      </w:r>
      <w:r>
        <w:t>hodnocení udržitelného hospodaření s organickou hmotou a živinami</w:t>
      </w:r>
    </w:p>
    <w:p w:rsidR="00F72D2D" w:rsidRDefault="001C1E8E">
      <w:pPr>
        <w:pStyle w:val="Nadpis2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795655" distL="50800" distR="50800" simplePos="0" relativeHeight="125829378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12700</wp:posOffset>
                </wp:positionV>
                <wp:extent cx="170815" cy="2317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2D2D" w:rsidRDefault="001C1E8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1.25pt;margin-top:1.pt;width:13.449999999999999pt;height:18.25pt;z-index:-125829375;mso-wrap-distance-left:4.pt;mso-wrap-distance-right:4.pt;mso-wrap-distance-bottom:62.64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5655" distB="0" distL="53975" distR="50800" simplePos="0" relativeHeight="125829380" behindDoc="0" locked="0" layoutInCell="1" allowOverlap="1">
                <wp:simplePos x="0" y="0"/>
                <wp:positionH relativeFrom="page">
                  <wp:posOffset>907415</wp:posOffset>
                </wp:positionH>
                <wp:positionV relativeFrom="paragraph">
                  <wp:posOffset>808355</wp:posOffset>
                </wp:positionV>
                <wp:extent cx="167640" cy="23177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2D2D" w:rsidRDefault="001C1E8E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1.450000000000003pt;margin-top:63.649999999999999pt;width:13.199999999999999pt;height:18.25pt;z-index:-125829373;mso-wrap-distance-left:4.25pt;mso-wrap-distance-top:62.649999999999999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" w:name="bookmark2"/>
      <w:r>
        <w:t>Datum zahájení a ukončení projektu</w:t>
      </w:r>
      <w:bookmarkEnd w:id="2"/>
    </w:p>
    <w:p w:rsidR="00F72D2D" w:rsidRDefault="001C1E8E">
      <w:pPr>
        <w:pStyle w:val="Zkladntext1"/>
        <w:shd w:val="clear" w:color="auto" w:fill="auto"/>
        <w:spacing w:after="420" w:line="240" w:lineRule="auto"/>
        <w:ind w:left="220"/>
        <w:jc w:val="left"/>
      </w:pPr>
      <w:r>
        <w:t>03/2024 - 12/2026</w:t>
      </w:r>
    </w:p>
    <w:p w:rsidR="00F72D2D" w:rsidRDefault="001C1E8E">
      <w:pPr>
        <w:pStyle w:val="Nadpis20"/>
        <w:keepNext/>
        <w:keepLines/>
        <w:shd w:val="clear" w:color="auto" w:fill="auto"/>
      </w:pPr>
      <w:bookmarkStart w:id="3" w:name="bookmark3"/>
      <w:r>
        <w:t>Cíl projektu</w:t>
      </w:r>
      <w:bookmarkEnd w:id="3"/>
    </w:p>
    <w:p w:rsidR="00F72D2D" w:rsidRDefault="001C1E8E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60"/>
      </w:pPr>
      <w:r>
        <w:t>Cílem návrhu projektu je v návaznosti na projekt QK21020155:</w:t>
      </w:r>
    </w:p>
    <w:p w:rsidR="00F72D2D" w:rsidRDefault="001C1E8E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42"/>
        </w:tabs>
        <w:ind w:left="560" w:right="200"/>
      </w:pPr>
      <w:r>
        <w:t xml:space="preserve">vyhodnotit hospodaření s organickou hmotou v </w:t>
      </w:r>
      <w:r>
        <w:t>podnicích, včetně dopadu nového opatření (Model OH pro ekoplatbu)</w:t>
      </w:r>
    </w:p>
    <w:p w:rsidR="00F72D2D" w:rsidRDefault="001C1E8E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38"/>
        </w:tabs>
        <w:ind w:left="560"/>
      </w:pPr>
      <w:r>
        <w:t>navrhnout a zapracovat do Modelu OH zpětnou vazbu od zemědělců</w:t>
      </w:r>
    </w:p>
    <w:p w:rsidR="00F72D2D" w:rsidRDefault="001C1E8E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42"/>
        </w:tabs>
        <w:ind w:left="560" w:right="200"/>
      </w:pPr>
      <w:r>
        <w:t>získat nove vyzkumne poznatky v oblasti půldní organicke hmoty (POH) a zivinneho režimu půd, vč. vlivu zpracování půdy</w:t>
      </w:r>
    </w:p>
    <w:p w:rsidR="00F72D2D" w:rsidRDefault="001C1E8E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42"/>
        </w:tabs>
        <w:ind w:left="560" w:right="200"/>
      </w:pPr>
      <w:r>
        <w:t xml:space="preserve">upravit </w:t>
      </w:r>
      <w:r>
        <w:t>kriteria a navrhnout nove setrne postupy, vc. agrotechnických, pro snížení emisí CO2</w:t>
      </w:r>
    </w:p>
    <w:p w:rsidR="00F72D2D" w:rsidRDefault="001C1E8E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42"/>
        </w:tabs>
        <w:ind w:left="560" w:right="200"/>
      </w:pPr>
      <w:r>
        <w:t>synchronizovat požadavky na hospodarení s POH s požadavky na hospodarení s N, prip. P</w:t>
      </w:r>
    </w:p>
    <w:p w:rsidR="00F72D2D" w:rsidRDefault="001C1E8E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42"/>
        </w:tabs>
        <w:ind w:left="560"/>
      </w:pPr>
      <w:r>
        <w:t>zpracovat podklady pro úpravu legislativy a aplikací s napojením na registry MZe</w:t>
      </w:r>
    </w:p>
    <w:p w:rsidR="00F72D2D" w:rsidRDefault="001C1E8E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947"/>
        </w:tabs>
        <w:spacing w:after="380"/>
        <w:ind w:left="560" w:right="200"/>
      </w:pPr>
      <w:r>
        <w:t>prip</w:t>
      </w:r>
      <w:r>
        <w:t>ravit ucelene informace pro zemedeice, vzhledem k pozadavkuím SZP23+, vc. uplatnění přepočtu potřeby/limitů minerálních hnojiv na ekvivalenty emisí CO2</w:t>
      </w:r>
    </w:p>
    <w:p w:rsidR="00F72D2D" w:rsidRDefault="001C1E8E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40"/>
        </w:tabs>
      </w:pPr>
      <w:bookmarkStart w:id="4" w:name="bookmark4"/>
      <w:r>
        <w:t>Řešitel — Klíčová osoba řešitelského týmu</w:t>
      </w:r>
      <w:bookmarkEnd w:id="4"/>
    </w:p>
    <w:p w:rsidR="00F72D2D" w:rsidRDefault="001C1E8E" w:rsidP="00D71B8D">
      <w:pPr>
        <w:pStyle w:val="Zkladntext1"/>
        <w:shd w:val="clear" w:color="auto" w:fill="auto"/>
        <w:spacing w:after="240" w:line="240" w:lineRule="auto"/>
      </w:pPr>
      <w:bookmarkStart w:id="5" w:name="_GoBack"/>
      <w:bookmarkEnd w:id="5"/>
      <w:r>
        <w:br w:type="page"/>
      </w:r>
    </w:p>
    <w:p w:rsidR="00F72D2D" w:rsidRDefault="001C1E8E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40"/>
        </w:tabs>
        <w:spacing w:after="420"/>
      </w:pPr>
      <w:bookmarkStart w:id="6" w:name="bookmark5"/>
      <w:r>
        <w:lastRenderedPageBreak/>
        <w:t>Plánované výsledky 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Identifikační </w:t>
            </w:r>
            <w:r>
              <w:rPr>
                <w:sz w:val="15"/>
                <w:szCs w:val="15"/>
              </w:rPr>
              <w:t>číslo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QL24020149-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V19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</w:pPr>
            <w:r>
              <w:t>Součásné hospodáření ná zemědělské půdě v měnících se podmínkách prostředí - SOM (půdní orgánická hmotá) - 4. ročník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Konference bude pro zemědělskou veřejnost, kde budou prezentovány </w:t>
            </w:r>
            <w:r>
              <w:t>nejnovější poznatky o SOM, živinách a RP z pohledu zemědělského hospodaření apod.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dátábáze RIV</w:t>
            </w:r>
          </w:p>
          <w:p w:rsidR="00F72D2D" w:rsidRDefault="001C1E8E">
            <w:pPr>
              <w:pStyle w:val="Jin0"/>
              <w:shd w:val="clear" w:color="auto" w:fill="auto"/>
              <w:jc w:val="both"/>
            </w:pPr>
            <w:r>
              <w:t>W - Uspořádání workshopu</w:t>
            </w:r>
          </w:p>
        </w:tc>
      </w:tr>
    </w:tbl>
    <w:p w:rsidR="00F72D2D" w:rsidRDefault="00F72D2D">
      <w:pPr>
        <w:spacing w:after="406" w:line="14" w:lineRule="exact"/>
      </w:pPr>
    </w:p>
    <w:p w:rsidR="00F72D2D" w:rsidRDefault="00F72D2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7248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Identifikáční číslo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QL24020149-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V16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</w:pPr>
            <w:r>
              <w:t>Zásobá Nmin v půdě á jární přihnojení ozimů</w:t>
            </w:r>
            <w:r>
              <w:t xml:space="preserve"> dusíkem při různém zprácování půdy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  <w:jc w:val="both"/>
            </w:pPr>
            <w:r>
              <w:t>Vliv intenzity zprácování půdy ná obsáh Nmin v půdě ná počátku jární vegetáce.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dátábáze RIV</w:t>
            </w:r>
          </w:p>
          <w:p w:rsidR="00F72D2D" w:rsidRDefault="001C1E8E">
            <w:pPr>
              <w:pStyle w:val="Jin0"/>
              <w:shd w:val="clear" w:color="auto" w:fill="auto"/>
              <w:jc w:val="both"/>
            </w:pPr>
            <w:r>
              <w:t>O - Ostátní výsledky</w:t>
            </w:r>
          </w:p>
        </w:tc>
      </w:tr>
    </w:tbl>
    <w:p w:rsidR="00F72D2D" w:rsidRDefault="00F72D2D">
      <w:pPr>
        <w:spacing w:after="406" w:line="14" w:lineRule="exact"/>
      </w:pPr>
    </w:p>
    <w:p w:rsidR="00F72D2D" w:rsidRDefault="00F72D2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Identifikáční číslo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QL24020149-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V17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Název </w:t>
            </w:r>
            <w:r>
              <w:rPr>
                <w:sz w:val="15"/>
                <w:szCs w:val="15"/>
              </w:rPr>
              <w:t>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9" w:lineRule="auto"/>
            </w:pPr>
            <w:r>
              <w:t>Hodnocení udržitelného hospodaření s organickou hmotou v orné půdě pomocí interaktivní statistické analýzy dat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90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Cílem overene technologie budou overene statisticke postupy hodnocení kvality a zdraví pudy (SOM, </w:t>
            </w:r>
            <w:r>
              <w:t>živiny, RP apod.) pomocí vícerozmernych statistických metod /PCA, FA, CLU, CCA, regresní modelovaní, klasifikace, neuronová síte apod./ (multikriterialní hodnocení pudy) na príkladu dat z provozních pokusu v zemedelskych podnicích v oblasti Boskovicke bráz</w:t>
            </w:r>
            <w:r>
              <w:t>dy a Drahanské vrchoviny.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F72D2D" w:rsidRDefault="001C1E8E">
            <w:pPr>
              <w:pStyle w:val="Jin0"/>
              <w:shd w:val="clear" w:color="auto" w:fill="auto"/>
              <w:jc w:val="both"/>
            </w:pPr>
            <w:r>
              <w:t>Ztech - Ověřená technologie</w:t>
            </w:r>
          </w:p>
        </w:tc>
      </w:tr>
    </w:tbl>
    <w:p w:rsidR="00F72D2D" w:rsidRDefault="001C1E8E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614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ind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F72D2D" w:rsidRDefault="001C1E8E">
            <w:pPr>
              <w:pStyle w:val="Jin0"/>
              <w:shd w:val="clear" w:color="auto" w:fill="auto"/>
              <w:ind w:firstLine="20"/>
            </w:pPr>
            <w:r>
              <w:t>QL24020149-V13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Vliv různých způsobů hnojení na půdní charakteristiky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Vyhodnocení </w:t>
            </w:r>
            <w:r>
              <w:t>dlouhodobého vlivu minerálního a organického hnojení na vyvoj obsahu uhlíku a živin v půdách (z dat dlouhodobého pokusu na dvou stanovištích)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F72D2D" w:rsidRDefault="001C1E8E">
            <w:pPr>
              <w:pStyle w:val="Jin0"/>
              <w:shd w:val="clear" w:color="auto" w:fill="auto"/>
              <w:jc w:val="both"/>
            </w:pPr>
            <w:r>
              <w:t>O - Ostatní výsledky</w:t>
            </w:r>
          </w:p>
        </w:tc>
      </w:tr>
    </w:tbl>
    <w:p w:rsidR="00F72D2D" w:rsidRDefault="00F72D2D">
      <w:pPr>
        <w:spacing w:after="426" w:line="14" w:lineRule="exact"/>
      </w:pPr>
    </w:p>
    <w:p w:rsidR="00F72D2D" w:rsidRDefault="00F72D2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7166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QL24020149-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V7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Název </w:t>
            </w:r>
            <w:r>
              <w:rPr>
                <w:sz w:val="15"/>
                <w:szCs w:val="15"/>
              </w:rPr>
              <w:t>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9" w:lineRule="auto"/>
            </w:pPr>
            <w:r>
              <w:t>Obsah a rozvrstvení živin v půdě při různých způsobech zpracování půdy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>Vyhodnocení obsahu a rozvrstvení přístupných živin v pudach z víceletého pokusu s různými způsoby zpracování půdy s využitím různých extrakčních</w:t>
            </w:r>
            <w:r>
              <w:t xml:space="preserve"> metod.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</w:pPr>
            <w:r>
              <w:t>Jost - Ostatní články v odborných recenzovaných periodikách splňující definici druhu výsledku</w:t>
            </w:r>
          </w:p>
        </w:tc>
      </w:tr>
    </w:tbl>
    <w:p w:rsidR="00F72D2D" w:rsidRDefault="00F72D2D">
      <w:pPr>
        <w:spacing w:after="426" w:line="14" w:lineRule="exact"/>
      </w:pPr>
    </w:p>
    <w:p w:rsidR="00F72D2D" w:rsidRDefault="00F72D2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7066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QL24020149-</w:t>
            </w:r>
          </w:p>
          <w:p w:rsidR="00F72D2D" w:rsidRDefault="001C1E8E">
            <w:pPr>
              <w:pStyle w:val="Jin0"/>
              <w:shd w:val="clear" w:color="auto" w:fill="auto"/>
              <w:spacing w:after="40"/>
            </w:pPr>
            <w:r>
              <w:t>V10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 xml:space="preserve">Mapa bilancí půdní organické hmoty a dusíku v </w:t>
            </w:r>
            <w:r>
              <w:t>zemědělských půdách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ČR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>Vystup bude prostorovém zobrazením vysledku simulaci bilance POH a N v zemed. pudach CR pomocí platformy EPIC-IIASA CZ pro riízne scen^re budoucího klim. vyvoje a pro růizn^ typy pud. Vystup bude unikatním, ji</w:t>
            </w:r>
            <w:r>
              <w:t>nde nepublikovaném podkladem, ktery pro růizn^ scenare budoucího klimatického vyvoje a pro růizn^ typy hospodarení bilance POH a N. Hlavní mapa a doprovodní mapy (potenciály pro specificke hospodarení) budou v rozlisení LAU 1 (77 jednotek), případně v plné</w:t>
            </w:r>
            <w:r>
              <w:t>m rozlišení platformy (977 jednotek)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F72D2D" w:rsidRDefault="001C1E8E">
            <w:pPr>
              <w:pStyle w:val="Jin0"/>
              <w:shd w:val="clear" w:color="auto" w:fill="auto"/>
              <w:jc w:val="both"/>
            </w:pPr>
            <w:r>
              <w:t>Nmap - Specializovaná mapa s odborným obsahem</w:t>
            </w:r>
          </w:p>
        </w:tc>
      </w:tr>
    </w:tbl>
    <w:p w:rsidR="00F72D2D" w:rsidRDefault="001C1E8E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6413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ind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F72D2D" w:rsidRDefault="001C1E8E">
            <w:pPr>
              <w:pStyle w:val="Jin0"/>
              <w:shd w:val="clear" w:color="auto" w:fill="auto"/>
              <w:ind w:firstLine="20"/>
            </w:pPr>
            <w:r>
              <w:t>QL24020149-V4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Workshop ke zlepšení hospodáření s uhlíkem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V </w:t>
            </w:r>
            <w:r>
              <w:t>rámci workshopu budou formou odborných přednášek diskutovány postupy pro zlepšení hospodaření s uhlíkem v zemědělských podnicích.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dátábáze RIV</w:t>
            </w:r>
          </w:p>
          <w:p w:rsidR="00F72D2D" w:rsidRDefault="001C1E8E">
            <w:pPr>
              <w:pStyle w:val="Jin0"/>
              <w:shd w:val="clear" w:color="auto" w:fill="auto"/>
              <w:jc w:val="both"/>
            </w:pPr>
            <w:r>
              <w:t>W - Uspořádání workshopu</w:t>
            </w:r>
          </w:p>
        </w:tc>
      </w:tr>
    </w:tbl>
    <w:p w:rsidR="00F72D2D" w:rsidRDefault="00F72D2D">
      <w:pPr>
        <w:spacing w:after="426" w:line="14" w:lineRule="exact"/>
      </w:pPr>
    </w:p>
    <w:p w:rsidR="00F72D2D" w:rsidRDefault="00F72D2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5"/>
        <w:gridCol w:w="7109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Identifikáční číslo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QL24020149-</w:t>
            </w:r>
          </w:p>
          <w:p w:rsidR="00F72D2D" w:rsidRDefault="001C1E8E">
            <w:pPr>
              <w:pStyle w:val="Jin0"/>
              <w:shd w:val="clear" w:color="auto" w:fill="auto"/>
              <w:spacing w:after="40"/>
            </w:pPr>
            <w:r>
              <w:t>V12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Název </w:t>
            </w:r>
            <w:r>
              <w:rPr>
                <w:sz w:val="15"/>
                <w:szCs w:val="15"/>
              </w:rPr>
              <w:t>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9" w:lineRule="auto"/>
            </w:pPr>
            <w:r>
              <w:t>Zhodnocení různých způsobů hospodáření z hlediská obsáhu uhlíku v půdě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>Poznatky z monitoringu v zemědělských podnicích, vliv různých způsobů hospodarení na obsáh (á rozvrstvení) uhlíku v půdě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r>
              <w:rPr>
                <w:sz w:val="15"/>
                <w:szCs w:val="15"/>
              </w:rPr>
              <w:t>struktury dátábáze RIV</w:t>
            </w:r>
          </w:p>
          <w:p w:rsidR="00F72D2D" w:rsidRDefault="001C1E8E">
            <w:pPr>
              <w:pStyle w:val="Jin0"/>
              <w:shd w:val="clear" w:color="auto" w:fill="auto"/>
              <w:jc w:val="both"/>
            </w:pPr>
            <w:r>
              <w:t>O - Ostátní výsledky</w:t>
            </w:r>
          </w:p>
        </w:tc>
      </w:tr>
    </w:tbl>
    <w:p w:rsidR="00F72D2D" w:rsidRDefault="00F72D2D">
      <w:pPr>
        <w:spacing w:after="426" w:line="14" w:lineRule="exact"/>
      </w:pPr>
    </w:p>
    <w:p w:rsidR="00F72D2D" w:rsidRDefault="00F72D2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5808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ind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Identifikáční číslo</w:t>
            </w:r>
          </w:p>
          <w:p w:rsidR="00F72D2D" w:rsidRDefault="001C1E8E">
            <w:pPr>
              <w:pStyle w:val="Jin0"/>
              <w:shd w:val="clear" w:color="auto" w:fill="auto"/>
              <w:ind w:firstLine="20"/>
            </w:pPr>
            <w:r>
              <w:t>QL24020149-V3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Nástroj pro bilanci uhlíku a živin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>Clánek pro sirokou verejnost seznamující čitatele s principy bilančního modelu a jeho využití</w:t>
            </w:r>
            <w:r>
              <w:t xml:space="preserve"> v práxi.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F72D2D" w:rsidRDefault="001C1E8E">
            <w:pPr>
              <w:pStyle w:val="Jin0"/>
              <w:shd w:val="clear" w:color="auto" w:fill="auto"/>
              <w:jc w:val="both"/>
            </w:pPr>
            <w:r>
              <w:t>O - Ostatní výsledky</w:t>
            </w:r>
          </w:p>
        </w:tc>
      </w:tr>
    </w:tbl>
    <w:p w:rsidR="00F72D2D" w:rsidRDefault="001C1E8E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6931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ind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F72D2D" w:rsidRDefault="001C1E8E">
            <w:pPr>
              <w:pStyle w:val="Jin0"/>
              <w:shd w:val="clear" w:color="auto" w:fill="auto"/>
              <w:ind w:firstLine="20"/>
            </w:pPr>
            <w:r>
              <w:t>QL24020149-V6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Sekvestrace uhlíku v půdě při různé intenzitě zpracování půdy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Vliv zpracovaní pudy na ukládání </w:t>
            </w:r>
            <w:r>
              <w:t>uhlíku do pudy vyhodnocený' z dat víceletých pokusu s různým zpracováním půdy v různých půdně-klimatických podmínkách.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F72D2D" w:rsidRDefault="001C1E8E">
            <w:pPr>
              <w:pStyle w:val="Jin0"/>
              <w:shd w:val="clear" w:color="auto" w:fill="auto"/>
              <w:spacing w:line="269" w:lineRule="auto"/>
            </w:pPr>
            <w:r>
              <w:t>Jost - Ostatní články v odborných recenzovaných periodikách splňující definici druhu výsledku</w:t>
            </w:r>
          </w:p>
        </w:tc>
      </w:tr>
    </w:tbl>
    <w:p w:rsidR="00F72D2D" w:rsidRDefault="00F72D2D">
      <w:pPr>
        <w:spacing w:after="406" w:line="14" w:lineRule="exact"/>
      </w:pPr>
    </w:p>
    <w:p w:rsidR="00F72D2D" w:rsidRDefault="00F72D2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QL24020149-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V8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</w:pPr>
            <w:r>
              <w:t>Distribuce kořenů v půdním profilu u vybraných plodin v různých půdně klimatických podmínkách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Budou získany udaje o biomase a podílu hmoty kořenů plodin v půdním profilu </w:t>
            </w:r>
            <w:r>
              <w:t>v ruznych půdně klimatických podmínkách, jako ukazatele sekvestrace C v jednotlivých vrstvach půdy.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</w:pPr>
            <w:r>
              <w:t xml:space="preserve">Jimp - Článek v odborném periodiku je obsažen v databázi Web of Science společností Thomson Reuters s příznakem </w:t>
            </w:r>
            <w:r>
              <w:t>„Article“, „Review“ nebo „Letter“</w:t>
            </w:r>
          </w:p>
        </w:tc>
      </w:tr>
    </w:tbl>
    <w:p w:rsidR="00F72D2D" w:rsidRDefault="00F72D2D">
      <w:pPr>
        <w:spacing w:after="406" w:line="14" w:lineRule="exact"/>
      </w:pPr>
    </w:p>
    <w:p w:rsidR="00F72D2D" w:rsidRDefault="00F72D2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6125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ind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F72D2D" w:rsidRDefault="001C1E8E">
            <w:pPr>
              <w:pStyle w:val="Jin0"/>
              <w:shd w:val="clear" w:color="auto" w:fill="auto"/>
              <w:ind w:firstLine="20"/>
            </w:pPr>
            <w:r>
              <w:t>QL24020149-V1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Mapa potenciální ztráty půdy respirací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6" w:lineRule="auto"/>
              <w:ind w:right="180"/>
              <w:jc w:val="both"/>
            </w:pPr>
            <w:r>
              <w:t xml:space="preserve">Kvalita pudy je odrazí take v procesu prem^ny primární pudní organická hmoty. Mapa blíže popise </w:t>
            </w:r>
            <w:r>
              <w:t>potencial pudy k sekvestraci uhlíku, resp. poskytne presn^jsí informace o ztrate uhlíku způsobené oživením půdy samotné.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F72D2D" w:rsidRDefault="001C1E8E">
            <w:pPr>
              <w:pStyle w:val="Jin0"/>
              <w:shd w:val="clear" w:color="auto" w:fill="auto"/>
              <w:jc w:val="both"/>
            </w:pPr>
            <w:r>
              <w:t>Nmap - Specializovaná mapa s odborným obsahem</w:t>
            </w:r>
          </w:p>
        </w:tc>
      </w:tr>
    </w:tbl>
    <w:p w:rsidR="00F72D2D" w:rsidRDefault="001C1E8E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7344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QL24020149-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V9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Název </w:t>
            </w:r>
            <w:r>
              <w:rPr>
                <w:sz w:val="15"/>
                <w:szCs w:val="15"/>
              </w:rPr>
              <w:t>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9" w:lineRule="auto"/>
            </w:pPr>
            <w:r>
              <w:t>Hodnocení kořenového systému plodin z hlediska přínosu pro input uhlíku do půdy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9" w:lineRule="auto"/>
            </w:pPr>
            <w:r>
              <w:t xml:space="preserve">Budou shromážděny Údaje o biomase kořenů a jejím rozdělení v půdním profilu a Údaje o poměru C/N kořenů u vybraných plodin v různých </w:t>
            </w:r>
            <w:r>
              <w:t>půdně-klimatických podmínkách.</w:t>
            </w:r>
          </w:p>
          <w:p w:rsidR="00F72D2D" w:rsidRDefault="001C1E8E">
            <w:pPr>
              <w:pStyle w:val="Jin0"/>
              <w:shd w:val="clear" w:color="auto" w:fill="auto"/>
              <w:spacing w:line="269" w:lineRule="auto"/>
              <w:jc w:val="both"/>
            </w:pPr>
            <w:r>
              <w:t>Budou využita data o rozkladu kořenů s využitím nabohacení 15N.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</w:pPr>
            <w:r>
              <w:t>Jost - Ostatní články v odborných recenzovaných periodikách splňující definici druhu výsledku</w:t>
            </w:r>
          </w:p>
        </w:tc>
      </w:tr>
    </w:tbl>
    <w:p w:rsidR="00F72D2D" w:rsidRDefault="00F72D2D">
      <w:pPr>
        <w:spacing w:after="426" w:line="14" w:lineRule="exact"/>
      </w:pPr>
    </w:p>
    <w:p w:rsidR="00F72D2D" w:rsidRDefault="00F72D2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7138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QL24020149-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V11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</w:pPr>
            <w:r>
              <w:t>Výpočet bilance dusíku v zemědělských půdách pomocí simulačních nástrojů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Vedecka publikace popisující využití simulační platformy EPIC-IIASA CZ pro odhad bilance</w:t>
            </w:r>
          </w:p>
          <w:p w:rsidR="00F72D2D" w:rsidRDefault="001C1E8E">
            <w:pPr>
              <w:pStyle w:val="Jin0"/>
              <w:shd w:val="clear" w:color="auto" w:fill="auto"/>
              <w:spacing w:after="40"/>
            </w:pPr>
            <w:r>
              <w:t>N v podmínkách ČR.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</w:t>
            </w:r>
            <w:r>
              <w:rPr>
                <w:sz w:val="15"/>
                <w:szCs w:val="15"/>
              </w:rPr>
              <w:t>výsledku podle struktury databáze RIV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</w:pPr>
            <w:r>
              <w:t>Jimp - Článek v odborném periodiku je obsažen v databázi Web of Science společností Thomson Reuters s příznakem „Article“, „Review“ nebo „Letter“</w:t>
            </w:r>
          </w:p>
        </w:tc>
      </w:tr>
    </w:tbl>
    <w:p w:rsidR="00F72D2D" w:rsidRDefault="00F72D2D">
      <w:pPr>
        <w:spacing w:after="426" w:line="14" w:lineRule="exact"/>
      </w:pPr>
    </w:p>
    <w:p w:rsidR="00F72D2D" w:rsidRDefault="00F72D2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6557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ind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F72D2D" w:rsidRDefault="001C1E8E">
            <w:pPr>
              <w:pStyle w:val="Jin0"/>
              <w:shd w:val="clear" w:color="auto" w:fill="auto"/>
              <w:ind w:firstLine="20"/>
            </w:pPr>
            <w:r>
              <w:t>QL24020149-V14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 xml:space="preserve">Vliv </w:t>
            </w:r>
            <w:r>
              <w:t>zpracování půdy na příjem živin a výnosy plodin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</w:pPr>
            <w:r>
              <w:t>Vyhodnocení dlouhodobého vlivu ruznych uirovní zpracovaní pudy na príjem živin rostlinami a jejich výnos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O - Ostatní výsledky</w:t>
            </w:r>
          </w:p>
        </w:tc>
      </w:tr>
    </w:tbl>
    <w:p w:rsidR="00F72D2D" w:rsidRDefault="001C1E8E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6826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QL24020149-V15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Sekvestrace uhlíku v půdě při různé intenzitě zpracování půdy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Vyhodnocení dlouhodobého vlivu různých úrovní zpracovaní pudy na obsah uhlíku v půdě v různých </w:t>
            </w:r>
            <w:r>
              <w:t>půdně-klimatických podmínkách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F72D2D" w:rsidRDefault="001C1E8E">
            <w:pPr>
              <w:pStyle w:val="Jin0"/>
              <w:shd w:val="clear" w:color="auto" w:fill="auto"/>
              <w:jc w:val="both"/>
            </w:pPr>
            <w:r>
              <w:t>O - Ostatní výsledky</w:t>
            </w:r>
          </w:p>
        </w:tc>
      </w:tr>
    </w:tbl>
    <w:p w:rsidR="00F72D2D" w:rsidRDefault="00F72D2D">
      <w:pPr>
        <w:spacing w:after="426" w:line="14" w:lineRule="exact"/>
      </w:pPr>
    </w:p>
    <w:p w:rsidR="00F72D2D" w:rsidRDefault="00F72D2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QL24020149-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V18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6" w:lineRule="auto"/>
            </w:pPr>
            <w:r>
              <w:t xml:space="preserve">Uplatnění moderních metod měření parametrů kvality a zdraví půdy pomocí blízké infračervené </w:t>
            </w:r>
            <w:r>
              <w:t>spektroskopie a rentgen-fluorescenční spektrometrie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Cílem metodiky bude praktické využití progresivních postupu pro stanovení obsahu uhlíku, dusíku a živin, v ususenych a presatych vzorcích pud moderními zpťisoby meření pomocí </w:t>
            </w:r>
            <w:r>
              <w:t>blízke infračervená spektroskopie, rentgenove fluorescenční spektrometrie - princip precizního zem^delství (Zem^delství 4.0). Metodika bude vypracovana na zaklade literární reserse /svetova literatura/ a dale vyvoje a overení kalibracích rovnic (chemometri</w:t>
            </w:r>
            <w:r>
              <w:t>cke zpracování dat) z měřených vzorků půdy z různých oblastí ČR.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F72D2D" w:rsidRDefault="001C1E8E">
            <w:pPr>
              <w:pStyle w:val="Jin0"/>
              <w:shd w:val="clear" w:color="auto" w:fill="auto"/>
              <w:spacing w:line="269" w:lineRule="auto"/>
              <w:ind w:right="160"/>
              <w:jc w:val="both"/>
            </w:pPr>
            <w:r>
              <w:t>NmetS - Metodiky schválené příslušným orgánem státní správy, do jehož kompetence daná problematika spadá</w:t>
            </w:r>
          </w:p>
        </w:tc>
      </w:tr>
    </w:tbl>
    <w:p w:rsidR="00F72D2D" w:rsidRDefault="00F72D2D">
      <w:pPr>
        <w:spacing w:after="426" w:line="14" w:lineRule="exact"/>
      </w:pPr>
    </w:p>
    <w:p w:rsidR="00F72D2D" w:rsidRDefault="00F72D2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4"/>
        <w:gridCol w:w="7200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QL24020149-</w:t>
            </w:r>
          </w:p>
          <w:p w:rsidR="00F72D2D" w:rsidRDefault="001C1E8E">
            <w:pPr>
              <w:pStyle w:val="Jin0"/>
              <w:shd w:val="clear" w:color="auto" w:fill="auto"/>
              <w:spacing w:after="40"/>
            </w:pPr>
            <w:r>
              <w:t>V2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Inovovaný nástroj pro potřeby bilancování uhlíku a živin v podmínkách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ČR.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Pro bilanci uhlíku a zivin bude inovován model zalozeny na identifikaci ztrát a vstupu organických latek a zivin pro konkrétní DPB. </w:t>
            </w:r>
            <w:r>
              <w:t>Nastroj umozní zjistení trendu pri zadaném zpusobu hospodaréní, bude doplněn i o slozku poradenskou. Nastroj tak bude moci byt vyuzit pro optimalizaci hospodaréní v duchu podpory sekvestrace uhlíku a maximálního vyuzití hnojiv (vcetne ekonomickeho benefitu</w:t>
            </w:r>
            <w:r>
              <w:t>), pro organy statni správy se nastroj stane možnou platformou pro plnění požadavků EK i dotačních podpor.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Druh výsledku podle struktury databáze RIV</w:t>
            </w:r>
          </w:p>
          <w:p w:rsidR="00F72D2D" w:rsidRDefault="001C1E8E">
            <w:pPr>
              <w:pStyle w:val="Jin0"/>
              <w:shd w:val="clear" w:color="auto" w:fill="auto"/>
              <w:jc w:val="both"/>
            </w:pPr>
            <w:r>
              <w:t>R - Software</w:t>
            </w:r>
          </w:p>
        </w:tc>
      </w:tr>
    </w:tbl>
    <w:p w:rsidR="00F72D2D" w:rsidRDefault="001C1E8E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QL24020149-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V20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Nážev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9" w:lineRule="auto"/>
            </w:pPr>
            <w:r>
              <w:t xml:space="preserve">Podklady pro legislativu v </w:t>
            </w:r>
            <w:r>
              <w:t>oblasti podpory udržitelného hospodaření s organickou hmotou a živinami.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6" w:lineRule="auto"/>
              <w:ind w:right="160"/>
              <w:jc w:val="both"/>
            </w:pPr>
            <w:r>
              <w:t xml:space="preserve">Budou připraveny podklady pro Úpravu legislativy v oblasti podpory udržitelného hospodaření se živinami a péče o půldní urodnost, včetně synchronizace s </w:t>
            </w:r>
            <w:r>
              <w:t>požadavky ostatních předpisů, ždůvodnění návrhů a odborné argumentace v připomínkových říženích.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databáže RIV</w:t>
            </w:r>
          </w:p>
          <w:p w:rsidR="00F72D2D" w:rsidRDefault="001C1E8E">
            <w:pPr>
              <w:pStyle w:val="Jin0"/>
              <w:shd w:val="clear" w:color="auto" w:fill="auto"/>
              <w:jc w:val="both"/>
            </w:pPr>
            <w:r>
              <w:t>Hleg - Výsledky promítnuté do právních předpisů a norem</w:t>
            </w:r>
          </w:p>
        </w:tc>
      </w:tr>
    </w:tbl>
    <w:p w:rsidR="00F72D2D" w:rsidRDefault="00F72D2D">
      <w:pPr>
        <w:spacing w:after="426" w:line="14" w:lineRule="exact"/>
      </w:pPr>
    </w:p>
    <w:p w:rsidR="00F72D2D" w:rsidRDefault="00F72D2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4"/>
        <w:gridCol w:w="4680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ind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F72D2D" w:rsidRDefault="001C1E8E">
            <w:pPr>
              <w:pStyle w:val="Jin0"/>
              <w:shd w:val="clear" w:color="auto" w:fill="auto"/>
              <w:ind w:firstLine="20"/>
            </w:pPr>
            <w:r>
              <w:t>QL24020149-V21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Název </w:t>
            </w:r>
            <w:r>
              <w:rPr>
                <w:sz w:val="15"/>
                <w:szCs w:val="15"/>
              </w:rPr>
              <w:t>výstupu/výsledku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Inovace Modelu OH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Na zaklade zjištených výsledku budou upravena kriteria a navrženy nove agrotechnická a technologická postupy pro zlepsení hospodarení s organickou hmotou v rámci Modelu OH pro celofaremní </w:t>
            </w:r>
            <w:r>
              <w:t>ekoplatbu, na úrovni podniku a jednoho roku.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F72D2D" w:rsidRDefault="001C1E8E">
            <w:pPr>
              <w:pStyle w:val="Jin0"/>
              <w:shd w:val="clear" w:color="auto" w:fill="auto"/>
              <w:jc w:val="both"/>
            </w:pPr>
            <w:r>
              <w:t>R - Software</w:t>
            </w:r>
          </w:p>
        </w:tc>
      </w:tr>
    </w:tbl>
    <w:p w:rsidR="00F72D2D" w:rsidRDefault="00F72D2D">
      <w:pPr>
        <w:spacing w:after="426" w:line="14" w:lineRule="exact"/>
      </w:pPr>
    </w:p>
    <w:p w:rsidR="00F72D2D" w:rsidRDefault="00F72D2D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QL24020149-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V5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</w:pPr>
            <w:r>
              <w:t xml:space="preserve">Synchronizace postupů pro hodnocení hospodaření s organickou hmotou v půdě s požadavky na </w:t>
            </w:r>
            <w:r>
              <w:t>používání dusíkatých hnojiv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>V rámci workshopu budou diskutovány postupy pro hospodarení s organickou hmotou v půdě, zpracování půdy, používání dusíkatých hnojiv a dalších živin na půdu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F72D2D" w:rsidRDefault="001C1E8E">
            <w:pPr>
              <w:pStyle w:val="Jin0"/>
              <w:shd w:val="clear" w:color="auto" w:fill="auto"/>
              <w:jc w:val="both"/>
            </w:pPr>
            <w:r>
              <w:t>W -</w:t>
            </w:r>
            <w:r>
              <w:t xml:space="preserve"> Uspořádání workshopu</w:t>
            </w:r>
          </w:p>
        </w:tc>
      </w:tr>
    </w:tbl>
    <w:p w:rsidR="00F72D2D" w:rsidRDefault="001C1E8E">
      <w:pPr>
        <w:spacing w:line="1" w:lineRule="exact"/>
        <w:rPr>
          <w:sz w:val="2"/>
          <w:szCs w:val="2"/>
        </w:rPr>
      </w:pPr>
      <w:r>
        <w:br w:type="page"/>
      </w:r>
    </w:p>
    <w:p w:rsidR="00F72D2D" w:rsidRDefault="001C1E8E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40"/>
        </w:tabs>
        <w:spacing w:after="300"/>
      </w:pPr>
      <w:bookmarkStart w:id="7" w:name="bookmark6"/>
      <w:r>
        <w:lastRenderedPageBreak/>
        <w:t>Identifikační údaje účastníků</w:t>
      </w:r>
      <w:bookmarkEnd w:id="7"/>
    </w:p>
    <w:p w:rsidR="00F72D2D" w:rsidRDefault="001C1E8E">
      <w:pPr>
        <w:pStyle w:val="Zkladntext1"/>
        <w:shd w:val="clear" w:color="auto" w:fill="auto"/>
        <w:spacing w:after="220" w:line="240" w:lineRule="auto"/>
        <w:ind w:left="380" w:firstLine="20"/>
        <w:jc w:val="left"/>
      </w:pPr>
      <w:r>
        <w:rPr>
          <w:b/>
          <w:bCs/>
        </w:rPr>
        <w:t>Hlavní příjemce -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6014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00027006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Výzkumný ústav rostlinné výroby, v.v.i.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</w:pPr>
            <w:r>
              <w:t xml:space="preserve">VVI - </w:t>
            </w:r>
            <w:r>
              <w:t>Veřejná výzkumná instituce (zákon č. 341/2005 Sb., o veřejných výzkumných institucích)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F72D2D" w:rsidRDefault="00F72D2D">
      <w:pPr>
        <w:spacing w:after="286" w:line="14" w:lineRule="exact"/>
      </w:pPr>
    </w:p>
    <w:p w:rsidR="00F72D2D" w:rsidRDefault="00F72D2D">
      <w:pPr>
        <w:spacing w:line="14" w:lineRule="exact"/>
      </w:pPr>
    </w:p>
    <w:p w:rsidR="00F72D2D" w:rsidRDefault="001C1E8E">
      <w:pPr>
        <w:pStyle w:val="Titulektabulky0"/>
        <w:shd w:val="clear" w:color="auto" w:fill="auto"/>
      </w:pPr>
      <w:r>
        <w:t>Další účastník - [D] Výzkumný ústav meliorací a ochrany půdy,v.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6398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00027049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 xml:space="preserve">Výzkumný ústav meliorací a </w:t>
            </w:r>
            <w:r>
              <w:t>ochrany půdy,v. v. i.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F72D2D" w:rsidRDefault="001C1E8E">
            <w:pPr>
              <w:pStyle w:val="Jin0"/>
              <w:shd w:val="clear" w:color="auto" w:fill="auto"/>
              <w:spacing w:line="264" w:lineRule="auto"/>
            </w:pPr>
            <w:r>
              <w:t>VVI - Veřejná výzkumná instituce (zákon č. 341/2005 Sb., o veřejných výzkumných institucích)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F72D2D" w:rsidRDefault="001C1E8E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F72D2D" w:rsidRDefault="001C1E8E">
      <w:pPr>
        <w:spacing w:line="1" w:lineRule="exact"/>
        <w:rPr>
          <w:sz w:val="2"/>
          <w:szCs w:val="2"/>
        </w:rPr>
      </w:pPr>
      <w:r>
        <w:br w:type="page"/>
      </w:r>
    </w:p>
    <w:p w:rsidR="00F72D2D" w:rsidRDefault="001C1E8E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40"/>
        </w:tabs>
        <w:spacing w:after="100"/>
      </w:pPr>
      <w:bookmarkStart w:id="8" w:name="bookmark7"/>
      <w:r>
        <w:lastRenderedPageBreak/>
        <w:t>Náklady</w:t>
      </w:r>
      <w:bookmarkEnd w:id="8"/>
    </w:p>
    <w:p w:rsidR="00F72D2D" w:rsidRDefault="001C1E8E">
      <w:pPr>
        <w:pStyle w:val="Zkladntext1"/>
        <w:shd w:val="clear" w:color="auto" w:fill="auto"/>
        <w:spacing w:after="300" w:line="240" w:lineRule="auto"/>
        <w:ind w:left="380"/>
        <w:jc w:val="left"/>
      </w:pPr>
      <w:r>
        <w:t xml:space="preserve">(uvedené údaje jsou v Kč, </w:t>
      </w:r>
      <w:r>
        <w:t>závazné parametry tučně v rámečku)</w:t>
      </w:r>
    </w:p>
    <w:p w:rsidR="00F72D2D" w:rsidRDefault="001C1E8E">
      <w:pPr>
        <w:pStyle w:val="Titulektabulky0"/>
        <w:shd w:val="clear" w:color="auto" w:fill="auto"/>
      </w:pPr>
      <w:r>
        <w:t>Projekt — QL24020149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t>4 000 000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t>4 000 000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t>4 000 000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12 000 000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4 000 000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4 000 000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4 000 000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12 000 000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ind w:left="0"/>
            </w:pPr>
            <w:r>
              <w:t>Maximální intenzita</w:t>
            </w:r>
          </w:p>
          <w:p w:rsidR="00F72D2D" w:rsidRDefault="001C1E8E">
            <w:pPr>
              <w:pStyle w:val="Jin0"/>
              <w:shd w:val="clear" w:color="auto" w:fill="auto"/>
              <w:ind w:left="0"/>
            </w:pPr>
            <w:r>
              <w:t>podpory</w:t>
            </w:r>
            <w:r>
              <w:t xml:space="preserve"> projektu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100 %</w:t>
            </w:r>
          </w:p>
        </w:tc>
      </w:tr>
    </w:tbl>
    <w:p w:rsidR="00F72D2D" w:rsidRDefault="00F72D2D">
      <w:pPr>
        <w:spacing w:after="406" w:line="14" w:lineRule="exact"/>
      </w:pPr>
    </w:p>
    <w:p w:rsidR="00F72D2D" w:rsidRDefault="00F72D2D">
      <w:pPr>
        <w:spacing w:line="14" w:lineRule="exact"/>
      </w:pPr>
    </w:p>
    <w:p w:rsidR="00F72D2D" w:rsidRDefault="001C1E8E">
      <w:pPr>
        <w:pStyle w:val="Titulektabulky0"/>
        <w:shd w:val="clear" w:color="auto" w:fill="auto"/>
      </w:pPr>
      <w:r>
        <w:t>Hlavní příjemce —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D2D" w:rsidRDefault="001C1E8E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3 780 000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1 260 000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1 260 000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line="269" w:lineRule="auto"/>
              <w:ind w:left="0"/>
            </w:pPr>
            <w:r>
              <w:t xml:space="preserve">Náklady </w:t>
            </w:r>
            <w:r>
              <w:t>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t>2 100 000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t>2 100 000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t>2 100 000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6300000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2 100 000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2 100 000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2 100 000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6300000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F72D2D" w:rsidRDefault="001C1E8E">
      <w:pPr>
        <w:spacing w:line="14" w:lineRule="exact"/>
      </w:pPr>
      <w:r>
        <w:br w:type="page"/>
      </w:r>
    </w:p>
    <w:p w:rsidR="00F72D2D" w:rsidRDefault="001C1E8E">
      <w:pPr>
        <w:pStyle w:val="Titulektabulky0"/>
        <w:shd w:val="clear" w:color="auto" w:fill="auto"/>
      </w:pPr>
      <w:r>
        <w:lastRenderedPageBreak/>
        <w:t>Další účastník — [D] Výzkumný ústav meliorací a ochrany půdy,v.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F72D2D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D2D" w:rsidRDefault="001C1E8E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3 480 000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1 080 000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F72D2D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1 140 000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t>1 900 000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t>1 900 000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t>1 900 000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5 700000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1 900 000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1 900 000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1 900 000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5 700000</w:t>
            </w:r>
          </w:p>
        </w:tc>
      </w:tr>
      <w:tr w:rsidR="00F72D2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2D2D" w:rsidRDefault="001C1E8E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D2D" w:rsidRDefault="001C1E8E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F72D2D" w:rsidRDefault="00F72D2D">
      <w:pPr>
        <w:spacing w:line="14" w:lineRule="exact"/>
        <w:sectPr w:rsidR="00F72D2D">
          <w:headerReference w:type="default" r:id="rId8"/>
          <w:footerReference w:type="default" r:id="rId9"/>
          <w:pgSz w:w="11900" w:h="16840"/>
          <w:pgMar w:top="2833" w:right="1029" w:bottom="1907" w:left="1420" w:header="0" w:footer="3" w:gutter="0"/>
          <w:pgNumType w:start="1"/>
          <w:cols w:space="720"/>
          <w:noEndnote/>
          <w:docGrid w:linePitch="360"/>
        </w:sectPr>
      </w:pPr>
    </w:p>
    <w:p w:rsidR="00F72D2D" w:rsidRDefault="001C1E8E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40"/>
        </w:tabs>
        <w:spacing w:after="0"/>
      </w:pPr>
      <w:bookmarkStart w:id="9" w:name="bookmark8"/>
      <w:r>
        <w:lastRenderedPageBreak/>
        <w:t>Další závazné parametry projektu</w:t>
      </w:r>
      <w:bookmarkEnd w:id="9"/>
    </w:p>
    <w:sectPr w:rsidR="00F72D2D">
      <w:pgSz w:w="11900" w:h="16840"/>
      <w:pgMar w:top="2833" w:right="5588" w:bottom="2833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8E" w:rsidRDefault="001C1E8E">
      <w:r>
        <w:separator/>
      </w:r>
    </w:p>
  </w:endnote>
  <w:endnote w:type="continuationSeparator" w:id="0">
    <w:p w:rsidR="001C1E8E" w:rsidRDefault="001C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D2D" w:rsidRDefault="001C1E8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5569585</wp:posOffset>
              </wp:positionH>
              <wp:positionV relativeFrom="page">
                <wp:posOffset>9876155</wp:posOffset>
              </wp:positionV>
              <wp:extent cx="1329055" cy="36576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D2D" w:rsidRDefault="001C1E8E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F72D2D" w:rsidRDefault="001C1E8E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F72D2D" w:rsidRDefault="001C1E8E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1B8D" w:rsidRPr="00D71B8D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438.55pt;margin-top:777.65pt;width:104.65pt;height:28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" filled="f" stroked="f">
              <v:textbox style="mso-fit-shape-to-text:t" inset="0,0,0,0">
                <w:txbxContent>
                  <w:p w:rsidR="00F72D2D" w:rsidRDefault="001C1E8E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F72D2D" w:rsidRDefault="001C1E8E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F72D2D" w:rsidRDefault="001C1E8E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1B8D" w:rsidRPr="00D71B8D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8E" w:rsidRDefault="001C1E8E"/>
  </w:footnote>
  <w:footnote w:type="continuationSeparator" w:id="0">
    <w:p w:rsidR="001C1E8E" w:rsidRDefault="001C1E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D2D" w:rsidRDefault="001C1E8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782955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D2D" w:rsidRDefault="001C1E8E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6" name="Picut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61.649999999999999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8" name="Picutre 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1154430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D2D" w:rsidRDefault="001C1E8E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90.900000000000006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9FD"/>
    <w:multiLevelType w:val="multilevel"/>
    <w:tmpl w:val="9FB0896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D04B0"/>
    <w:multiLevelType w:val="multilevel"/>
    <w:tmpl w:val="0AEEA83E"/>
    <w:lvl w:ilvl="0">
      <w:start w:val="4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72D2D"/>
    <w:rsid w:val="001C1E8E"/>
    <w:rsid w:val="00D71B8D"/>
    <w:rsid w:val="00F7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B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B8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B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B8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1874</Words>
  <Characters>11058</Characters>
  <Application>Microsoft Office Word</Application>
  <DocSecurity>0</DocSecurity>
  <Lines>92</Lines>
  <Paragraphs>25</Paragraphs>
  <ScaleCrop>false</ScaleCrop>
  <Company/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2</cp:revision>
  <dcterms:created xsi:type="dcterms:W3CDTF">2024-03-07T15:14:00Z</dcterms:created>
  <dcterms:modified xsi:type="dcterms:W3CDTF">2024-03-07T15:14:00Z</dcterms:modified>
</cp:coreProperties>
</file>