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53" w:rsidRDefault="00591753">
      <w:pPr>
        <w:spacing w:line="1" w:lineRule="exact"/>
      </w:pPr>
    </w:p>
    <w:p w:rsidR="001C753E" w:rsidRDefault="001C753E">
      <w:pPr>
        <w:pStyle w:val="Zkladntext1"/>
        <w:spacing w:after="140" w:line="216" w:lineRule="auto"/>
        <w:jc w:val="center"/>
        <w:rPr>
          <w:rStyle w:val="Zkladntext"/>
          <w:b/>
          <w:bCs/>
        </w:rPr>
      </w:pPr>
    </w:p>
    <w:p w:rsidR="001C753E" w:rsidRDefault="001C753E">
      <w:pPr>
        <w:pStyle w:val="Zkladntext1"/>
        <w:spacing w:after="140" w:line="216" w:lineRule="auto"/>
        <w:jc w:val="center"/>
        <w:rPr>
          <w:rStyle w:val="Zkladntext"/>
          <w:b/>
          <w:bCs/>
        </w:rPr>
      </w:pPr>
      <w:r>
        <w:rPr>
          <w:noProof/>
        </w:rPr>
        <w:drawing>
          <wp:inline distT="0" distB="0" distL="0" distR="0" wp14:anchorId="689B456E" wp14:editId="27C375CA">
            <wp:extent cx="2324735" cy="266700"/>
            <wp:effectExtent l="0" t="0" r="0" b="0"/>
            <wp:docPr id="28" name="Obrázek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53" w:rsidRDefault="00313E90">
      <w:pPr>
        <w:pStyle w:val="Zkladntext1"/>
        <w:spacing w:after="140" w:line="216" w:lineRule="auto"/>
        <w:jc w:val="center"/>
      </w:pPr>
      <w:r>
        <w:rPr>
          <w:rStyle w:val="Zkladntext"/>
          <w:b/>
          <w:bCs/>
        </w:rPr>
        <w:t>DODATEK Č. 4 K SMLOUVĚ č. 2019/0086</w:t>
      </w:r>
    </w:p>
    <w:p w:rsidR="00591753" w:rsidRDefault="00313E90">
      <w:pPr>
        <w:pStyle w:val="Zkladntext1"/>
        <w:spacing w:after="140" w:line="216" w:lineRule="auto"/>
        <w:ind w:left="1580"/>
      </w:pPr>
      <w:r>
        <w:rPr>
          <w:rStyle w:val="Zkladntext"/>
          <w:b/>
          <w:bCs/>
        </w:rPr>
        <w:t>O SERVISU A ÚDRŽBĚ SOFTWARE uzavřené dne 9. 7. 2019</w:t>
      </w:r>
    </w:p>
    <w:p w:rsidR="00591753" w:rsidRDefault="00313E90">
      <w:pPr>
        <w:pStyle w:val="Zkladntext1"/>
        <w:spacing w:after="140" w:line="216" w:lineRule="auto"/>
        <w:jc w:val="both"/>
      </w:pPr>
      <w:r>
        <w:rPr>
          <w:rStyle w:val="Zkladntext"/>
          <w:b/>
          <w:bCs/>
        </w:rPr>
        <w:t>Smluvní strany:</w:t>
      </w:r>
    </w:p>
    <w:p w:rsidR="00591753" w:rsidRDefault="00313E90">
      <w:pPr>
        <w:pStyle w:val="Zkladntext1"/>
        <w:numPr>
          <w:ilvl w:val="0"/>
          <w:numId w:val="1"/>
        </w:numPr>
        <w:tabs>
          <w:tab w:val="left" w:pos="355"/>
        </w:tabs>
        <w:spacing w:after="0" w:line="216" w:lineRule="auto"/>
        <w:jc w:val="both"/>
      </w:pPr>
      <w:r>
        <w:rPr>
          <w:rStyle w:val="Zkladntext"/>
          <w:b/>
          <w:bCs/>
        </w:rPr>
        <w:t xml:space="preserve">Centrum kardiovaskulární a transplantační chirurgie Brno </w:t>
      </w:r>
      <w:r>
        <w:rPr>
          <w:rStyle w:val="Zkladntext"/>
        </w:rPr>
        <w:t>se sídlem</w:t>
      </w:r>
    </w:p>
    <w:p w:rsidR="00591753" w:rsidRDefault="00313E90">
      <w:pPr>
        <w:pStyle w:val="Zkladntext1"/>
        <w:spacing w:after="0" w:line="216" w:lineRule="auto"/>
        <w:ind w:firstLine="380"/>
        <w:jc w:val="both"/>
      </w:pPr>
      <w:r>
        <w:rPr>
          <w:rStyle w:val="Zkladntext"/>
        </w:rPr>
        <w:t xml:space="preserve">Pekařská 53, 656 91 </w:t>
      </w:r>
      <w:r>
        <w:rPr>
          <w:rStyle w:val="Zkladntext"/>
        </w:rPr>
        <w:t>Brno</w:t>
      </w:r>
    </w:p>
    <w:p w:rsidR="00591753" w:rsidRDefault="00313E90">
      <w:pPr>
        <w:pStyle w:val="Zkladntext1"/>
        <w:spacing w:after="0" w:line="216" w:lineRule="auto"/>
        <w:ind w:firstLine="380"/>
        <w:jc w:val="both"/>
      </w:pPr>
      <w:proofErr w:type="spellStart"/>
      <w:r>
        <w:rPr>
          <w:rStyle w:val="Zkladntext"/>
        </w:rPr>
        <w:t>zast</w:t>
      </w:r>
      <w:proofErr w:type="spellEnd"/>
      <w:r>
        <w:rPr>
          <w:rStyle w:val="Zkladntext"/>
        </w:rPr>
        <w:t>. doc. MUDr. Petrem Němcem, CSc., MBA ředitelem</w:t>
      </w:r>
    </w:p>
    <w:p w:rsidR="00591753" w:rsidRDefault="00313E90">
      <w:pPr>
        <w:pStyle w:val="Zkladntext1"/>
        <w:spacing w:after="0" w:line="216" w:lineRule="auto"/>
        <w:ind w:firstLine="380"/>
        <w:jc w:val="both"/>
      </w:pPr>
      <w:r>
        <w:rPr>
          <w:rStyle w:val="Zkladntext"/>
        </w:rPr>
        <w:t>IČ: 00209775</w:t>
      </w:r>
    </w:p>
    <w:p w:rsidR="00591753" w:rsidRDefault="00313E90">
      <w:pPr>
        <w:pStyle w:val="Zkladntext1"/>
        <w:spacing w:after="0" w:line="216" w:lineRule="auto"/>
        <w:ind w:firstLine="380"/>
        <w:jc w:val="both"/>
      </w:pPr>
      <w:r>
        <w:rPr>
          <w:rStyle w:val="Zkladntext"/>
        </w:rPr>
        <w:t>DIČ: CZ00209775</w:t>
      </w:r>
    </w:p>
    <w:p w:rsidR="00591753" w:rsidRDefault="00313E90">
      <w:pPr>
        <w:pStyle w:val="Zkladntext1"/>
        <w:spacing w:line="216" w:lineRule="auto"/>
        <w:ind w:firstLine="380"/>
        <w:jc w:val="both"/>
      </w:pPr>
      <w:r>
        <w:rPr>
          <w:rStyle w:val="Zkladntext"/>
        </w:rPr>
        <w:t>(dále jen „</w:t>
      </w:r>
      <w:r>
        <w:rPr>
          <w:rStyle w:val="Zkladntext"/>
          <w:b/>
          <w:bCs/>
        </w:rPr>
        <w:t>Objednatel</w:t>
      </w:r>
      <w:r>
        <w:rPr>
          <w:rStyle w:val="Zkladntext"/>
        </w:rPr>
        <w:t>“)</w:t>
      </w:r>
    </w:p>
    <w:p w:rsidR="00591753" w:rsidRDefault="00313E90">
      <w:pPr>
        <w:pStyle w:val="Nadpis20"/>
        <w:keepNext/>
        <w:keepLines/>
        <w:numPr>
          <w:ilvl w:val="0"/>
          <w:numId w:val="1"/>
        </w:numPr>
        <w:tabs>
          <w:tab w:val="left" w:pos="363"/>
        </w:tabs>
        <w:spacing w:after="0"/>
        <w:ind w:left="0"/>
        <w:jc w:val="both"/>
      </w:pPr>
      <w:bookmarkStart w:id="0" w:name="bookmark0"/>
      <w:r>
        <w:rPr>
          <w:rStyle w:val="Nadpis2"/>
          <w:b/>
          <w:bCs/>
        </w:rPr>
        <w:t>C SOLUTION s.r.o.</w:t>
      </w:r>
      <w:bookmarkEnd w:id="0"/>
    </w:p>
    <w:p w:rsidR="00591753" w:rsidRDefault="00313E90">
      <w:pPr>
        <w:pStyle w:val="Zkladntext1"/>
        <w:spacing w:after="0" w:line="216" w:lineRule="auto"/>
        <w:ind w:firstLine="380"/>
        <w:jc w:val="both"/>
      </w:pPr>
      <w:r>
        <w:rPr>
          <w:rStyle w:val="Zkladntext"/>
        </w:rPr>
        <w:t>se sídlem Otakara Ševčíka 938/56, 636 00 Brno</w:t>
      </w:r>
    </w:p>
    <w:p w:rsidR="00591753" w:rsidRDefault="00313E90">
      <w:pPr>
        <w:pStyle w:val="Zkladntext1"/>
        <w:spacing w:after="0" w:line="216" w:lineRule="auto"/>
        <w:ind w:firstLine="380"/>
        <w:jc w:val="both"/>
      </w:pPr>
      <w:proofErr w:type="spellStart"/>
      <w:r>
        <w:rPr>
          <w:rStyle w:val="Zkladntext"/>
        </w:rPr>
        <w:t>zast</w:t>
      </w:r>
      <w:proofErr w:type="spellEnd"/>
      <w:r>
        <w:rPr>
          <w:rStyle w:val="Zkladntext"/>
        </w:rPr>
        <w:t xml:space="preserve">. Ing. Kateřinou </w:t>
      </w:r>
      <w:proofErr w:type="spellStart"/>
      <w:r>
        <w:rPr>
          <w:rStyle w:val="Zkladntext"/>
        </w:rPr>
        <w:t>Prettner</w:t>
      </w:r>
      <w:proofErr w:type="spellEnd"/>
      <w:r>
        <w:rPr>
          <w:rStyle w:val="Zkladntext"/>
        </w:rPr>
        <w:t>, jednatelem</w:t>
      </w:r>
    </w:p>
    <w:p w:rsidR="00591753" w:rsidRDefault="00313E90">
      <w:pPr>
        <w:pStyle w:val="Zkladntext1"/>
        <w:spacing w:after="0" w:line="216" w:lineRule="auto"/>
        <w:ind w:firstLine="380"/>
        <w:jc w:val="both"/>
      </w:pPr>
      <w:r>
        <w:rPr>
          <w:rStyle w:val="Zkladntext"/>
        </w:rPr>
        <w:t>IČ: 28318340</w:t>
      </w:r>
    </w:p>
    <w:p w:rsidR="00591753" w:rsidRDefault="00313E90">
      <w:pPr>
        <w:pStyle w:val="Zkladntext1"/>
        <w:spacing w:after="0" w:line="216" w:lineRule="auto"/>
        <w:ind w:firstLine="380"/>
        <w:jc w:val="both"/>
      </w:pPr>
      <w:r>
        <w:rPr>
          <w:rStyle w:val="Zkladntext"/>
        </w:rPr>
        <w:t>DIČ: CZ28318340</w:t>
      </w:r>
    </w:p>
    <w:p w:rsidR="00591753" w:rsidRDefault="00313E90">
      <w:pPr>
        <w:pStyle w:val="Zkladntext1"/>
        <w:spacing w:after="680" w:line="216" w:lineRule="auto"/>
        <w:ind w:left="380" w:firstLine="40"/>
        <w:jc w:val="both"/>
      </w:pPr>
      <w:r>
        <w:rPr>
          <w:rStyle w:val="Zkladntext"/>
        </w:rPr>
        <w:t xml:space="preserve">Zapsán v </w:t>
      </w:r>
      <w:r>
        <w:rPr>
          <w:rStyle w:val="Zkladntext"/>
        </w:rPr>
        <w:t>obchodním rejstříku vedeném Krajským soudem v Brně, oddíl C, vložka 60881 (dále jen „</w:t>
      </w:r>
      <w:r>
        <w:rPr>
          <w:rStyle w:val="Zkladntext"/>
          <w:b/>
          <w:bCs/>
        </w:rPr>
        <w:t>Poskytovatel</w:t>
      </w:r>
      <w:r>
        <w:rPr>
          <w:rStyle w:val="Zkladntext"/>
        </w:rPr>
        <w:t>“)</w:t>
      </w:r>
    </w:p>
    <w:p w:rsidR="00591753" w:rsidRDefault="00313E90">
      <w:pPr>
        <w:pStyle w:val="Zkladntext1"/>
        <w:spacing w:after="880" w:line="214" w:lineRule="auto"/>
        <w:jc w:val="both"/>
      </w:pPr>
      <w:r>
        <w:rPr>
          <w:rStyle w:val="Zkladntext"/>
        </w:rPr>
        <w:t xml:space="preserve">Výše uvedené smluvní strany uzavřely dne 9. 7. 2019 </w:t>
      </w:r>
      <w:r>
        <w:rPr>
          <w:rStyle w:val="Zkladntext"/>
          <w:b/>
          <w:bCs/>
        </w:rPr>
        <w:t xml:space="preserve">Smlouvu o servisu a údržbě software </w:t>
      </w:r>
      <w:r>
        <w:rPr>
          <w:rStyle w:val="Zkladntext"/>
        </w:rPr>
        <w:t>(dále jen „</w:t>
      </w:r>
      <w:r>
        <w:rPr>
          <w:rStyle w:val="Zkladntext"/>
          <w:b/>
          <w:bCs/>
        </w:rPr>
        <w:t>Smlouva</w:t>
      </w:r>
      <w:r>
        <w:rPr>
          <w:rStyle w:val="Zkladntext"/>
        </w:rPr>
        <w:t xml:space="preserve">“). </w:t>
      </w:r>
      <w:r>
        <w:rPr>
          <w:rStyle w:val="Zkladntext"/>
          <w:color w:val="212121"/>
        </w:rPr>
        <w:t>Tento Dodatek upravuje práva a povinnosti Smlu</w:t>
      </w:r>
      <w:r>
        <w:rPr>
          <w:rStyle w:val="Zkladntext"/>
          <w:color w:val="212121"/>
        </w:rPr>
        <w:t>vních stran souvisejících s dodávkou systému „Rozšíření funkcionality IDM“ a „Úpravy prostředí IP pro „obecná část aplikace“ pro práci s pacientem“. Smluvní strany v souladu se zněním § 222 odst. 5 zákona č. 134/2016 Sb., o zadávání veřejných zakázek, shod</w:t>
      </w:r>
      <w:r>
        <w:rPr>
          <w:rStyle w:val="Zkladntext"/>
          <w:color w:val="212121"/>
        </w:rPr>
        <w:t>ně konstatují, že naplňují zákonné podmínky pro změnu závazku ze smlouvy na výše uvedenou veřejnou zakázku.</w:t>
      </w:r>
    </w:p>
    <w:p w:rsidR="00591753" w:rsidRDefault="00313E90">
      <w:pPr>
        <w:pStyle w:val="Nadpis20"/>
        <w:keepNext/>
        <w:keepLines/>
        <w:spacing w:after="360" w:line="221" w:lineRule="auto"/>
        <w:ind w:left="4340"/>
      </w:pPr>
      <w:bookmarkStart w:id="1" w:name="bookmark2"/>
      <w:r>
        <w:rPr>
          <w:rStyle w:val="Nadpis2"/>
          <w:b/>
          <w:bCs/>
        </w:rPr>
        <w:t>Článek I.</w:t>
      </w:r>
      <w:bookmarkEnd w:id="1"/>
    </w:p>
    <w:p w:rsidR="00591753" w:rsidRDefault="00313E90">
      <w:pPr>
        <w:pStyle w:val="Zkladntext1"/>
        <w:numPr>
          <w:ilvl w:val="0"/>
          <w:numId w:val="2"/>
        </w:numPr>
        <w:tabs>
          <w:tab w:val="left" w:pos="724"/>
        </w:tabs>
        <w:spacing w:line="221" w:lineRule="auto"/>
        <w:ind w:firstLine="380"/>
        <w:jc w:val="both"/>
      </w:pPr>
      <w:r>
        <w:rPr>
          <w:rStyle w:val="Zkladntext"/>
        </w:rPr>
        <w:t>Smluvní strany uzavřely dne 9. 7. 2019 smlouvu o servisu a údržbě software</w:t>
      </w:r>
    </w:p>
    <w:p w:rsidR="00591753" w:rsidRDefault="00313E90">
      <w:pPr>
        <w:pStyle w:val="Zkladntext1"/>
        <w:numPr>
          <w:ilvl w:val="0"/>
          <w:numId w:val="2"/>
        </w:numPr>
        <w:tabs>
          <w:tab w:val="left" w:pos="769"/>
        </w:tabs>
        <w:spacing w:line="221" w:lineRule="auto"/>
        <w:ind w:left="780" w:hanging="360"/>
        <w:jc w:val="both"/>
      </w:pPr>
      <w:r>
        <w:rPr>
          <w:rStyle w:val="Zkladntext"/>
        </w:rPr>
        <w:t>Dne 3. 9. 2021 došlo prostřednictví dodatku č. 1 k Licenční sml</w:t>
      </w:r>
      <w:r>
        <w:rPr>
          <w:rStyle w:val="Zkladntext"/>
        </w:rPr>
        <w:t>ouvě k rozšíření Předmětu plnění této smlouvy.</w:t>
      </w:r>
    </w:p>
    <w:p w:rsidR="00591753" w:rsidRDefault="00313E90">
      <w:pPr>
        <w:pStyle w:val="Zkladntext1"/>
        <w:numPr>
          <w:ilvl w:val="0"/>
          <w:numId w:val="2"/>
        </w:numPr>
        <w:tabs>
          <w:tab w:val="left" w:pos="769"/>
        </w:tabs>
        <w:spacing w:line="221" w:lineRule="auto"/>
        <w:ind w:left="780" w:hanging="360"/>
        <w:jc w:val="both"/>
      </w:pPr>
      <w:r>
        <w:rPr>
          <w:rStyle w:val="Zkladntext"/>
        </w:rPr>
        <w:t>Smluvní strany se z výše uvedeného důvodu dohodly prostřednictvím tohoto dodatku č. 4 na úpravu navýšením ceny za poskytování služeb provozní podpory o 6,915 %, tak jak je upraveno Přílohou č. 2 Dodatku č. 1 k</w:t>
      </w:r>
      <w:r>
        <w:rPr>
          <w:rStyle w:val="Zkladntext"/>
        </w:rPr>
        <w:t xml:space="preserve"> Licenční smlouvě a jde o první takové cenové navýšení. Poskytovatel je oprávněn fakturovat toto navýšení ceny až po akceptaci části Rozšíření funkcionality IDM II a Kompozitních aplikací ze strany Objednatele.</w:t>
      </w:r>
    </w:p>
    <w:p w:rsidR="00591753" w:rsidRDefault="00313E90">
      <w:pPr>
        <w:pStyle w:val="Zkladntext1"/>
        <w:spacing w:line="221" w:lineRule="auto"/>
        <w:ind w:left="380" w:firstLine="40"/>
        <w:jc w:val="both"/>
      </w:pPr>
      <w:r>
        <w:rPr>
          <w:rStyle w:val="Zkladntext"/>
        </w:rPr>
        <w:t>V návaznosti na výše uvedenou změnu se smluvn</w:t>
      </w:r>
      <w:r>
        <w:rPr>
          <w:rStyle w:val="Zkladntext"/>
        </w:rPr>
        <w:t>í strany dohodly na změně čl. 6 Smlouvy „CENA ZA SLUŽBY“, jehož nové znění v bodě 6.1 je následující:</w:t>
      </w:r>
    </w:p>
    <w:p w:rsidR="00591753" w:rsidRDefault="00313E90">
      <w:pPr>
        <w:pStyle w:val="Zkladntext1"/>
        <w:spacing w:after="220" w:line="223" w:lineRule="auto"/>
        <w:ind w:left="380" w:firstLine="40"/>
        <w:jc w:val="both"/>
      </w:pPr>
      <w:r>
        <w:rPr>
          <w:rStyle w:val="Zkladntext"/>
        </w:rPr>
        <w:t xml:space="preserve">„6.1. Cena za služby dle této smlouvy na období 1 kalendářního měsíce činí částku ve výši 193 259,50 Kč bez DPH (slovy: </w:t>
      </w:r>
      <w:proofErr w:type="spellStart"/>
      <w:r>
        <w:rPr>
          <w:rStyle w:val="Zkladntext"/>
        </w:rPr>
        <w:t>stodevadesáttřitisícdvěstěpadesátd</w:t>
      </w:r>
      <w:r>
        <w:rPr>
          <w:rStyle w:val="Zkladntext"/>
        </w:rPr>
        <w:t>evět</w:t>
      </w:r>
      <w:proofErr w:type="spellEnd"/>
      <w:r>
        <w:rPr>
          <w:rStyle w:val="Zkladntext"/>
        </w:rPr>
        <w:t xml:space="preserve"> korun a padesát haléřů českých). DPH ve výši 21 % činí 40 584,50 Kč (slovy: </w:t>
      </w:r>
      <w:proofErr w:type="spellStart"/>
      <w:r>
        <w:rPr>
          <w:rStyle w:val="Zkladntext"/>
        </w:rPr>
        <w:t>čtyřicettisícpětsetosmdesátčtyři</w:t>
      </w:r>
      <w:proofErr w:type="spellEnd"/>
      <w:r>
        <w:rPr>
          <w:rStyle w:val="Zkladntext"/>
        </w:rPr>
        <w:t xml:space="preserve"> korun a padesát haléřů českých). Cena služby Provozní podpory celkem včetně DPH činí 233 844,- Kč (slovy: </w:t>
      </w:r>
      <w:proofErr w:type="spellStart"/>
      <w:r>
        <w:rPr>
          <w:rStyle w:val="Zkladntext"/>
        </w:rPr>
        <w:t>dvěstětřicettřitisícosmsetčtyřicetčt</w:t>
      </w:r>
      <w:r>
        <w:rPr>
          <w:rStyle w:val="Zkladntext"/>
        </w:rPr>
        <w:t>yři</w:t>
      </w:r>
      <w:proofErr w:type="spellEnd"/>
      <w:r>
        <w:rPr>
          <w:rStyle w:val="Zkladntext"/>
        </w:rPr>
        <w:t xml:space="preserve"> korun českých). Takto ujednaná cena za služby provozní podpory je cenou fixní, konečnou a závaznou.</w:t>
      </w:r>
      <w:r>
        <w:br w:type="page"/>
      </w:r>
    </w:p>
    <w:p w:rsidR="00591753" w:rsidRDefault="00313E90">
      <w:pPr>
        <w:pStyle w:val="Zkladntext1"/>
        <w:numPr>
          <w:ilvl w:val="0"/>
          <w:numId w:val="2"/>
        </w:numPr>
        <w:tabs>
          <w:tab w:val="left" w:pos="775"/>
        </w:tabs>
        <w:spacing w:line="221" w:lineRule="auto"/>
        <w:ind w:left="780" w:hanging="360"/>
        <w:jc w:val="both"/>
      </w:pPr>
      <w:r>
        <w:rPr>
          <w:rStyle w:val="Zkladntext"/>
        </w:rPr>
        <w:lastRenderedPageBreak/>
        <w:t>Smluvní strany se dále dohodly na změně čl. 11 Smlouvy „SOUČINNOST a VZÁJEMNÁ KOMUNIKACE“, jehož nové znění v bodě 11.6 je následující:</w:t>
      </w:r>
    </w:p>
    <w:p w:rsidR="00591753" w:rsidRDefault="00313E90">
      <w:pPr>
        <w:pStyle w:val="Zkladntext1"/>
        <w:spacing w:after="720" w:line="221" w:lineRule="auto"/>
        <w:ind w:left="420"/>
        <w:jc w:val="both"/>
      </w:pPr>
      <w:r>
        <w:rPr>
          <w:rStyle w:val="Zkladntext"/>
        </w:rPr>
        <w:t xml:space="preserve">„11.6. </w:t>
      </w:r>
      <w:r>
        <w:rPr>
          <w:rStyle w:val="Zkladntext"/>
        </w:rPr>
        <w:t>Objednatel poskytuje součinnost Poskytovateli prostřednictvím členů Týmu objednatele dle Přílohy č. 1 k této Smlouvě. Objednatel je oprávněn měnit složení Týmu Objednatele pouze po dohodě s Poskytovatelem. Členové Týmu Objednatele jsou (kromě kontaktních o</w:t>
      </w:r>
      <w:r>
        <w:rPr>
          <w:rStyle w:val="Zkladntext"/>
        </w:rPr>
        <w:t>sob) Objednatele určeni ke komunikaci s Poskytovatelem a poskytování součinnosti Poskytovateli při plnění jeho závazků z této smlouvy.“</w:t>
      </w:r>
    </w:p>
    <w:p w:rsidR="00591753" w:rsidRDefault="00313E90">
      <w:pPr>
        <w:pStyle w:val="Nadpis20"/>
        <w:keepNext/>
        <w:keepLines/>
        <w:spacing w:line="214" w:lineRule="auto"/>
        <w:ind w:left="0"/>
        <w:jc w:val="center"/>
      </w:pPr>
      <w:bookmarkStart w:id="2" w:name="bookmark4"/>
      <w:r>
        <w:rPr>
          <w:rStyle w:val="Nadpis2"/>
          <w:b/>
          <w:bCs/>
        </w:rPr>
        <w:t>Článek II.</w:t>
      </w:r>
      <w:bookmarkEnd w:id="2"/>
    </w:p>
    <w:p w:rsidR="00591753" w:rsidRDefault="00313E90">
      <w:pPr>
        <w:pStyle w:val="Zkladntext1"/>
        <w:numPr>
          <w:ilvl w:val="0"/>
          <w:numId w:val="3"/>
        </w:numPr>
        <w:tabs>
          <w:tab w:val="left" w:pos="761"/>
        </w:tabs>
        <w:spacing w:after="340" w:line="214" w:lineRule="auto"/>
        <w:ind w:firstLine="420"/>
        <w:jc w:val="both"/>
      </w:pPr>
      <w:r>
        <w:rPr>
          <w:rStyle w:val="Zkladntext"/>
        </w:rPr>
        <w:t>Ostatní ustanovení Smlouvy zůstávají beze změn.</w:t>
      </w:r>
    </w:p>
    <w:p w:rsidR="00591753" w:rsidRDefault="00313E90">
      <w:pPr>
        <w:pStyle w:val="Zkladntext1"/>
        <w:numPr>
          <w:ilvl w:val="0"/>
          <w:numId w:val="3"/>
        </w:numPr>
        <w:tabs>
          <w:tab w:val="left" w:pos="766"/>
        </w:tabs>
        <w:spacing w:after="340" w:line="214" w:lineRule="auto"/>
        <w:ind w:firstLine="420"/>
        <w:jc w:val="both"/>
      </w:pPr>
      <w:r>
        <w:rPr>
          <w:rStyle w:val="Zkladntext"/>
        </w:rPr>
        <w:t>Tento Dodatek č. 4 je vyhotoven v elektronické podobě v jedno</w:t>
      </w:r>
      <w:r>
        <w:rPr>
          <w:rStyle w:val="Zkladntext"/>
        </w:rPr>
        <w:t>m (1) vyhotovení.</w:t>
      </w:r>
    </w:p>
    <w:p w:rsidR="00591753" w:rsidRDefault="00313E90">
      <w:pPr>
        <w:pStyle w:val="Zkladntext1"/>
        <w:numPr>
          <w:ilvl w:val="0"/>
          <w:numId w:val="3"/>
        </w:numPr>
        <w:tabs>
          <w:tab w:val="left" w:pos="766"/>
        </w:tabs>
        <w:spacing w:line="214" w:lineRule="auto"/>
        <w:ind w:left="780" w:hanging="360"/>
        <w:jc w:val="both"/>
      </w:pPr>
      <w:r>
        <w:rPr>
          <w:rStyle w:val="Zkladntext"/>
        </w:rPr>
        <w:t>Tento Dodatek č. 4 nabývá platnosti dnem podpisu oběma smluvními stranami a účinnosti dnem zveřejnění v registru smluv dle zákona č. 340/2015 Sb.</w:t>
      </w:r>
    </w:p>
    <w:p w:rsidR="00591753" w:rsidRDefault="00313E90">
      <w:pPr>
        <w:pStyle w:val="Zkladntext1"/>
        <w:numPr>
          <w:ilvl w:val="0"/>
          <w:numId w:val="3"/>
        </w:numPr>
        <w:tabs>
          <w:tab w:val="left" w:pos="775"/>
        </w:tabs>
        <w:spacing w:after="0" w:line="214" w:lineRule="auto"/>
        <w:ind w:left="780" w:hanging="360"/>
        <w:jc w:val="both"/>
        <w:sectPr w:rsidR="00591753">
          <w:pgSz w:w="11900" w:h="16840"/>
          <w:pgMar w:top="582" w:right="768" w:bottom="497" w:left="773" w:header="154" w:footer="69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Smluvní strany prohlašují, že si tento Dodatek č. 4 přečetly, ž</w:t>
      </w:r>
      <w:r>
        <w:rPr>
          <w:rStyle w:val="Zkladntext"/>
        </w:rPr>
        <w:t>e s jeho obsahem souhlasí a na důkaz toho k němu připojují svoje podpisy.</w:t>
      </w:r>
    </w:p>
    <w:p w:rsidR="00591753" w:rsidRDefault="00591753">
      <w:pPr>
        <w:spacing w:line="240" w:lineRule="exact"/>
        <w:rPr>
          <w:sz w:val="19"/>
          <w:szCs w:val="19"/>
        </w:rPr>
      </w:pPr>
    </w:p>
    <w:p w:rsidR="00591753" w:rsidRDefault="00591753">
      <w:pPr>
        <w:spacing w:line="240" w:lineRule="exact"/>
        <w:rPr>
          <w:sz w:val="19"/>
          <w:szCs w:val="19"/>
        </w:rPr>
      </w:pPr>
    </w:p>
    <w:p w:rsidR="00591753" w:rsidRDefault="00591753">
      <w:pPr>
        <w:spacing w:line="240" w:lineRule="exact"/>
        <w:rPr>
          <w:sz w:val="19"/>
          <w:szCs w:val="19"/>
        </w:rPr>
      </w:pPr>
      <w:bookmarkStart w:id="3" w:name="_GoBack"/>
      <w:bookmarkEnd w:id="3"/>
    </w:p>
    <w:p w:rsidR="00591753" w:rsidRDefault="00591753">
      <w:pPr>
        <w:spacing w:line="240" w:lineRule="exact"/>
        <w:rPr>
          <w:sz w:val="19"/>
          <w:szCs w:val="19"/>
        </w:rPr>
      </w:pPr>
    </w:p>
    <w:p w:rsidR="00591753" w:rsidRDefault="00591753">
      <w:pPr>
        <w:spacing w:before="9" w:after="9" w:line="240" w:lineRule="exact"/>
        <w:rPr>
          <w:sz w:val="19"/>
          <w:szCs w:val="19"/>
        </w:rPr>
      </w:pPr>
    </w:p>
    <w:p w:rsidR="00591753" w:rsidRDefault="00591753">
      <w:pPr>
        <w:spacing w:line="1" w:lineRule="exact"/>
        <w:sectPr w:rsidR="00591753">
          <w:type w:val="continuous"/>
          <w:pgSz w:w="11900" w:h="16840"/>
          <w:pgMar w:top="1383" w:right="0" w:bottom="1383" w:left="0" w:header="0" w:footer="3" w:gutter="0"/>
          <w:cols w:space="720"/>
          <w:noEndnote/>
          <w:docGrid w:linePitch="360"/>
        </w:sectPr>
      </w:pPr>
    </w:p>
    <w:p w:rsidR="00591753" w:rsidRDefault="00313E90">
      <w:pPr>
        <w:pStyle w:val="Zkladntext1"/>
        <w:framePr w:w="2448" w:h="317" w:wrap="none" w:vAnchor="text" w:hAnchor="page" w:x="1629" w:y="21"/>
        <w:tabs>
          <w:tab w:val="left" w:leader="dot" w:pos="2390"/>
        </w:tabs>
        <w:spacing w:after="0"/>
      </w:pPr>
      <w:r>
        <w:rPr>
          <w:rStyle w:val="Zkladntext"/>
          <w:i/>
          <w:iCs/>
        </w:rPr>
        <w:t>V</w:t>
      </w:r>
      <w:r>
        <w:rPr>
          <w:rStyle w:val="Zkladntext"/>
        </w:rPr>
        <w:t xml:space="preserve"> Brně dne</w:t>
      </w:r>
      <w:r>
        <w:rPr>
          <w:rStyle w:val="Zkladntext"/>
        </w:rPr>
        <w:tab/>
      </w:r>
    </w:p>
    <w:p w:rsidR="00591753" w:rsidRDefault="00313E90">
      <w:pPr>
        <w:pStyle w:val="Zkladntext1"/>
        <w:framePr w:w="2918" w:h="619" w:wrap="none" w:vAnchor="text" w:hAnchor="page" w:x="1417" w:y="1715"/>
        <w:spacing w:after="60"/>
        <w:ind w:firstLine="220"/>
        <w:rPr>
          <w:sz w:val="22"/>
          <w:szCs w:val="22"/>
        </w:rPr>
      </w:pPr>
      <w:r>
        <w:rPr>
          <w:rStyle w:val="Zkladntext"/>
          <w:sz w:val="22"/>
          <w:szCs w:val="22"/>
        </w:rPr>
        <w:t>Za Poskytovatele</w:t>
      </w:r>
    </w:p>
    <w:p w:rsidR="00591753" w:rsidRDefault="00313E90">
      <w:pPr>
        <w:pStyle w:val="Zkladntext1"/>
        <w:framePr w:w="2918" w:h="619" w:wrap="none" w:vAnchor="text" w:hAnchor="page" w:x="1417" w:y="1715"/>
        <w:spacing w:after="0"/>
        <w:rPr>
          <w:sz w:val="22"/>
          <w:szCs w:val="22"/>
        </w:rPr>
      </w:pPr>
      <w:r>
        <w:rPr>
          <w:rStyle w:val="Zkladntext"/>
          <w:sz w:val="22"/>
          <w:szCs w:val="22"/>
        </w:rPr>
        <w:t xml:space="preserve">Ing. Kateřina </w:t>
      </w:r>
      <w:proofErr w:type="spellStart"/>
      <w:r>
        <w:rPr>
          <w:rStyle w:val="Zkladntext"/>
          <w:sz w:val="22"/>
          <w:szCs w:val="22"/>
        </w:rPr>
        <w:t>Prettner</w:t>
      </w:r>
      <w:proofErr w:type="spellEnd"/>
      <w:r>
        <w:rPr>
          <w:rStyle w:val="Zkladntext"/>
          <w:sz w:val="22"/>
          <w:szCs w:val="22"/>
        </w:rPr>
        <w:t>,</w:t>
      </w:r>
      <w:r>
        <w:rPr>
          <w:rStyle w:val="Zkladntext"/>
          <w:sz w:val="22"/>
          <w:szCs w:val="22"/>
        </w:rPr>
        <w:t xml:space="preserve"> jednatel</w:t>
      </w:r>
    </w:p>
    <w:p w:rsidR="00591753" w:rsidRDefault="00313E90">
      <w:pPr>
        <w:pStyle w:val="Zkladntext1"/>
        <w:framePr w:w="4046" w:h="2309" w:wrap="none" w:vAnchor="text" w:hAnchor="page" w:x="7009" w:y="25"/>
        <w:tabs>
          <w:tab w:val="left" w:leader="dot" w:pos="3270"/>
        </w:tabs>
        <w:spacing w:after="1420"/>
        <w:ind w:firstLine="980"/>
        <w:rPr>
          <w:sz w:val="22"/>
          <w:szCs w:val="22"/>
        </w:rPr>
      </w:pPr>
      <w:r>
        <w:rPr>
          <w:rStyle w:val="Zkladntext"/>
          <w:sz w:val="22"/>
          <w:szCs w:val="22"/>
        </w:rPr>
        <w:t>V Brně dne</w:t>
      </w:r>
      <w:r>
        <w:rPr>
          <w:rStyle w:val="Zkladntext"/>
          <w:sz w:val="22"/>
          <w:szCs w:val="22"/>
        </w:rPr>
        <w:tab/>
      </w:r>
    </w:p>
    <w:p w:rsidR="00591753" w:rsidRDefault="00313E90">
      <w:pPr>
        <w:pStyle w:val="Zkladntext1"/>
        <w:framePr w:w="4046" w:h="2309" w:wrap="none" w:vAnchor="text" w:hAnchor="page" w:x="7009" w:y="25"/>
        <w:spacing w:after="60"/>
        <w:ind w:firstLine="980"/>
        <w:rPr>
          <w:sz w:val="22"/>
          <w:szCs w:val="22"/>
        </w:rPr>
      </w:pPr>
      <w:r>
        <w:rPr>
          <w:rStyle w:val="Zkladntext"/>
          <w:sz w:val="22"/>
          <w:szCs w:val="22"/>
        </w:rPr>
        <w:t>Za Objednatele</w:t>
      </w:r>
    </w:p>
    <w:p w:rsidR="00591753" w:rsidRDefault="00313E90">
      <w:pPr>
        <w:pStyle w:val="Zkladntext1"/>
        <w:framePr w:w="4046" w:h="2309" w:wrap="none" w:vAnchor="text" w:hAnchor="page" w:x="7009" w:y="25"/>
        <w:spacing w:after="0"/>
        <w:rPr>
          <w:sz w:val="22"/>
          <w:szCs w:val="22"/>
        </w:rPr>
      </w:pPr>
      <w:r>
        <w:rPr>
          <w:rStyle w:val="Zkladntext"/>
          <w:sz w:val="22"/>
          <w:szCs w:val="22"/>
        </w:rPr>
        <w:t>doc. MUDr. Petr Němec, CSc., MBA, ředitel</w:t>
      </w:r>
    </w:p>
    <w:p w:rsidR="00591753" w:rsidRDefault="00591753">
      <w:pPr>
        <w:spacing w:line="360" w:lineRule="exact"/>
      </w:pPr>
    </w:p>
    <w:p w:rsidR="00591753" w:rsidRDefault="00591753">
      <w:pPr>
        <w:spacing w:line="360" w:lineRule="exact"/>
      </w:pPr>
    </w:p>
    <w:p w:rsidR="00591753" w:rsidRDefault="00591753">
      <w:pPr>
        <w:spacing w:line="360" w:lineRule="exact"/>
      </w:pPr>
    </w:p>
    <w:p w:rsidR="00591753" w:rsidRDefault="00591753">
      <w:pPr>
        <w:spacing w:line="360" w:lineRule="exact"/>
      </w:pPr>
    </w:p>
    <w:p w:rsidR="00591753" w:rsidRDefault="00591753">
      <w:pPr>
        <w:spacing w:line="360" w:lineRule="exact"/>
      </w:pPr>
    </w:p>
    <w:p w:rsidR="00591753" w:rsidRDefault="00591753">
      <w:pPr>
        <w:spacing w:after="532" w:line="1" w:lineRule="exact"/>
      </w:pPr>
    </w:p>
    <w:p w:rsidR="00591753" w:rsidRDefault="00591753">
      <w:pPr>
        <w:spacing w:line="1" w:lineRule="exact"/>
      </w:pPr>
    </w:p>
    <w:sectPr w:rsidR="00591753">
      <w:type w:val="continuous"/>
      <w:pgSz w:w="11900" w:h="16840"/>
      <w:pgMar w:top="1383" w:right="768" w:bottom="1383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3E90">
      <w:r>
        <w:separator/>
      </w:r>
    </w:p>
  </w:endnote>
  <w:endnote w:type="continuationSeparator" w:id="0">
    <w:p w:rsidR="00000000" w:rsidRDefault="0031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53" w:rsidRDefault="00591753"/>
  </w:footnote>
  <w:footnote w:type="continuationSeparator" w:id="0">
    <w:p w:rsidR="00591753" w:rsidRDefault="005917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3C7"/>
    <w:multiLevelType w:val="multilevel"/>
    <w:tmpl w:val="C0B0B0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72A09"/>
    <w:multiLevelType w:val="multilevel"/>
    <w:tmpl w:val="CF5A24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770A8"/>
    <w:multiLevelType w:val="multilevel"/>
    <w:tmpl w:val="3990DA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53"/>
    <w:rsid w:val="001C753E"/>
    <w:rsid w:val="00313E90"/>
    <w:rsid w:val="005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0261"/>
  <w15:docId w15:val="{B30E34AB-D439-483A-9768-68AD666D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E00406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5454C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color w:val="E00406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pacing w:after="560" w:line="228" w:lineRule="auto"/>
      <w:ind w:right="3340"/>
      <w:jc w:val="right"/>
    </w:pPr>
    <w:rPr>
      <w:rFonts w:ascii="Arial" w:eastAsia="Arial" w:hAnsi="Arial" w:cs="Arial"/>
      <w:color w:val="C5454C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28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pacing w:after="280" w:line="216" w:lineRule="auto"/>
      <w:ind w:left="2170"/>
      <w:outlineLvl w:val="1"/>
    </w:pPr>
    <w:rPr>
      <w:rFonts w:ascii="Calibri" w:eastAsia="Calibri" w:hAnsi="Calibri" w:cs="Calibri"/>
      <w:b/>
      <w:bCs/>
    </w:rPr>
  </w:style>
  <w:style w:type="paragraph" w:customStyle="1" w:styleId="Nadpis10">
    <w:name w:val="Nadpis #1"/>
    <w:basedOn w:val="Normln"/>
    <w:link w:val="Nadpis1"/>
    <w:pPr>
      <w:spacing w:line="233" w:lineRule="auto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35" w:lineRule="auto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DODATEK è. 4 - Smlouvy o servisu_fin_v03.doc)</dc:title>
  <dc:subject/>
  <dc:creator>roudensky</dc:creator>
  <cp:keywords/>
  <cp:lastModifiedBy>Ing. Ivana Švarcová</cp:lastModifiedBy>
  <cp:revision>3</cp:revision>
  <dcterms:created xsi:type="dcterms:W3CDTF">2024-02-26T10:39:00Z</dcterms:created>
  <dcterms:modified xsi:type="dcterms:W3CDTF">2024-02-26T10:42:00Z</dcterms:modified>
</cp:coreProperties>
</file>