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F9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PODLICENČNÍ SMLOUVA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Smluvní strany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Národní filmový archiv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příspěvková organizace</w:t>
      </w:r>
    </w:p>
    <w:p w:rsidR="00C76EF9" w:rsidRPr="002A1E8B" w:rsidRDefault="00EF5042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sídlem 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>Závišova 502/5, 140 00 Praha 4 - Nusle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IČ: 000 57 266,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DIČ: CZ00057266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2A1E8B">
        <w:rPr>
          <w:rFonts w:ascii="Times New Roman" w:eastAsia="Times New Roman" w:hAnsi="Times New Roman" w:cs="Times New Roman"/>
          <w:color w:val="222222"/>
          <w:sz w:val="24"/>
          <w:szCs w:val="24"/>
        </w:rPr>
        <w:t>83337011/0710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zastoupený PhDr. Michalem Bregantem, generálním ředitelem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NFA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BONTONFILM a.s.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sídlem: Na Poříčí 1047/26, Nové Město, 110 00 Praha 1,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IČ: 267 37 493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DIČ: CZ26737493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zastoupená Mgr. Martinem Palánem, předsedou představenstva, a Ing. Petrem Kantnerem, členem představenstva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zapsaná v obchodním rejstříku vedeném Městským soudem v Praze, oddíl B, vložka 7996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„Nabyvatel“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uzavírají v souladu s příslušnými ustanoveními zák. č. 89/2012 Sb., občanský zákoník, resp. zák. č. 121/2000 Sb. o právu autorském, o právech souvisejících s právem autorským a o změně některých zákonů, ve znění pozdějších předpisů (autorský zákon), tuto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Podlicenční smlouvu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Preambule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Smluvní strany spolu uzavřely 18. 5. 2020 podlicenční smlouvy o udělení svolení k užití zvukově obrazových záznamů v nich dále specifikovaných audiovizuálních děl, které byly později doplněny či změněny dodatky stanovující rozsah licence k jednotlivým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audiovizuálním dílům </w:t>
      </w:r>
      <w:r w:rsidRPr="002A1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(NFA označení: NFA0622/2020 a NFA0623/2020)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 Uvedené smlouvy byly ukončeny výpovědí ze strany NFA a Nabyvatel se proto zavazuje, že v souladu s výpovědními podmínkami zajistí stažení filmů zveřejněných na podkladě daných smluv ze všech odpovídajících platforem nejpozději do 30. 8. 2023.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 důvodu u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končení stávajících smluv se smluvní strany dohodly na uzavření nových smluv, přičemž tato smlouva se týká repertoáru československých filmů spravovaných NFA a zveřejněných od 1. 1. 1965 do 31. 12. 1991.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Smluvní strany; Předmět smlouvy; Filmy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NFA je právnickou osobou ve formě příspěvkové organizace plně způsobilou k právnímu jednání, právům a povinnostem, plnící úlohu specializovaného archivu pro audiovizuální archiválie a zaměřenou mimo jiné na budování, ochranu, restaurování, vědecké zpracová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ní a zpřístupňování národního filmového dědictví, resp. audiovizuálních archiválií, jakož i na všestranné šíření filmové kultury ve spolupráci s českými i zahraničními filmovými a kulturními institucemi. NFA je na základě Licenční a podlicenční smlouvy uza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vřené dne 23.5.2014 mezi NFA a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jakož i na základě všech případných pozdějších změn a dodatků k dané smlouvě, opráv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něn udělovat podlicence k užití touto smlouvou specifikovaných Filmů (viz čl. II. odst. 4 níže), a to z hlediska právních titulů a v rozsahu, jak jsou níže uvedeny. NFA má zájem udělit touto smlouvou za dále uvedených podmínek Nabyvateli souhlas s užitím F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ilmů touto smlouvou vymezených.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má zájem získat touto smlouvou za dále uvedených podmínek od NFA souhlas s užitím Filmů touto smlouvou vymezených.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Předmětem této smlouvy je závazek NFA spočívající v poskytnutí oprávnění užít Filmy Nabyvateli v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rozsahu této smlouvy a závazek Nabyvatele spočívající v zaplacení odměny NFA za řádné splnění závazků z této smlouvy vyplývajících.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Filmy se pro účely této smlouvy rozumí audiovizuální díla uvedená v nedílné 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Příloze č. 1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této smlouvy (výše a dále jen spo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lečně jako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Filmy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 nebo jednotlivě jako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Film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Souhlas s užitím Filmů, který je poskytován touto smlouvou, zahrnuje následující druhy souhlasů:</w:t>
      </w:r>
    </w:p>
    <w:p w:rsidR="00C76EF9" w:rsidRPr="002A1E8B" w:rsidRDefault="002A1E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6EF9" w:rsidRPr="002A1E8B" w:rsidRDefault="002A1E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6EF9" w:rsidRPr="002A1E8B" w:rsidRDefault="002A1E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xxxxxxxxxxxxxxxxxxxxxxxxxxxxxxxxx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 účelem komunikace ohledně plnění této smlouvy určují smluvní strany tyto své kontaktní osoby: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 NFA: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xxxxxxxxxxxxxxxxx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xxxxxxxxxxxxxxxx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Za Nabyvatele: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xxxxxxxxxxxxxxxxx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Podlicence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NFA touto smlouvou poskytuje Nabyvateli oprávnění k užití Filmů – podlicenci v níže uvedeném rozsahu: </w:t>
      </w:r>
    </w:p>
    <w:p w:rsidR="00C76EF9" w:rsidRPr="002A1E8B" w:rsidRDefault="00EF50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 užití Filmů formou jejich sdělováním v nehmotné podobě veřejnosti dle ust. § 18 odst. 2 autorského zákona v rámci audiovizuální mediální služby na vyžá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dání (tzv.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Video on Demand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ve smyslu zák. č. 132/2010 Sb., o audiovizuálních mediálních službách na vyžádání, s touto specifikací: Podlicence je poskytována pro služby typu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TVOD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(Transactional Video on Demand),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(ElectronicSell-Through) a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SVOD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(Subscri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ption Video on Demand), a to výlučně  v rámci služeb</w:t>
      </w:r>
      <w:r w:rsidRPr="002A1E8B">
        <w:rPr>
          <w:rFonts w:ascii="Times New Roman" w:eastAsia="Times New Roman" w:hAnsi="Times New Roman" w:cs="Times New Roman"/>
          <w:color w:val="000000"/>
        </w:rPr>
        <w:t xml:space="preserve">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provozovatelů uvedených v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Příloze č. 3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této smlouvy (dále jen společně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Provozovatelé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“). Nabyvatel (resp. příslušný Provozovatel) je přitom oprávněn umožnit koncovým uživatelům (kterými se rozumí výlučně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fyzické osoby užívající Filmy pro svou osobní potřebu, nikoli za účelem dosažení přímého nebo nepřímého hospodářského nebo obchodního prospěchu, ve smyslu ust. § 30 odst. 1 autorského zákona), aby na základě svého požadavku Filmy zhlédli v rámci služby Vi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deo on Demand pomocí přenosu digitalizovaného signálu v reálném čase ("streaming").</w:t>
      </w:r>
    </w:p>
    <w:p w:rsidR="00C76EF9" w:rsidRPr="002A1E8B" w:rsidRDefault="00EF50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2A1E8B">
        <w:rPr>
          <w:rFonts w:ascii="Times New Roman" w:eastAsia="Times New Roman" w:hAnsi="Times New Roman" w:cs="Times New Roman"/>
          <w:sz w:val="24"/>
          <w:szCs w:val="24"/>
        </w:rPr>
        <w:t xml:space="preserve">v časovém rozsahu od </w:t>
      </w:r>
      <w:r w:rsidR="002A1E8B" w:rsidRPr="002A1E8B">
        <w:rPr>
          <w:rFonts w:ascii="Times New Roman" w:eastAsia="Times New Roman" w:hAnsi="Times New Roman" w:cs="Times New Roman"/>
          <w:b/>
          <w:sz w:val="24"/>
          <w:szCs w:val="24"/>
        </w:rPr>
        <w:t>xxxxxxxxxxxxxxxx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6EF9" w:rsidRPr="002A1E8B" w:rsidRDefault="00EF50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tomto území (z hlediska dostupnosti Filmů koncovým uživatelům - divákům): </w:t>
      </w:r>
      <w:r w:rsidR="002A1E8B"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xxxxxxxxxxxxxxxxx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6EF9" w:rsidRPr="002A1E8B" w:rsidRDefault="00EF50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tomto množství: </w:t>
      </w:r>
      <w:r w:rsidR="002A1E8B"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6EF9" w:rsidRPr="002A1E8B" w:rsidRDefault="002A1E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xxxxxxxxxxxxxxxxxxxxxxxxxxxx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NFA prohlašuje, že je oprávněn podlicenci uvedenou v této smlouvě udělit a že z titulu využití podlicence ze strany Nabyvatele v souladu s touto smlouvou nebude zasaženo do práv třetích osob. Nabyvatel prohlašuje, že je schopen dostát všem svým závazkům vy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plývajícím z této smlouvy i ze všech relevantních právních předpisů vztahujících se na užití Filmů způsobem vyplývajícím z této smlouvy (zejména zák. č. 132/2010 Sb., o audiovizuálních mediálních službách na vyžádání).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není oprávněn užít Filmy v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 větším rozsahu, než uvedeném v této smlouvě a je povinen učinit (respektive smluvně zajistit, že tak učiní Provozovatelé) veškerá opatření, která lze po něm rozumně požadovat, aby znemožnil užití Filmů nad tento rámec jakýmikoliv třetími osobami, zejména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koncovými uživateli, kterým bude Filmy dle této smlouvy zpřístupňovat. Nabyvatel je zejména povinen zamezit rozmnožování nebo dalšímu šíření Filmů koncovými uživateli – diváky. Nabyvatel se zavazuje zabezpečit Filmy prostředky k ochraně autorských práv už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itím digitální technologie DRM (digital rights management) proti tomu, aby koncový uživatel mohl Film zhlédnout ve větším rozsahu, než pro který uhradil odpovídající odměnu, jakož i proti tomu, aby uživatel mohl Filmy či jejich části rozmnožovat, rozšiřova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 na hmotném nosiči či dále zpřístupňovat v nehmotné podobě. Nabyvatel se zavazuje toto zabezpečení zavést s odbornou péčí v obvyklé úrovni běžně poskytované v oblasti shodného typu služeb v dané době. Nabyvatel však neodpovídá za prolomení či obejití ochr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any koncovým uživatelem nebo jinou osobou, pokud tato ochrana splňuje požadavky na ní kladené touto smlouvou.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bere na vědomí, že užití Filmů se nesmí reálně ani potenciálně dotýkat hodnoty Filmů. Podlicence udělovaná touto smlouvou tak Nabyvatel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mimo jiné neopravňuje k užití částí Filmů nebo celých Filmů v audiovizuální nebo zvukové reklamě, sponzorských vzkazech či jiných formách obchodních sdělení, ve videoklipech apod., není-li dále výslovně uvedeno jinak.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NFA souhlasí s tím, že Nabyvatel j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 oprávněn před každý Film vložit reklamní blok v délce maximálně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který bude umístěn bezprostředně před Film a spustí se v okamžiku, kdy koncový uživatel požádá o zhlédnutí Filmu. Nabyvatel není oprávněn Film přerušovat jakoukoliv reklamou bez př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edchozího písemného souhlasu NFA. Reklamní blok může být obsazen reklamou na různé druhy výrobků či služeb, přičemž se může jednat dle volby Nabyvatele i o výrobky a služby třetích stran. Nabyvatel je dále na základě předchozího souhlasu NFA oprávněn před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vložit sponzorský příspěvek. NFA nenáleží od Nabyvatele odměna za možnost vložení reklamního bloku a/nebo sponzorského příspěvku. Nabyvatel se zavazuje zajistit, že takto připojená reklama a/nebo sponzorský příspěvek nebude v rozporu s dobrými mravy 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ni s právními předpisy (zejména se zák. č. 40/1995 Sb., o regulaci reklamy).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oprávněn provádět jakékoliv změny, úpravy, doplnění, spojení nebo jiné zásahy do Filmů, ledaže k tomu NFA udělí výslovný písemný souhlas, nebo je tak výslovně uved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eno v této smlouvě. Tato smlouva umožňuje Nabyvateli zhotovit jiné jazykové verze Filmů (ať již jde o podtitulky, dabing nebo jiný způsob překladu, dále jen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překlad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“). Nabyvatel je povinen vlastním jménem a na vlastní účet vypořádat práva autorů a/nebo vý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konných umělců ke každému z jím vyrobených překladů.  V rozsahu takto získaných oprávnění od autorů a/nebo výkonných umělců podílejících se na překladu k nim Nabyvateli náleží samostatná, na NFA nezávislá práva. Pro vyloučení pochybností smluvní strany pro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hlašují, že překlad bude vždy zhotovován na vlastní náklady a odpovědnost Nabyvatele či Provozovatele, popřípadě bude Nabyvateli poskytnut ze strany NFA (pokud NFA odpovídajícím překladem již disponuje), pročež náklady vzniklé v souvislosti s výrobou překl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adu nebudou započítávány mezi distribuční náklady, které jsou dle čl. V. odst. 1 této smlouvy předmětem odpočtu od základu podílové odměny pro NFA.  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Zhotoví-li Nabyvatel (nebo Provozovatel na základě jím udělené podlicence) titulky pro neslyšící – ať již v jakémkoliv jazyce – je povinen takové titulky bezodkladně poté zpřístupnit sjednaným způsobem NFA, přičemž k tomuto okamžiku uděluje NFA bezúplatně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nevýhradní časově, územně, množstevně, technologicky, co do způsobů užití i jakkoliv jinak neomezenou licenci k užití těchto titulků pro neslyšící; tuto licenci je NFA oprávněn, nikoliv však povinen využít a může práva z této licence dále libovolně převádě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 na třetí osoby; Nabyvatel garantuje, že vypořádá práva ke každým zhotoveným titulkům pro neslyšící (zejména práva překladatele v případě cizojazyčných titulků pro neslyšící) za takových podmínek, aby mohl udělit NFA licenci v rozsahu specifikovaném tímto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ustanovením. Pokud Nabyvatel zhotovil titulky pro neslyšící k jakýmkoliv Filmům na základě dříve uzavřených podlicenčních smluv (viz Preambule této smlouvy), platí ohledně jejich zpřístupnění a udělení licence NFA k jejich užití analogicky podmínky tohoto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ustanovení smlouvy. Náklady na zhotovení titulků pro neslyšící, které Nabyvatel zpřístupní NFA a udělí k nim NFA licenci dle tohoto ustanovení, je Nabyvatel oprávněn zahrnout mezi distribuční náklady, které jsou dle čl. V. odst. 1 této smlouvy předmětem 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dpočtu od základu podílové odměny pro NFA, a to po písemném schválení konkrétní výše těchto nákladů ze strany NFA. 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oprávněn vytvořit a užít krátké zvukově obrazové výňatky z každého Filmu, jejichž délka nepřesáhne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za účelem ohláše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ní nebo propagace užití Filmu Nabyvatelem v souladu s touto smlouvou, s tím, že užitím výňatků nesmí dojít ke snížení hodnoty Filmu.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2A1E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xxxxxxxxxxxxxxxxx</w:t>
      </w:r>
      <w:r w:rsidR="00EF5042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Nabyvatel je povinen bezodkladně oznámit NFA jakékoliv porušení práva NFA nebo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o kterém se dozví.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je zásadně při užití Filmů povine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 dbát dobrého jména a pověsti NFA 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a přispívat k jejich ochraně.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případě, že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skončí z jakéhokoliv důvodu (ať již výpovědí, odstoupením od smlouvy, dohodou nebo jinak) dříve, než tato Podlicenční smlouva mezi NFA a Nabyvatelem, vstoupí ke dni následujícímu po zániku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postavení NFA jakožto poskytovatele licence k 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Filmům v rozsahu této Podlicenční smlouvy přímo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 se stejnými časovými účinky ve vztahu k této licenci inkasovat všechny dosud nezaplacené (ani NFA nefakturované) částky představující odměnu za lic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enci týkající se užití Filmů. Pro vyloučení pochybností smluvní strany prohlašují, že nastane-li situace předvídaná předchozí větou,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vstoupí pouze do těch ustanovení této Podlicenční smlouvy, které se týkají poskytnuté licence k 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Filmům a práva na zaplacení odměny za její poskytnutí.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V případě, že v souvislosti s užitím Filmů na základě této smlouvy budou zhotovovány jakékoliv doprovodné materiály obsahující text (tiskové brožury, webové stránky, propagační materiály apod.), je Na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byvatel povinen zajistit, že na takových doprovodných materiálech bude obvyklým způsobem označen jako nositel, resp. vykonavatel autorských práv k Filmům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to např. formou copyrightové výhrady a uvedením loga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které je k dispozici ke stažení na jeho webových stránkách.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Další práva a povinnosti stran v souvislosti s distribucí Filmů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V případě Filmů, k nimž bude Nabyvatel udělovat podlicenci Provozovatelům (viz čl. III. odst. 9) se NFA zavazuje Nabyvateli dodat za sjednaných podmínek digitální zvukově obrazové záznamy Filmů ve formátech uvedených v 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Příloze č. 2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této smlouvy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popřípadě v nejvyšší kvalitě, jimiž záznamy příslušných Filmů disponuje (pokud nedisponuje těmito záznamy v kvalitě specifikované v Příloze č. 2). Pokud NFA kdykoliv po podpisu této smlouvy začne disponovat novým digitálním přepisem jakéhoko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liv Filmu v objektivně vyšší kvalitě (např. v důsledku uskutečněného digitálního restaurování), k němuž již dříve dodal Nabyvateli digitální přepis v souladu s tímto ustanovením, zavazuje se NFA Nabyvateli takový nový digitální přepis bezúplatně zpřístupni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 a Nabyvatel je povinen po doručení tohoto digitálního přepisu zabezpečit výměnu u příslušných Provozovatelů, kteří disponují podlicencí k příslušnému Filmu.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Ke každému z Filmů, k němuž Nabyvatel udělí podlicenci některému z Provozovatelů (viz čl. III. 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dst. 9) NFA dále dodá Nabyvateli promo materiály, jimiž disponuje, a to např. fotosky, fotogramy, podtitulky a synopse v angličtině, němčině, francouzštině, španělštině a dalších jazykových mutacích, trailery apod. – pro podtitulky a obrazové materiály v t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akovém případě platí specifikace dle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Přílohy č. 2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(přičemž pokud NFA nedisponuje podtitulky a obrazovými materiály v kvalitě vyplývající z Přílohy č. 2, poskytne tyto materiály Nabyvateli v nejvyšší kvalitě, jíž disponuje). Pro vyloučení pochybností se sje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dnává, že Nabyvatel je povinen vypořádat svým jménem a na svou odpovědnost práva k promo materiálům dle tohoto ustanovení, bude-li mít zájem je v souladu s touto smlouvou užít; NFA se zavazuje dodat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Nabyvateli v dostatečném časovém předstihu veškeré inform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ace potřebné pro takové vypořádání, pokud je má k dispozici.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NFA dále dodá Nabyvateli, v rozsahu jakém jím disponuje, též veškerý informační materiál s údaji odpovídajícími distribučnímu listu Filmu (zejm. stopáž, informace o nositelích práv zúčastněných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 výrobě filmu, anotace, noticka apod., dále jen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metadata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“), a to ve všech jazykových mutacích, kterými NFA disponuje.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zajistí na svůj účet a odpovědnost převedení Filmů do datového souboru požadovaného Provozovateli (tzv. encoding) a zpracová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ní metadat (tj. jejich vyplnění do databází stanovených Provozovateli), a provede i všechny další úkony potřebné pro umístění Filmů na platformách Provozovatelů.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Odměna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Nabyvatel se zavazuje zaplatit NFA za užití Filmů dle podmínek této smlouvy podílovou odměnu, která bude stanovena následovně: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NFA náleží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sz w:val="24"/>
          <w:szCs w:val="24"/>
        </w:rPr>
        <w:t>xxxxxxxxx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6EF9" w:rsidRPr="002A1E8B" w:rsidRDefault="00C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EF9" w:rsidRPr="002A1E8B" w:rsidRDefault="00EF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Pokud se smluvní strany v jednotlivých konkrétních případech dohodnou na jiné výši podílu nebo formě odměny NFA, bude tato dohoda uvedena u příslušného Filmu v aktuální příloze smlou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>vy, případně v dodatku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Nabyvatel bude pravidelně vyhotovovat kvartální písemné vyúčtování odměn a poplatků, které vybral od Provozovatelů za zpřístupnění Filmů dle této smlouvy (dále jen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vyúčtování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“). Vyúčtování musí vždy obsahovat rozepsan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é ve vztahu ke každému kalendářnímu měsíci v příslušném kalendářním kvartálu ke každému jednotlivému Filmu alespoň následující údaje: specifikace konkrétní platformy, na které se příslušný Film nachází, celková (hrubá) výše vybraných odměn a poplatků, čist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 výše vybraných odměn a poplatků (tj. po odečtení DPH), celkový počet zhlédnutí, specifikace odečtených distribučních nákladů, výpočet podílové odměny pro NFA. Nabyvatel je povinen vyúčtování zasílat NFA na e-mailovou adresu </w:t>
      </w:r>
      <w:r w:rsidR="002A1E8B" w:rsidRPr="002A1E8B">
        <w:t xml:space="preserve">xxxxxxxxxxxx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vždy nejpozději do 15. dne měsíce následujícího po kalendářním kvartálu, kterého se vyúčtování týká. V případě, že vyúčtování obsahuje chyby, spočívající např. v chybném výpočtu podílové odměny pro NFA, je NFA oprávněn vyúčtování u Na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byvatele reklamovat, a to do 15 pracovních dnů ode dne jeho obdržení; pakliže je reklamace NFA oprávněná, je Nabyvatel povinen neprodleně, nejpozději však do 3 dnů od obdržení reklamace vystavit a na adresu uvedenou v předešlé větě NFA zaslat opravené vyúč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tování.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Odměna stanovená v odst. 1 tohoto článku bude Nabyvatelem pro NFA uhrazena na č.ú. uvedené v záhlaví smlouvy na základě běžné faktury se všemi zákonnými náležitostmi daňového dokladu, s měsíční lhůtou splatnosti vystavené NFA na základě této smlouvy a obdr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ženého vyúčtování, případně opraveného vyúčtování. Pokud daňový doklad nebude obsahovat jakoukoliv náležitost stanovenou zákonem nebo tímto ustanovením, je Nabyvatel oprávněn jej NFA vrátit k opravě a odmítnout jeho proplacení do doby, než budou zjištěné n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edostatky odstraněny; po uvedenou dobu rovněž Nabyvateli nevzniká povinnost k úhradě úroku z prodlení.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V případě prodlení Nabyvatele s úhradou odměny dle ustanovení této smlouvy se Nabyvatel zavazuje uhradit NFA úrok z prodlení ve výši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každý cel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ý den prodlení.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V případě, že Nabyvatel neuhradí kterékoliv části odměny ve lhůtě splatnosti, je NFA oprávněn s okamžitým účinkem odstoupit od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NFA je oprávněn na svůj náklad a na základě oznámení doručeného Nabyvateli nejméně se čtrnáctiden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předstihem uskutečnit u Nabyvatele kontrolu dokladů a podkladů o užití Filmů dle této smlouvy; Nabyvatel je povinen takovou kontrolu strpět a přiměřeně s NFA spolupracovat, zejména předložit všechny odpovídající doklady a podklady. Kontrola dle tohoto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ustanovení může být uskutečněna maximálně 1x za každých 6 měsíců trvání této smlouvy.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Mlčenlivost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jsou si vědomy skutečnosti, že veškeré údaje, které se dozvědí v rámci této smlouvy nebo v souvislosti s jejím plněním či projednáváním, a které nejsou veřejně dostupné, tvoří ve smyslu § 504 zákona č. 89/2012 Sb., občanského zákoníku v plat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ném znění předmět obchodního tajemství smluvních stran. Nabyvatel bere na vědomí, že NFA považuje za informace tvořící jeho obchodní tajemství například:</w:t>
      </w:r>
    </w:p>
    <w:p w:rsidR="00C76EF9" w:rsidRPr="002A1E8B" w:rsidRDefault="00EF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informace týkající se současné pozice NFA na trhu + vnitřního uspořádání NFA, </w:t>
      </w:r>
    </w:p>
    <w:p w:rsidR="00C76EF9" w:rsidRPr="002A1E8B" w:rsidRDefault="00EF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informace o edičním plánu, marketingových plánech a připravovaných kampaních NFA,</w:t>
      </w:r>
    </w:p>
    <w:p w:rsidR="00C76EF9" w:rsidRPr="002A1E8B" w:rsidRDefault="00EF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informace o nových produktech a službách NFA.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zavazují toto obchodní tajemství zachovávat v naprosté tajnosti a po skončení spolupráce či kdykoliv na poky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druhé smluvní strany ihned a bez výjimky vrátit této druhé smluvní straně jakékoliv a všechny dokumenty toto tajemství obsahující a nedopustit, aby toto obchodní tajemství bylo kdykoli po podpisu této smlouvy prozrazeno jakékoliv nepovolané osobě. Tento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závazek trvá pro smluvní strany i po ukončení platnosti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zavazují toto obchodní tajemství nikdy nevyužít žádným způsobem, přímo ani nepřímo, ve svůj prospěch či jinak než v zájmu spolupráce smluvních stran.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 zavazují, že jakékoli podklady (včetně grafických vyobrazení, log, ochranných známek atd.) získané od druhé smluvní strany či jí pověřené třetí osoby využijí výlučně pro účely plnění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Smluvní pokuty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6EF9" w:rsidRPr="002A1E8B" w:rsidRDefault="00EF50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každém jednotlivém případě, kdy Nabyvatel poruší licenční podmínky specifikované v čl. III. této smlouvy – např. užije Filmy jinými než sjednanými způsoby užití, bude tyto Filmy nabízet nebo umožní jejich užití jiným subjektům, než Provozovatelům, užije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Filmy ve větším územním rozsahu, po uplynutí sjednané doby užití, zhotoví merchandisingové materiály využívající prvky z Filmů aniž si pro to opatří odpovídající dodatečnou licenci, přeruší určitý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Film reklamou bez předchozího souhlasu NFA atd. – je NFA op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rávněn požadovat po Nabyvateli uhrazení smluvní pokuty ve výši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>za každé jednotlivé porušení.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prodlení Nabyvatele se zasláním vyúčtování za podmínek specifikovaných v čl. V. odst. 2 smlouvy, přísluší NFA smluvní pokuta ve výši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denně za každý, byť i započatý den takového prodlení.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případě, že kterákoli ze smluvních stran poruší povinnost mlčenlivosti v čl. VI. smlouvy, přísluší druhé smluvní straně smluvní pokuta ve výši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každém jednotlivém případě.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hradou smluvních pokut není dotčeno právo smluvní strany na náhradu vzniklé újmy v plném rozsahu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VIII.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Zvláštní ujednání o zveřejnění v registru smluv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NFA je osobou, na níž se vztahují povinnosti vyplývající ze zákona č. 340/2015 Sb., o registru smluv (dále jen „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ZoRS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“). Tato smlouva podléhá povinnosti uveřejnění v registru smluv podle ZoRS. Druhá smluvní strana si je vědoma následků této skutečnosti.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K 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uveřejnění této smlouvy v souladu s ust. § 5 ZoRS se zavazuje NFA. Pouze v případě, že by tuto svoji povinnost NFA nesplnil ani do 30 dnů od uzavření této smlouvy, je k uveřejnění smlouvy v registru smluv oprávněna druhá smluvní strana, která je však v tak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ovém případě povinna respektovat zejména ujednání dle následujícího odst. 3 tohoto článku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konstatují, že skutečnosti uvedené ve žlutě označených ustanoveních této smlouvy jsou obchodním tajemstvím ve smyslu ust. § 504 zákona č. 89/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2012 Sb., občanského zákoníku, popř. chráněnými osobními údaji dle Obecného nařízení o ochraně osobních údajů (GDPR), a tato ustanovení budou proto na základě ust. § 3 odst. 1 ZoRS, ve spojení s ust. § 8a a § 9 odst. 1 zákona č. 106/1999 Sb., o svobodném p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řístupu k informacím, zveřejňující smluvní stranou učiněna nečitelnými v rámci registru smluv</w:t>
      </w:r>
      <w:r w:rsidRPr="002A1E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Závěrečná ustanovení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Nabyvatel bere na vědomí a souhlasí s tím, že originál nebo stejnopis této Podlicenční smlouvy může být kdykoliv za účinnosti i po skončení této smlouvy předán </w:t>
      </w:r>
      <w:r w:rsidR="002A1E8B"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xxxxxxxx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Tuto smlouvu lze vypovědět či od ní odstoupit pouze za podmínek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stanovených v obecně závazných předpisech nebo v této smlouvě.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byla sepsána ve dvou vyhotoveních s platností originálu, z nichž každý z účastníků přijímá po jednom.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Účastníci se zavazují, že v případě sporů o obsah a plnění této smlouvy vynaloží veškeré úsilí, které lze spravedlivě požadovat, k tomu, aby tyto spory byly vyřešeny smírnou cestou,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zejména aby byly odstraněny okolnosti vedoucí ke vzniku práva od smlouvy 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dstoupit nebo způsobující její neplatnost.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Pokud by se v důsledku změny právních předpisů nebo jiných důvodů stala některá ujednání této smlouvy neplatnými nebo neúčinnými, budou tato ustanovení uvedena do souladu s právními normami a účastníci prohlašují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uvy obdobně podle § 576 občanského zákoníku.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Tuto smlouvu je možné změnit pouze písemnou formou (za kterou se pro tento účel nepovažuje forma elektronické komunikace), přičemž podpisy zástupců obou stran musí být na téže listině.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Obě smluvní strany prohl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ašují, že jim jakékoli závazky vůči třetím osobám nebrání v uzavření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edaže je ve smlouvě výslovně sjednáno jinak. Vedle shora uvedeného si strany potvrzují, že si nejsou vědomy žádných dosud mezi nimi zavedených obchodních zvyklostí či praxe.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Odpověď strany této smlouvy, podle § 1740 odst. 3 občanského zákoníku, s dodatkem nebo odchylkou, není přijetím nabídky na uzavření této smlouvy, ani když podstatně nemění podmínky nabídky.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Strany výslovně potvrzují, že základní podmínky této smlouvy jsou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výsledkem jednání stran a každá ze stran měla příležitost ovlivnit obsah základních podmínek této smlouvy.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Nedílnou součástí této smlouvy jsou 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Přílohy č. 1-3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Na důkaz porozumění a souhlasu s celým obsahem i jednotlivostmi této smlouvy připojují zde sm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luvní strany své podpisy: 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32" w:type="dxa"/>
        <w:tblInd w:w="0" w:type="dxa"/>
        <w:tblLayout w:type="fixed"/>
        <w:tblLook w:val="0000"/>
      </w:tblPr>
      <w:tblGrid>
        <w:gridCol w:w="4896"/>
        <w:gridCol w:w="4536"/>
      </w:tblGrid>
      <w:tr w:rsidR="00C76EF9" w:rsidRPr="002A1E8B">
        <w:trPr>
          <w:cantSplit/>
          <w:trHeight w:val="4678"/>
          <w:tblHeader/>
        </w:trPr>
        <w:tc>
          <w:tcPr>
            <w:tcW w:w="4896" w:type="dxa"/>
          </w:tcPr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 Praze dne </w:t>
            </w:r>
            <w:r w:rsidR="002A1E8B"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27. 02. 2024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NFA: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Národní filmový archiv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PhDr. Michal Bregant, 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generální ředitel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Praze dne </w:t>
            </w:r>
            <w:r w:rsidR="002A1E8B"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23. 02. 2024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Nabyvatel: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BONTONFILM, a.s.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 Palán, předseda představenstva</w:t>
            </w: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C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BONTONFILM, a.s.</w:t>
            </w:r>
          </w:p>
          <w:p w:rsidR="00C76EF9" w:rsidRPr="002A1E8B" w:rsidRDefault="00EF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 Kantner, člen představenstva</w:t>
            </w:r>
          </w:p>
        </w:tc>
      </w:tr>
    </w:tbl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br w:type="page"/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Příloha č. 1 k Podlicenční smlouvě: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Seznam Filmů a omezení podlicence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Údaje: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6EF9" w:rsidRPr="002A1E8B" w:rsidRDefault="00EF50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AIS číslo</w:t>
      </w:r>
    </w:p>
    <w:p w:rsidR="00C76EF9" w:rsidRPr="002A1E8B" w:rsidRDefault="00EF50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Originální n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ázev filmu</w:t>
      </w:r>
    </w:p>
    <w:p w:rsidR="00C76EF9" w:rsidRPr="002A1E8B" w:rsidRDefault="00EF50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sz w:val="24"/>
          <w:szCs w:val="24"/>
        </w:rPr>
        <w:t>Název filmu v angličtině (pokud existuje)</w:t>
      </w:r>
    </w:p>
    <w:p w:rsidR="00C76EF9" w:rsidRPr="002A1E8B" w:rsidRDefault="00EF50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Režisér</w:t>
      </w:r>
    </w:p>
    <w:p w:rsidR="00C76EF9" w:rsidRPr="002A1E8B" w:rsidRDefault="00EF50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Rok zveřejnění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C76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EF9" w:rsidRPr="002A1E8B" w:rsidRDefault="00C76E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69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86"/>
        <w:gridCol w:w="2597"/>
        <w:gridCol w:w="3079"/>
        <w:gridCol w:w="1925"/>
        <w:gridCol w:w="582"/>
      </w:tblGrid>
      <w:tr w:rsidR="00C76EF9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EF504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AIS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EF504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b/>
                <w:sz w:val="20"/>
                <w:szCs w:val="20"/>
              </w:rPr>
              <w:t>Film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EF504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b/>
                <w:sz w:val="20"/>
                <w:szCs w:val="20"/>
              </w:rPr>
              <w:t>Anglický název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EF504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b/>
                <w:sz w:val="20"/>
                <w:szCs w:val="20"/>
              </w:rPr>
              <w:t>Režie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EF504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</w:tr>
      <w:tr w:rsidR="00C76EF9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2A1E8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2A1E8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2A1E8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2A1E8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76EF9" w:rsidRPr="002A1E8B" w:rsidRDefault="002A1E8B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78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6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lastRenderedPageBreak/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6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540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2A1E8B" w:rsidRPr="002A1E8B" w:rsidTr="002A1E8B">
        <w:trPr>
          <w:cantSplit/>
          <w:trHeight w:val="315"/>
          <w:tblHeader/>
        </w:trPr>
        <w:tc>
          <w:tcPr>
            <w:tcW w:w="886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t>xxxxxx</w:t>
            </w:r>
          </w:p>
        </w:tc>
        <w:tc>
          <w:tcPr>
            <w:tcW w:w="25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307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19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xxxxxxxx</w:t>
            </w:r>
          </w:p>
        </w:tc>
        <w:tc>
          <w:tcPr>
            <w:tcW w:w="58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A1E8B" w:rsidRPr="002A1E8B" w:rsidRDefault="002A1E8B" w:rsidP="00E31BB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A1E8B"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</w:tbl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EF9" w:rsidRPr="002A1E8B" w:rsidRDefault="00EF504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br w:type="page"/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2 k Podlicenční smlouvě: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Požadovaný formát záznamů Filmů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HD Source Profile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Apple ProRes 422 (HQ)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ITU-R BT.709 colorspace, filetaggedcorrectly as 709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VBR expected at ~220 Mbps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1920 x 1080 square pixel aspect ratio material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Nativeframerateoforiginal source: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29.97 interlacedframes per second for video sourced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24 or 25 progressiveframes per se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cond for film sourced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23.976 progressiveframesfor inverse telecinesourcedfrom film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Telecinematerialswill not beaccepted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Contentmaybedeliveredmatted: letterbox, pillarbox, orwindowbox.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SD Source Profile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NTSC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Apple ProRes 422 (HQ)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VBR expected at 40-60 Mbps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720 x 480 or 720 x 486 encodedpixels; for display at either 853 x 480 for 16:9 contentor 640 x 480  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 for 4:3 content. Properlycreated 720 x 486 contentwillhave a minimum of 4 pixelsofblack at the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 top and 2 at thebottom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 Cropvaluesfor top and bottommusttotal at least 6 pixels.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All encodedcontentmustinclude pixel aspect ratio (pasp) thatdefinescontent as either 4:3 or 16:9.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Nativeframerateoforiginal source: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29.97 frames per second video source canbedeliveredinterlac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24 frames per second mustbedeliveredprogressive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23.976 frames per second for inverse telecinemustbedeliveredprogressive; must not bedelivered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 interlacedordeliverywillfail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Telecinematerialswill not beaccepted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Contentmaybedeliveredmatted: letterbox, pillarbox, orwindowbox.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4:3 standard definition video should not bedeliveredanamorphic 16:9 withmatting. Forexample,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 the minimum post-cropped display mustequalorexceed 768 x 576.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PAL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Apple ProRes 422 (HQ)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VBR expected at 40-60 Mbps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720 x 576 encodedpixels; for display at either 1024 x 576 for 16:9 contentor 768 x 576 for 4:3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content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All encodedcontentmustinclude pixel aspect ratio (pasp) thatdefinescontent as either 4:3 or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16:9.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Nativeframerateoforiginal source: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24 and 25 frames per second sourcedfrom film mustbedeliveredprogressive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23.976 frames per second for inverse telecinemustbedeliveredprogressive; must not bedelivered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 interlacedordeliverywillfail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Telecinema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terialswill not beaccepted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Contentmaybedeliveredmatted: letterbox, pillarbox, orwindowbox.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4:3 standard definition video should not bedeliveredanamorphic 16:9 withmatting. Forexample,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 the minimum post-cropped display mustequalorexceed 768 x 576.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fpsinterlaced PAL films are NOT supported.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Audio Source Profile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Forevery film that 5.1 Surround audio isavailable in any competingformator market, itmustbeprovided to Amazon in addition to the stereo tracks.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Surround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LPCM in either Big Endian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orLittleEndian, 16-bit or 24-bit, at least 48kHz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Expectedchannels: L, R, C, LFE, Ls, Rs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Stereo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LPCM in either Big EndianorLittleEndian, 16-bit or 24-bit, at least 48kHz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ExpectedDolby Pro Logicchannels: Lt, Rtorexpected stereo channels: L, R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Audio/Video and Alt-Audio Container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Deliverallcontent in a QuickTime .movfilecontainer.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TheQuickTime .movfileextensionisexpectedforall audio and video content.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Film Poster Art Profile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JPEG with .jpgextension (qualityunconstrained) or PNG with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.pngextension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RGB (screen standard)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1400 x 2100 pixels minimum size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2:3 aspect ratio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Poster art (one-sheet) from film. Mustcontainkey art and title. DVD cover, releasedate, website, or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 promotionaltaggingmay not beincluded.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Poster art must not display film ratings.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increasethesizeof a smaller image to meetthe minimum size standard. Excessivelyblurry   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orpixelatedimageswillberejected.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Important: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CMYK (print standard) imageswill</w:t>
      </w:r>
      <w:r w:rsidRPr="002A1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 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beaccepted.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Subtitles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acc</w:t>
      </w: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eptedfiles .srt, .890, .stl</w:t>
      </w:r>
    </w:p>
    <w:p w:rsidR="00C76EF9" w:rsidRPr="002A1E8B" w:rsidRDefault="00EF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E8B">
        <w:rPr>
          <w:rFonts w:ascii="Times New Roman" w:eastAsia="Times New Roman" w:hAnsi="Times New Roman" w:cs="Times New Roman"/>
          <w:color w:val="000000"/>
          <w:sz w:val="24"/>
          <w:szCs w:val="24"/>
        </w:rPr>
        <w:t>● subtitlesmustmatch to Audio and Video master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76EF9" w:rsidRPr="002A1E8B" w:rsidRDefault="00EF5042">
      <w:pPr>
        <w:rPr>
          <w:rFonts w:ascii="Times New Roman" w:eastAsia="Times New Roman" w:hAnsi="Times New Roman" w:cs="Times New Roman"/>
          <w:b/>
          <w:color w:val="000000"/>
        </w:rPr>
      </w:pPr>
      <w:r w:rsidRPr="002A1E8B">
        <w:br w:type="page"/>
      </w:r>
      <w:r w:rsidRPr="002A1E8B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Příloha č. 3 k Podlicenční smlouvě: </w:t>
      </w:r>
    </w:p>
    <w:p w:rsidR="00C76EF9" w:rsidRPr="002A1E8B" w:rsidRDefault="002A1E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1E8B">
        <w:rPr>
          <w:rFonts w:ascii="Times New Roman" w:eastAsia="Times New Roman" w:hAnsi="Times New Roman" w:cs="Times New Roman"/>
          <w:b/>
          <w:color w:val="000000"/>
        </w:rPr>
        <w:t>xxxxxxxx</w:t>
      </w:r>
    </w:p>
    <w:p w:rsidR="00C76EF9" w:rsidRPr="002A1E8B" w:rsidRDefault="00C76EF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</w:rPr>
      </w:pP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A1E8B">
        <w:rPr>
          <w:rFonts w:ascii="Times New Roman" w:eastAsia="Times New Roman" w:hAnsi="Times New Roman" w:cs="Times New Roman"/>
          <w:b/>
        </w:rPr>
        <w:t>xxxxxxxx</w:t>
      </w: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A1E8B">
        <w:rPr>
          <w:rFonts w:ascii="Times New Roman" w:eastAsia="Times New Roman" w:hAnsi="Times New Roman" w:cs="Times New Roman"/>
          <w:b/>
        </w:rPr>
        <w:t>xxxxxxxxxx</w:t>
      </w: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A1E8B">
        <w:rPr>
          <w:rFonts w:ascii="Times New Roman" w:eastAsia="Times New Roman" w:hAnsi="Times New Roman" w:cs="Times New Roman"/>
          <w:b/>
        </w:rPr>
        <w:t>xxxxxxxxx</w:t>
      </w: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A1E8B">
        <w:rPr>
          <w:rFonts w:ascii="Times New Roman" w:eastAsia="Times New Roman" w:hAnsi="Times New Roman" w:cs="Times New Roman"/>
          <w:b/>
        </w:rPr>
        <w:t>xxxxxxx</w:t>
      </w: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A1E8B">
        <w:rPr>
          <w:rFonts w:ascii="Times New Roman" w:eastAsia="Times New Roman" w:hAnsi="Times New Roman" w:cs="Times New Roman"/>
          <w:b/>
        </w:rPr>
        <w:t>xxxxxxxxx</w:t>
      </w:r>
    </w:p>
    <w:p w:rsidR="00C76EF9" w:rsidRPr="002A1E8B" w:rsidRDefault="002A1E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2A1E8B">
        <w:rPr>
          <w:rFonts w:ascii="Times New Roman" w:eastAsia="Times New Roman" w:hAnsi="Times New Roman" w:cs="Times New Roman"/>
          <w:b/>
        </w:rPr>
        <w:t>xxxxxxxxxx</w:t>
      </w:r>
    </w:p>
    <w:p w:rsidR="00C76EF9" w:rsidRDefault="00C76E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C76EF9" w:rsidSect="00C76EF9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42" w:rsidRDefault="00EF5042" w:rsidP="00C76EF9">
      <w:pPr>
        <w:spacing w:after="0" w:line="240" w:lineRule="auto"/>
      </w:pPr>
      <w:r>
        <w:separator/>
      </w:r>
    </w:p>
  </w:endnote>
  <w:endnote w:type="continuationSeparator" w:id="1">
    <w:p w:rsidR="00EF5042" w:rsidRDefault="00EF5042" w:rsidP="00C7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F9" w:rsidRDefault="00EF50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Stránka </w:t>
    </w:r>
    <w:r w:rsidR="00C76EF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2A1E8B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A1E8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7</w:t>
    </w:r>
    <w:r w:rsidR="00C76EF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z </w:t>
    </w:r>
    <w:r w:rsidR="00C76EF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2A1E8B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A1E8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24</w:t>
    </w:r>
    <w:r w:rsidR="00C76EF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C76EF9" w:rsidRDefault="00C76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C76EF9" w:rsidRDefault="00C76E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42" w:rsidRDefault="00EF5042" w:rsidP="00C76EF9">
      <w:pPr>
        <w:spacing w:after="0" w:line="240" w:lineRule="auto"/>
      </w:pPr>
      <w:r>
        <w:separator/>
      </w:r>
    </w:p>
  </w:footnote>
  <w:footnote w:type="continuationSeparator" w:id="1">
    <w:p w:rsidR="00EF5042" w:rsidRDefault="00EF5042" w:rsidP="00C7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F9" w:rsidRDefault="00EF50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</w:rPr>
      <w:t>POH02749</w:t>
    </w:r>
  </w:p>
  <w:p w:rsidR="00C76EF9" w:rsidRDefault="00C76E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B12"/>
    <w:multiLevelType w:val="multilevel"/>
    <w:tmpl w:val="DBC0062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1">
    <w:nsid w:val="21630B19"/>
    <w:multiLevelType w:val="multilevel"/>
    <w:tmpl w:val="E0B2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220F2"/>
    <w:multiLevelType w:val="multilevel"/>
    <w:tmpl w:val="5D482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DC3086"/>
    <w:multiLevelType w:val="multilevel"/>
    <w:tmpl w:val="60725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4">
    <w:nsid w:val="31A67789"/>
    <w:multiLevelType w:val="multilevel"/>
    <w:tmpl w:val="0B10A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5">
    <w:nsid w:val="36F33D8B"/>
    <w:multiLevelType w:val="multilevel"/>
    <w:tmpl w:val="8CD0B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EC3E84"/>
    <w:multiLevelType w:val="multilevel"/>
    <w:tmpl w:val="058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0D79C7"/>
    <w:multiLevelType w:val="multilevel"/>
    <w:tmpl w:val="15CE07E2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>
    <w:nsid w:val="4ED0568C"/>
    <w:multiLevelType w:val="multilevel"/>
    <w:tmpl w:val="983812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3DD0729"/>
    <w:multiLevelType w:val="multilevel"/>
    <w:tmpl w:val="B62C367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10">
    <w:nsid w:val="61AC42E6"/>
    <w:multiLevelType w:val="multilevel"/>
    <w:tmpl w:val="7E145F5A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>
    <w:nsid w:val="6CC35650"/>
    <w:multiLevelType w:val="multilevel"/>
    <w:tmpl w:val="FA0A1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820" w:hanging="1440"/>
      </w:pPr>
    </w:lvl>
    <w:lvl w:ilvl="7">
      <w:start w:val="1"/>
      <w:numFmt w:val="decimal"/>
      <w:lvlText w:val="%1.%2.%3.%4.%5.%6.%7.%8."/>
      <w:lvlJc w:val="left"/>
      <w:pPr>
        <w:ind w:left="7260" w:hanging="1440"/>
      </w:pPr>
    </w:lvl>
    <w:lvl w:ilvl="8">
      <w:start w:val="1"/>
      <w:numFmt w:val="decimal"/>
      <w:lvlText w:val="%1.%2.%3.%4.%5.%6.%7.%8.%9."/>
      <w:lvlJc w:val="left"/>
      <w:pPr>
        <w:ind w:left="9060" w:hanging="1800"/>
      </w:pPr>
    </w:lvl>
  </w:abstractNum>
  <w:abstractNum w:abstractNumId="12">
    <w:nsid w:val="74B92DD7"/>
    <w:multiLevelType w:val="multilevel"/>
    <w:tmpl w:val="96863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EF9"/>
    <w:rsid w:val="002A1E8B"/>
    <w:rsid w:val="00C76EF9"/>
    <w:rsid w:val="00E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79"/>
  </w:style>
  <w:style w:type="paragraph" w:styleId="Nadpis1">
    <w:name w:val="heading 1"/>
    <w:basedOn w:val="Normln"/>
    <w:next w:val="Normln"/>
    <w:uiPriority w:val="9"/>
    <w:qFormat/>
    <w:rsid w:val="00C76E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C76E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C76E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C76E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C76EF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76E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76EF9"/>
  </w:style>
  <w:style w:type="table" w:customStyle="1" w:styleId="TableNormal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C76EF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76EF9"/>
  </w:style>
  <w:style w:type="table" w:customStyle="1" w:styleId="TableNormal0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C76EF9"/>
  </w:style>
  <w:style w:type="table" w:customStyle="1" w:styleId="TableNormal1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C76EF9"/>
  </w:style>
  <w:style w:type="table" w:customStyle="1" w:styleId="TableNormal2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76E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576F79"/>
  </w:style>
  <w:style w:type="paragraph" w:styleId="Zhlav">
    <w:name w:val="header"/>
    <w:basedOn w:val="Normln"/>
    <w:link w:val="ZhlavChar"/>
    <w:uiPriority w:val="99"/>
    <w:unhideWhenUsed/>
    <w:rsid w:val="00D1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6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6AB"/>
    <w:rPr>
      <w:rFonts w:ascii="Calibri" w:eastAsia="Calibri" w:hAnsi="Calibri" w:cs="Calibri"/>
      <w:lang w:eastAsia="cs-CZ"/>
    </w:rPr>
  </w:style>
  <w:style w:type="paragraph" w:styleId="Podtitul">
    <w:name w:val="Subtitle"/>
    <w:basedOn w:val="normal2"/>
    <w:next w:val="normal2"/>
    <w:rsid w:val="00C76EF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C76E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5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76E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EF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EF9"/>
    <w:rPr>
      <w:sz w:val="16"/>
      <w:szCs w:val="16"/>
    </w:rPr>
  </w:style>
  <w:style w:type="paragraph" w:styleId="Revize">
    <w:name w:val="Revision"/>
    <w:hidden/>
    <w:uiPriority w:val="99"/>
    <w:semiHidden/>
    <w:rsid w:val="00BE6E3C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E3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E6E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4BA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4BA6"/>
    <w:rPr>
      <w:color w:val="605E5C"/>
      <w:shd w:val="clear" w:color="auto" w:fill="E1DFDD"/>
    </w:rPr>
  </w:style>
  <w:style w:type="table" w:customStyle="1" w:styleId="a1">
    <w:basedOn w:val="TableNormal5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4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rsid w:val="00C76EF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rsid w:val="00C76E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C76E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C76E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nXGzGr35Yxx90aYqbpwnpVjPZA==">CgMxLjAyCGguZ2pkZ3hzMgloLjMwajB6bGwyCWguMWZvYjl0ZTIJaC4zem55c2g3OAByITFzaXhYVWF6NDlDbGxaQktLTkx2TkNuU2NlbE9vS1N2NA==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5960</Words>
  <Characters>35164</Characters>
  <Application>Microsoft Office Word</Application>
  <DocSecurity>0</DocSecurity>
  <Lines>293</Lines>
  <Paragraphs>82</Paragraphs>
  <ScaleCrop>false</ScaleCrop>
  <Company>HP Inc.</Company>
  <LinksUpToDate>false</LinksUpToDate>
  <CharactersWithSpaces>41042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Oldřiška Rychtaříková</dc:creator>
  <cp:lastModifiedBy>Hana Soudková</cp:lastModifiedBy>
  <cp:revision>2</cp:revision>
  <dcterms:created xsi:type="dcterms:W3CDTF">2023-08-25T11:39:00Z</dcterms:created>
  <dcterms:modified xsi:type="dcterms:W3CDTF">2024-03-06T12:13:00Z</dcterms:modified>
</cp:coreProperties>
</file>