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Dodatek č. 5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</w:rPr>
        <w:t>k nájemní smlouvě ze dne 20.03.2012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Níže uvedeného dne, měsíce a roku uzavřely smluvní strany: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b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město Domažlice, </w:t>
      </w:r>
      <w:r>
        <w:rPr>
          <w:rFonts w:eastAsia="Times New Roman" w:cs="Times New Roman" w:ascii="Calibri" w:hAnsi="Calibri"/>
          <w:iCs/>
          <w:color w:val="000000"/>
          <w:sz w:val="22"/>
          <w:szCs w:val="22"/>
          <w:shd w:fill="auto" w:val="clear"/>
          <w:lang w:val="cs-CZ" w:eastAsia="zxx" w:bidi="ar-SA"/>
        </w:rPr>
        <w:t>se sídlem náměstí Míru 1, Domažlice - Město, PSČ 344 01, IČ 00253316, DIČ CZ00253316, zastoupené starostou Bc. Stanislavem Antošem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na straně jedné (dále jen </w:t>
      </w:r>
      <w:r>
        <w:rPr>
          <w:rFonts w:eastAsia="Times New Roman" w:cs="Times New Roman" w:ascii="Calibri" w:hAnsi="Calibri"/>
          <w:b/>
          <w:bCs/>
          <w:i/>
          <w:iCs/>
          <w:color w:val="000000"/>
          <w:sz w:val="22"/>
          <w:szCs w:val="22"/>
          <w:shd w:fill="auto" w:val="clear"/>
          <w:lang w:val="cs-CZ" w:eastAsia="zxx" w:bidi="ar-SA"/>
        </w:rPr>
        <w:t>"pronajímatel"</w:t>
      </w: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>)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Cs/>
          <w:color w:val="000000"/>
          <w:sz w:val="22"/>
          <w:szCs w:val="22"/>
          <w:shd w:fill="auto" w:val="clear"/>
          <w:lang w:val="cs-CZ" w:eastAsia="zxx" w:bidi="ar-SA"/>
        </w:rPr>
        <w:t>a</w:t>
      </w:r>
    </w:p>
    <w:p>
      <w:pPr>
        <w:pStyle w:val="Normal"/>
        <w:jc w:val="both"/>
        <w:rPr>
          <w:rFonts w:ascii="Calibri" w:hAnsi="Calibri" w:eastAsia="Times New Roman" w:cs="Times New Roman"/>
          <w:color w:val="auto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cs-CZ" w:eastAsia="zxx" w:bidi="ar-SA"/>
        </w:rPr>
        <w:t>Člověk v tísni, o. p. s.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s-CZ" w:eastAsia="zxx" w:bidi="ar-SA"/>
        </w:rPr>
        <w:t>, se sídlem Šafaříkova 635/24, Praha 2 - Vinohrady, PSČ 120 00, IČ 25755277, DIČ CZ25755277, zastoupená *****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s-CZ" w:eastAsia="zxx" w:bidi="ar-SA"/>
        </w:rPr>
        <w:t xml:space="preserve"> n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s-CZ" w:eastAsia="zxx" w:bidi="ar-SA"/>
        </w:rPr>
        <w:t>a základě plné moci ze dne</w:t>
      </w:r>
      <w:r>
        <w:rPr>
          <w:rStyle w:val="Standardnpsmoodstavce"/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s-CZ" w:eastAsia="zxx" w:bidi="ar-SA"/>
        </w:rPr>
        <w:t xml:space="preserve"> 25.08.2020,</w:t>
      </w:r>
    </w:p>
    <w:p>
      <w:pPr>
        <w:pStyle w:val="Normal"/>
        <w:jc w:val="both"/>
        <w:rPr>
          <w:rFonts w:ascii="Calibri" w:hAnsi="Calibri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s-CZ" w:eastAsia="zxx" w:bidi="ar-SA"/>
        </w:rPr>
        <w:t>kontaktní adresa: Mikulášské nám. 17, 326 00 Plzeň</w:t>
      </w:r>
    </w:p>
    <w:p>
      <w:pPr>
        <w:pStyle w:val="Normal"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eastAsia="Times New Roman" w:cs="Times New Roman" w:ascii="Calibri" w:hAnsi="Calibri"/>
          <w:b w:val="false"/>
          <w:bCs w:val="false"/>
          <w:i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na straně druhé (dále jen </w:t>
      </w:r>
      <w:r>
        <w:rPr>
          <w:rFonts w:eastAsia="Times New Roman" w:cs="Times New Roman" w:ascii="Calibri" w:hAnsi="Calibri"/>
          <w:b/>
          <w:bCs/>
          <w:i/>
          <w:iCs/>
          <w:color w:val="000000"/>
          <w:sz w:val="22"/>
          <w:szCs w:val="22"/>
          <w:shd w:fill="auto" w:val="clear"/>
          <w:lang w:val="cs-CZ" w:eastAsia="zxx" w:bidi="ar-SA"/>
        </w:rPr>
        <w:t>"nájemce"</w:t>
      </w:r>
      <w:r>
        <w:rPr>
          <w:rFonts w:eastAsia="Times New Roman" w:cs="Times New Roman" w:ascii="Calibri" w:hAnsi="Calibri"/>
          <w:b w:val="false"/>
          <w:bCs w:val="false"/>
          <w:i/>
          <w:iCs/>
          <w:color w:val="000000"/>
          <w:sz w:val="22"/>
          <w:szCs w:val="22"/>
          <w:shd w:fill="auto" w:val="clear"/>
          <w:lang w:val="cs-CZ" w:eastAsia="zxx" w:bidi="ar-SA"/>
        </w:rPr>
        <w:t>)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tento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dodatek č. 5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</w:rPr>
        <w:t>k nájemní smlouvě ze dne 20.03.2012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I.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Úvodní</w:t>
      </w: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ustanovení</w:t>
      </w:r>
    </w:p>
    <w:p>
      <w:pPr>
        <w:pStyle w:val="Normlnweb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uzavřely dne </w:t>
      </w:r>
      <w:r>
        <w:rPr>
          <w:rFonts w:ascii="Calibri" w:hAnsi="Calibri"/>
          <w:color w:val="000000"/>
          <w:sz w:val="22"/>
          <w:szCs w:val="22"/>
        </w:rPr>
        <w:t>20.03.2012</w:t>
      </w:r>
      <w:r>
        <w:rPr>
          <w:rFonts w:ascii="Calibri" w:hAnsi="Calibri"/>
          <w:sz w:val="22"/>
          <w:szCs w:val="22"/>
        </w:rPr>
        <w:t xml:space="preserve"> nájemní smlouvu, jejíž předmětem je pronájem částí nebytových prostor v budově č. p. 40, jež je součástí pozemku p. č. st. 187/1 v k. ú. Domažlice, na náměstí Míru v Domažlicích, za účelem </w:t>
      </w:r>
      <w:r>
        <w:rPr>
          <w:rFonts w:eastAsia="Times New Roman" w:ascii="Calibri" w:hAnsi="Calibri"/>
          <w:color w:val="000000"/>
          <w:sz w:val="22"/>
          <w:szCs w:val="22"/>
          <w:shd w:fill="auto" w:val="clear"/>
          <w:lang w:eastAsia="cs-CZ"/>
        </w:rPr>
        <w:t>zřízení kanceláře a konzultační místnosti k výkonu služeb zapsaných v rejstříku obecně prospěšných společností (dále jen "smlouva").</w:t>
      </w:r>
    </w:p>
    <w:p>
      <w:pPr>
        <w:pStyle w:val="Normal"/>
        <w:ind w:left="720" w:right="0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left="720" w:right="0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II.</w:t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Předmět dodatku</w:t>
      </w:r>
    </w:p>
    <w:p>
      <w:pPr>
        <w:pStyle w:val="Normlnweb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Smluvní strany tímto dodatkem sjednávají, že se předmět nájmu s účinností ode dne uzavření tohoto dodatku rozšiřuje, a to tak, že předmětem nájmu dle Smlouvy nadále bude též místnost č. 302 </w:t>
      </w:r>
      <w:r>
        <w:rPr>
          <w:rFonts w:eastAsia="Times New Roman" w:cs="Times New Roman" w:ascii="Calibri" w:hAnsi="Calibri"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o výměře 24,70 m2 v podkroví budovy. </w:t>
      </w:r>
    </w:p>
    <w:p>
      <w:pPr>
        <w:pStyle w:val="Normlnweb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Přílohou č. 1 tohoto dodatku je situační plánek, </w:t>
      </w:r>
      <w:r>
        <w:rPr>
          <w:rFonts w:eastAsia="Times New Roman" w:cs="Times New Roman" w:ascii="Calibri" w:hAnsi="Calibri"/>
          <w:iCs/>
          <w:color w:val="000000"/>
          <w:sz w:val="22"/>
          <w:szCs w:val="22"/>
          <w:shd w:fill="auto" w:val="clear"/>
          <w:lang w:val="cs-CZ" w:eastAsia="zxx" w:bidi="ar-SA"/>
        </w:rPr>
        <w:t>kde je zakreslen předmět nájmu včetně výše uvedeného rozšíření.</w:t>
      </w:r>
    </w:p>
    <w:p>
      <w:pPr>
        <w:pStyle w:val="Normlnweb"/>
        <w:spacing w:before="0" w:after="0"/>
        <w:jc w:val="both"/>
        <w:rPr>
          <w:rFonts w:ascii="Calibri" w:hAnsi="Calibri"/>
          <w:strike/>
          <w:color w:val="000000"/>
          <w:sz w:val="22"/>
          <w:szCs w:val="22"/>
        </w:rPr>
      </w:pPr>
      <w:r>
        <w:rPr>
          <w:rFonts w:ascii="Calibri" w:hAnsi="Calibri"/>
          <w:strike/>
          <w:color w:val="000000"/>
          <w:sz w:val="22"/>
          <w:szCs w:val="22"/>
        </w:rPr>
      </w:r>
    </w:p>
    <w:p>
      <w:pPr>
        <w:pStyle w:val="Normlnweb"/>
        <w:spacing w:before="0" w:after="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V souvislosti se změnou (rozšířením) předmětu nájmu sjednaly smluvní strany i změnu výše nájemného, když za užívání výše uvedené místnosti č. 302 bude nájemce počínaje dnem uzavření tohoto dodatku platit nájemné ve výši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30.233 Kč</w:t>
      </w:r>
      <w:r>
        <w:rPr>
          <w:rFonts w:cs="Calibri" w:ascii="Calibri" w:hAnsi="Calibri"/>
          <w:color w:val="000000"/>
          <w:sz w:val="22"/>
          <w:szCs w:val="22"/>
        </w:rPr>
        <w:t xml:space="preserve"> ročně. Pronajímatel bude nájemci poskytovat ve vztahu k užívání místnosti č. 302 stejná plnění (služby), jako jsou poskytována v souvislosti s užíváním ostatních </w:t>
      </w:r>
      <w:r>
        <w:rPr>
          <w:rFonts w:cs="Calibri" w:ascii="Calibri" w:hAnsi="Calibri"/>
          <w:color w:val="000000"/>
          <w:sz w:val="22"/>
          <w:szCs w:val="22"/>
          <w:shd w:fill="auto" w:val="clear"/>
        </w:rPr>
        <w:t>(dosud pronajatých) prostor. Výše záloh na jednotlivé takto ve vztahu k místnosti č. 302 poskytované služby ke dni uzavření tohoto dodatku činí: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left"/>
        <w:rPr>
          <w:i w:val="false"/>
          <w:i w:val="false"/>
          <w:iCs w:val="false"/>
        </w:rPr>
      </w:pPr>
      <w:r>
        <w:rPr>
          <w:rFonts w:cs="Calibri" w:ascii="Calibri" w:hAnsi="Calibri"/>
          <w:i w:val="false"/>
          <w:iCs w:val="false"/>
          <w:color w:val="000000"/>
          <w:sz w:val="22"/>
          <w:szCs w:val="22"/>
        </w:rPr>
        <w:t>a) Měsíční záloha vodné:</w:t>
        <w:tab/>
        <w:t xml:space="preserve">     </w:t>
        <w:tab/>
        <w:t xml:space="preserve">    290,00 Kč  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left"/>
        <w:rPr>
          <w:i w:val="false"/>
          <w:i w:val="false"/>
          <w:iCs w:val="false"/>
        </w:rPr>
      </w:pPr>
      <w:r>
        <w:rPr>
          <w:rFonts w:cs="Calibri" w:ascii="Calibri" w:hAnsi="Calibri"/>
          <w:i w:val="false"/>
          <w:iCs w:val="false"/>
          <w:color w:val="000000"/>
          <w:sz w:val="22"/>
          <w:szCs w:val="22"/>
        </w:rPr>
        <w:t>b) Měsíční záloha elektřina do spol. částí:</w:t>
        <w:tab/>
        <w:t xml:space="preserve">      40,00 Kč</w:t>
        <w:tab/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left"/>
        <w:rPr>
          <w:i w:val="false"/>
          <w:i w:val="false"/>
          <w:iCs w:val="false"/>
        </w:rPr>
      </w:pPr>
      <w:r>
        <w:rPr>
          <w:rFonts w:cs="Calibri" w:ascii="Calibri" w:hAnsi="Calibri"/>
          <w:i w:val="false"/>
          <w:iCs w:val="false"/>
          <w:color w:val="000000"/>
          <w:sz w:val="22"/>
          <w:szCs w:val="22"/>
        </w:rPr>
        <w:t>c) Měsíční záloha na topení:</w:t>
        <w:tab/>
        <w:t xml:space="preserve">  </w:t>
        <w:tab/>
        <w:t>2.000,00 Kč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left"/>
        <w:rPr>
          <w:i w:val="false"/>
          <w:i w:val="false"/>
          <w:iCs w:val="false"/>
        </w:rPr>
      </w:pPr>
      <w:r>
        <w:rPr>
          <w:rFonts w:cs="Calibri" w:ascii="Calibri" w:hAnsi="Calibri"/>
          <w:i w:val="false"/>
          <w:iCs w:val="false"/>
          <w:color w:val="000000"/>
          <w:sz w:val="22"/>
          <w:szCs w:val="22"/>
        </w:rPr>
        <w:t>d) Měsíční záloha na úklid:</w:t>
        <w:tab/>
        <w:t xml:space="preserve">     </w:t>
        <w:tab/>
        <w:t xml:space="preserve">   190,00 Kč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left"/>
        <w:rPr>
          <w:i w:val="false"/>
          <w:i w:val="false"/>
          <w:iCs w:val="false"/>
        </w:rPr>
      </w:pPr>
      <w:r>
        <w:rPr>
          <w:rFonts w:cs="Calibri" w:ascii="Calibri" w:hAnsi="Calibri"/>
          <w:i w:val="false"/>
          <w:iCs w:val="false"/>
          <w:color w:val="000000"/>
          <w:sz w:val="22"/>
          <w:szCs w:val="22"/>
        </w:rPr>
        <w:t>e) Měsíční záloha na srážkovou vodu:                  50,00 Kč.</w:t>
      </w:r>
    </w:p>
    <w:p>
      <w:pPr>
        <w:pStyle w:val="Normal"/>
        <w:spacing w:before="0" w:after="0"/>
        <w:jc w:val="both"/>
        <w:rPr>
          <w:rFonts w:ascii="Calibri" w:hAnsi="Calibri" w:cs="Calibr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Calibri" w:ascii="Calibri" w:hAnsi="Calibri"/>
          <w:i w:val="false"/>
          <w:iCs w:val="false"/>
          <w:color w:val="000000"/>
          <w:sz w:val="22"/>
          <w:szCs w:val="22"/>
        </w:rPr>
      </w:r>
    </w:p>
    <w:p>
      <w:pPr>
        <w:pStyle w:val="Normlnweb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lnweb"/>
        <w:spacing w:before="0" w:after="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Podle dohody smluvních stran bude nájemce platit nájemné za užívání výše uvedené místnosti č. 302 i zálohy a ostatní úhrady za služby související s jejím užíváním na účet pronajímatele č. 27</w:t>
        <w:noBreakHyphen/>
        <w:t xml:space="preserve">6465380207/0100 </w:t>
      </w:r>
      <w:r>
        <w:rPr>
          <w:rStyle w:val="Platne1"/>
          <w:rFonts w:eastAsia="Times New Roman" w:cs="Times New Roman" w:ascii="Calibri" w:hAnsi="Calibri"/>
          <w:b/>
          <w:bCs/>
          <w:color w:val="000000"/>
          <w:kern w:val="2"/>
          <w:sz w:val="22"/>
          <w:szCs w:val="22"/>
          <w:lang w:bidi="ar-SA"/>
        </w:rPr>
        <w:t>pod variabilním symbolem 304090403</w:t>
      </w:r>
      <w:r>
        <w:rPr>
          <w:rStyle w:val="Platne1"/>
          <w:rFonts w:eastAsia="Times New Roman" w:cs="Times New Roman" w:ascii="Calibri" w:hAnsi="Calibri"/>
          <w:color w:val="000000"/>
          <w:kern w:val="2"/>
          <w:sz w:val="22"/>
          <w:szCs w:val="22"/>
          <w:lang w:bidi="ar-SA"/>
        </w:rPr>
        <w:t xml:space="preserve"> (POZOR, jde o odlišný variabilní symbol od plateb za ostatní části předmětu nájmu!).</w:t>
      </w:r>
    </w:p>
    <w:p>
      <w:pPr>
        <w:pStyle w:val="Normlnweb"/>
        <w:spacing w:before="0" w:after="0"/>
        <w:jc w:val="both"/>
        <w:rPr>
          <w:rStyle w:val="Platne1"/>
          <w:rFonts w:ascii="Calibri" w:hAnsi="Calibri" w:eastAsia="Times New Roman" w:cs="Times New Roman"/>
          <w:color w:val="000000"/>
          <w:kern w:val="2"/>
          <w:sz w:val="22"/>
          <w:szCs w:val="22"/>
          <w:lang w:bidi="ar-SA"/>
        </w:rPr>
      </w:pPr>
      <w:r>
        <w:rPr>
          <w:rFonts w:eastAsia="Times New Roman" w:cs="Times New Roman" w:ascii="Calibri" w:hAnsi="Calibri"/>
          <w:color w:val="000000"/>
          <w:kern w:val="2"/>
          <w:sz w:val="22"/>
          <w:szCs w:val="22"/>
          <w:lang w:bidi="ar-SA"/>
        </w:rPr>
      </w:r>
    </w:p>
    <w:p>
      <w:pPr>
        <w:pStyle w:val="Normlnweb"/>
        <w:spacing w:before="0" w:after="0"/>
        <w:jc w:val="both"/>
        <w:rPr/>
      </w:pPr>
      <w:r>
        <w:rPr>
          <w:rStyle w:val="Platne1"/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eastAsia="zxx" w:bidi="ar-SA"/>
        </w:rPr>
        <w:t>Ohledně možnosti navýšit nájemné (valorizace) a změnit výši záloh, resp. úhrad za služby, se plně uplatní ujednání ve smlouvě.</w:t>
      </w:r>
    </w:p>
    <w:p>
      <w:pPr>
        <w:pStyle w:val="Normlnweb"/>
        <w:widowControl w:val="false"/>
        <w:suppressAutoHyphens w:val="true"/>
        <w:overflowPunct w:val="true"/>
        <w:bidi w:val="0"/>
        <w:spacing w:before="0" w:after="0"/>
        <w:ind w:left="567" w:right="0" w:hanging="0"/>
        <w:jc w:val="both"/>
        <w:rPr>
          <w:rStyle w:val="Platne1"/>
          <w:rFonts w:ascii="Calibri" w:hAnsi="Calibri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</w:r>
    </w:p>
    <w:p>
      <w:pPr>
        <w:pStyle w:val="Normlnweb"/>
        <w:spacing w:before="0" w:after="0"/>
        <w:jc w:val="both"/>
        <w:rPr/>
      </w:pPr>
      <w:r>
        <w:rPr>
          <w:rStyle w:val="Platne1"/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  <w:t xml:space="preserve">Zároveň smluvní strany tímto dodatkem sjednávají změnu výše kauce uvedené v článku III. odstavec 5 smlouvy, jejíž výše ode dne uzavření tohoto dodatku činí </w:t>
      </w:r>
      <w:r>
        <w:rPr>
          <w:rStyle w:val="Platne1"/>
          <w:rFonts w:eastAsia="Times New Roman" w:cs="Times New Roman" w:ascii="Calibri" w:hAnsi="Calibri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  <w:t>28.925 Kč</w:t>
      </w:r>
      <w:r>
        <w:rPr>
          <w:rStyle w:val="Platne1"/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  <w:t xml:space="preserve">. Rozdíl mezi novou výší kauce a již zaplacenou kaucí, tj. 10.077 Kč je nájemce povinen uhradit pronajímateli nejpozději do jednoho měsíce ode dne uzavření tohoto dodatku na stejný účet a pod stejným </w:t>
      </w:r>
      <w:r>
        <w:rPr>
          <w:rStyle w:val="Platne1"/>
          <w:rFonts w:eastAsia="Times New Roman" w:cs="Times New Roman" w:ascii="Calibri" w:hAnsi="Calibri"/>
          <w:b w:val="false"/>
          <w:bCs w:val="false"/>
          <w:iCs/>
          <w:color w:val="000000"/>
          <w:kern w:val="2"/>
          <w:sz w:val="22"/>
          <w:szCs w:val="22"/>
          <w:shd w:fill="auto" w:val="clear"/>
          <w:lang w:val="cs-CZ" w:eastAsia="zxx" w:bidi="ar-SA"/>
        </w:rPr>
        <w:t>variabilním symbolem, které jsou uvedeny v čl. III odst. 5 smlouvy.</w:t>
      </w:r>
    </w:p>
    <w:p>
      <w:pPr>
        <w:pStyle w:val="Normlnweb"/>
        <w:spacing w:before="0" w:after="0"/>
        <w:jc w:val="both"/>
        <w:rPr>
          <w:rFonts w:ascii="Calibri" w:hAnsi="Calibri"/>
          <w:b/>
          <w:b/>
          <w:bCs/>
          <w:color w:val="000000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bCs/>
          <w:color w:val="000000"/>
          <w:sz w:val="22"/>
          <w:szCs w:val="22"/>
          <w:shd w:fill="auto" w:val="clear"/>
        </w:rPr>
      </w:r>
    </w:p>
    <w:p>
      <w:pPr>
        <w:pStyle w:val="Normlnweb"/>
        <w:spacing w:before="0" w:after="0"/>
        <w:jc w:val="both"/>
        <w:rPr>
          <w:rFonts w:ascii="Calibri" w:hAnsi="Calibri"/>
          <w:b/>
          <w:b/>
          <w:bCs/>
          <w:color w:val="000000"/>
          <w:sz w:val="22"/>
          <w:szCs w:val="22"/>
          <w:shd w:fill="auto" w:val="clear"/>
        </w:rPr>
      </w:pPr>
      <w:r>
        <w:rPr>
          <w:rFonts w:ascii="Calibri" w:hAnsi="Calibri"/>
          <w:b/>
          <w:bCs/>
          <w:color w:val="000000"/>
          <w:sz w:val="22"/>
          <w:szCs w:val="22"/>
          <w:shd w:fill="auto" w:val="clear"/>
        </w:rPr>
      </w:r>
    </w:p>
    <w:p>
      <w:pPr>
        <w:pStyle w:val="Normlnweb"/>
        <w:spacing w:before="0" w:after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III.</w:t>
      </w:r>
    </w:p>
    <w:p>
      <w:pPr>
        <w:pStyle w:val="Normlnweb"/>
        <w:spacing w:before="0" w:after="0"/>
        <w:ind w:left="363" w:right="0" w:hanging="363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Závěrečná ustanovení dodatku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357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Ustanovení smlouvy, která nejsou tímto dodatkem výslovně dotčena, </w:t>
      </w:r>
      <w:r>
        <w:rPr>
          <w:rFonts w:eastAsia="Times New Roman" w:ascii="Calibri" w:hAnsi="Calibri"/>
          <w:color w:val="000000"/>
          <w:sz w:val="22"/>
          <w:szCs w:val="22"/>
        </w:rPr>
        <w:t>se nemění a zůstávají nadále v účinnosti.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Nájemce souhlasí s tím, aby </w:t>
      </w:r>
      <w:r>
        <w:rPr>
          <w:rFonts w:ascii="Calibri" w:hAnsi="Calibri"/>
          <w:sz w:val="22"/>
          <w:szCs w:val="22"/>
        </w:rPr>
        <w:t>pronajímatel uveřejnil tento dodatek včetně všech dodatků dříve uzavřených, včetně smlouvy, ke které se předmětné dodatky vztahují, včetně všech příloh, a to i způsobem umožňujícím dálkový přístup (prostřednictvím internetu). Nájemce uděluje tento souhlas zejména pro situaci, kdy povinnost zveřejnit smlouvu vyplývá pronajímateli z platných právních předpisů (zákon o zvláštních podmínkách účinnosti některých smluv, uveřejňování těchto smluv a o registru smluv). Smluvní strany prohlašují, že tento dodatek ani žádná z jeho příloh neobsahuje žádnou skutečnost, kterou by chránily jako své obchodní tajemství, ani jiné informace, které vyžadují zvláštní způsob ochrany. Toto ujednání platí i pro další změny (dodatky), včetně smlouvy.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357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Tento dodatek je vyhotoven  ve třech stejnopisech, z nichž každá ze smluvních stran obdrží po jednom vyhotovení, jedno vyhotovení obdrží správce nemovitosti.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357" w:leader="none"/>
        </w:tabs>
        <w:spacing w:before="0" w:after="0"/>
        <w:ind w:left="363" w:right="0" w:hanging="36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Tento dodatek je projevem pravé, svobodné a vážné vůle jeho účastníků, prosté veškerého jejich omylu, nebyl uzavřen v tísni za nápadně nevýhodných podmínek, na důkaz čehož připojují účastníci prostřednictvím svých zástupců své vlastnoruční podpisy.</w:t>
      </w:r>
    </w:p>
    <w:p>
      <w:pPr>
        <w:pStyle w:val="Normlnweb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lnweb"/>
        <w:spacing w:before="0" w:after="0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</w:rPr>
        <w:t>Příloha č. 1: situační plánky se zakreslením předmětu nájmu.</w:t>
      </w:r>
    </w:p>
    <w:p>
      <w:pPr>
        <w:pStyle w:val="Normlnweb"/>
        <w:spacing w:before="0" w:after="0"/>
        <w:jc w:val="both"/>
        <w:rPr>
          <w:rFonts w:ascii="Calibri" w:hAnsi="Calibri"/>
          <w:color w:val="000000"/>
          <w:sz w:val="22"/>
          <w:szCs w:val="22"/>
          <w:highlight w:val="none"/>
          <w:shd w:fill="FFFF00" w:val="clear"/>
        </w:rPr>
      </w:pPr>
      <w:r>
        <w:rPr>
          <w:rFonts w:ascii="Calibri" w:hAnsi="Calibri"/>
          <w:color w:val="000000"/>
          <w:sz w:val="22"/>
          <w:szCs w:val="22"/>
          <w:shd w:fill="FFFF00" w:val="clear"/>
        </w:rPr>
      </w:r>
    </w:p>
    <w:p>
      <w:pPr>
        <w:pStyle w:val="Normlnweb"/>
        <w:spacing w:before="0" w:after="0"/>
        <w:jc w:val="both"/>
        <w:rPr>
          <w:rFonts w:ascii="Calibri" w:hAnsi="Calibri"/>
          <w:color w:val="000000"/>
          <w:sz w:val="22"/>
          <w:szCs w:val="22"/>
          <w:highlight w:val="none"/>
          <w:shd w:fill="FFFF00" w:val="clear"/>
        </w:rPr>
      </w:pPr>
      <w:r>
        <w:rPr>
          <w:rFonts w:ascii="Calibri" w:hAnsi="Calibri"/>
          <w:color w:val="000000"/>
          <w:sz w:val="22"/>
          <w:szCs w:val="22"/>
          <w:shd w:fill="FFFF00" w:val="clear"/>
        </w:rPr>
      </w:r>
    </w:p>
    <w:p>
      <w:pPr>
        <w:pStyle w:val="Normal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>Domažlice 06.03.2024</w:t>
        <w:tab/>
        <w:tab/>
        <w:tab/>
        <w:t>Plzeň 19.01.2024</w:t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 xml:space="preserve">___________________          </w:t>
        <w:tab/>
        <w:tab/>
        <w:t>____________________</w:t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 xml:space="preserve">pronajímatel     </w:t>
        <w:tab/>
        <w:tab/>
        <w:tab/>
        <w:t xml:space="preserve">nájemce </w:t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>město Domažlice</w:t>
        <w:tab/>
        <w:tab/>
        <w:tab/>
        <w:t>Člověk v tísni, o. p. s.</w:t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>Bc. Stanislav Antoš, starosta</w:t>
        <w:tab/>
        <w:tab/>
        <w:t>*****</w:t>
      </w:r>
    </w:p>
    <w:p>
      <w:pPr>
        <w:pStyle w:val="Normal"/>
        <w:spacing w:lineRule="atLeast" w:line="100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Calibri" w:hAnsi="Calibri"/>
          <w:b/>
          <w:bCs/>
          <w:color w:val="000000"/>
          <w:sz w:val="22"/>
          <w:szCs w:val="22"/>
        </w:rPr>
        <w:t>Doložka</w:t>
      </w:r>
    </w:p>
    <w:p>
      <w:pPr>
        <w:pStyle w:val="Normal"/>
        <w:jc w:val="center"/>
        <w:rPr>
          <w:rFonts w:ascii="Calibri" w:hAnsi="Calibri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Calibri" w:hAnsi="Calibri"/>
          <w:b/>
          <w:bCs/>
          <w:color w:val="000000"/>
          <w:sz w:val="22"/>
          <w:szCs w:val="22"/>
        </w:rPr>
        <w:t>podle § 41 zákona č. 128/2000 Sb., ve znění změn a doplňků</w:t>
      </w:r>
    </w:p>
    <w:p>
      <w:pPr>
        <w:pStyle w:val="Normal"/>
        <w:jc w:val="both"/>
        <w:rPr>
          <w:rFonts w:ascii="Calibri" w:hAnsi="Calibri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1134"/>
          <w:tab w:val="left" w:pos="532" w:leader="none"/>
        </w:tabs>
        <w:spacing w:before="0" w:after="113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>Město Domažlice ve smyslu ust. § 41 zákona č. 128/2000 Sb., o obcích, v platném znění, tímto potvrzuje, že u právních jednání obsažených v tomto dodatku byly ze strany města Domažlice splněny veškeré zákonem č. 128/2000 Sb., v platném znění či jinými obecně závaznými právními předpisy stanovené podmínky ve formě předchozího zveřejnění, schválení či odsouhlasení příslušným orgánem města, které jsou obligatorní pro platnost tohoto právního jednání.</w:t>
      </w:r>
    </w:p>
    <w:p>
      <w:pPr>
        <w:pStyle w:val="Normal"/>
        <w:tabs>
          <w:tab w:val="clear" w:pos="1134"/>
          <w:tab w:val="left" w:pos="532" w:leader="none"/>
        </w:tabs>
        <w:spacing w:before="0" w:after="113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 xml:space="preserve">Záměr pronajmout část nebytových prostor byl zveřejněn na úřední desce Městského úřadu v Domažlicích v době od 20.10.2023 do 19.01.2024; v téže době byl rovněž zveřejněn způsobem umožňujícím dálkový přístup na internetové stránce města </w:t>
      </w:r>
      <w:r>
        <w:rPr>
          <w:rFonts w:eastAsia="Times New Roman" w:cs="Times New Roman" w:ascii="Calibri" w:hAnsi="Calibri"/>
          <w:color w:val="000000"/>
          <w:sz w:val="22"/>
          <w:szCs w:val="22"/>
          <w:u w:val="single"/>
          <w:shd w:fill="auto" w:val="clear"/>
          <w:lang w:val="cs-CZ" w:eastAsia="zxx" w:bidi="ar-SA"/>
        </w:rPr>
        <w:t xml:space="preserve">www.domazlice.eu </w:t>
      </w: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 xml:space="preserve">(v rubrice "úřední deska"). </w:t>
      </w:r>
    </w:p>
    <w:p>
      <w:pPr>
        <w:pStyle w:val="Normal"/>
        <w:jc w:val="both"/>
        <w:rPr>
          <w:rFonts w:ascii="Calibri" w:hAnsi="Calibri" w:eastAsia="Times New Roman" w:cs="Times New Roman"/>
          <w:color w:val="auto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>Pronájem části nebytových prostor a uzavření dodatku č. 5 k nájemní smlouvě schválila rada města na své 40. schůzi konané dne 16.01.2024 usnesením č. 1570.</w:t>
      </w:r>
    </w:p>
    <w:p>
      <w:pPr>
        <w:pStyle w:val="Normal"/>
        <w:jc w:val="both"/>
        <w:rPr>
          <w:rFonts w:ascii="Calibri" w:hAnsi="Calibri" w:eastAsia="Times New Roman" w:cs="Times New Roman"/>
          <w:color w:val="auto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auto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auto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auto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>_________________________</w:t>
      </w: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eastAsia="Times New Roman" w:cs="Times New Roman" w:ascii="Calibri" w:hAnsi="Calibri"/>
          <w:color w:val="000000"/>
          <w:sz w:val="22"/>
          <w:szCs w:val="22"/>
        </w:rPr>
        <w:tab/>
        <w:t xml:space="preserve">           </w:t>
      </w:r>
      <w:r>
        <w:rPr>
          <w:rFonts w:ascii="Calibri" w:hAnsi="Calibri"/>
          <w:color w:val="000000"/>
          <w:sz w:val="22"/>
          <w:szCs w:val="22"/>
        </w:rPr>
        <w:tab/>
        <w:t>město</w:t>
      </w: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Domažlice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ab/>
        <w:tab/>
        <w:tab/>
        <w:tab/>
        <w:t>Bc. Stanislav Antoš, starosta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Bookman Old Style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Nimbus Roman No9 L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horndale AMT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1134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Arial"/>
      <w:color w:val="auto"/>
      <w:kern w:val="0"/>
      <w:sz w:val="24"/>
      <w:szCs w:val="24"/>
      <w:lang w:val="cs-CZ" w:eastAsia="zh-CN" w:bidi="cs-CZ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5z0">
    <w:name w:val="WW8Num5z0"/>
    <w:qFormat/>
    <w:rPr>
      <w:b w:val="false"/>
    </w:rPr>
  </w:style>
  <w:style w:type="character" w:styleId="WW8Num7z0">
    <w:name w:val="WW8Num7z0"/>
    <w:qFormat/>
    <w:rPr>
      <w:rFonts w:ascii="Arial" w:hAnsi="Arial" w:eastAsia="Arial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9z0">
    <w:name w:val="WW8Num9z0"/>
    <w:qFormat/>
    <w:rPr>
      <w:b w:val="false"/>
    </w:rPr>
  </w:style>
  <w:style w:type="character" w:styleId="Standardnpsmoodstavce">
    <w:name w:val="Standardní písmo odstavce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Standardnpsmoodstavce5">
    <w:name w:val="Standardní písmo odstavce5"/>
    <w:qFormat/>
    <w:rPr/>
  </w:style>
  <w:style w:type="character" w:styleId="Standardnpsmoodstavce4">
    <w:name w:val="Standardní písmo odstavce4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Standardnpsmoodstavce3">
    <w:name w:val="Standardní písmo odstavce3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Standardnpsmoodstavce2">
    <w:name w:val="Standardní písmo odstavce2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Standardnpsmoodstavce1">
    <w:name w:val="Standardní písmo odstavce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8Num2z0">
    <w:name w:val="WW8Num2z0"/>
    <w:qFormat/>
    <w:rPr>
      <w:rFonts w:ascii="Bookman Old Style" w:hAnsi="Bookman Old Style" w:cs="Bookman Old Style"/>
      <w:color w:val="000000"/>
    </w:rPr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8Num4z0">
    <w:name w:val="WW8Num4z0"/>
    <w:qFormat/>
    <w:rPr>
      <w:rFonts w:ascii="Bookman Old Style" w:hAnsi="Bookman Old Style" w:cs="Bookman Old Style"/>
      <w:color w:val="000000"/>
    </w:rPr>
  </w:style>
  <w:style w:type="character" w:styleId="Platne1">
    <w:name w:val="platne1"/>
    <w:qFormat/>
    <w:rPr>
      <w:rFonts w:ascii="Nimbus Roman No9 L;Times New Roman" w:hAnsi="Nimbus Roman No9 L;Times New Roman" w:eastAsia="Nimbus Roman No9 L;Times New Roman" w:cs="Nimbus Roman No9 L;Times New Roman"/>
      <w:color w:val="auto"/>
      <w:sz w:val="24"/>
      <w:szCs w:val="24"/>
      <w:lang w:val="cs-CZ"/>
    </w:rPr>
  </w:style>
  <w:style w:type="character" w:styleId="TextbublinyChar">
    <w:name w:val="Text bubliny Char"/>
    <w:qFormat/>
    <w:rPr>
      <w:rFonts w:ascii="Tahoma" w:hAnsi="Tahoma" w:eastAsia="Arial" w:cs="Tahoma"/>
      <w:sz w:val="16"/>
      <w:szCs w:val="16"/>
      <w:lang w:eastAsia="zh-CN" w:bidi="cs-CZ"/>
    </w:rPr>
  </w:style>
  <w:style w:type="character" w:styleId="Appleconvertedspace">
    <w:name w:val="apple-converted-space"/>
    <w:qFormat/>
    <w:rPr/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imes New Roman" w:hAnsi="Times New Roman" w:eastAsia="Arial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ascii="Times New Roman" w:hAnsi="Times New Roman" w:cs="Times New Roma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2">
    <w:name w:val="Titulek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Zhlavazpat">
    <w:name w:val="Záhlaví a zápatí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WWVchoz">
    <w:name w:val="WW-Výchozí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;Times New Roman" w:hAnsi="Times;Times New Roman" w:eastAsia="Arial" w:cs="Times;Times New Roman"/>
      <w:color w:val="000000"/>
      <w:kern w:val="0"/>
      <w:sz w:val="24"/>
      <w:szCs w:val="20"/>
      <w:lang w:val="cs-CZ" w:eastAsia="zh-CN" w:bidi="ar-SA"/>
    </w:rPr>
  </w:style>
  <w:style w:type="paragraph" w:styleId="Zkladntextodsazen21">
    <w:name w:val="Základní text odsazený 21"/>
    <w:basedOn w:val="Normal"/>
    <w:qFormat/>
    <w:pPr>
      <w:spacing w:before="0" w:after="0"/>
      <w:ind w:left="360" w:right="0" w:hanging="0"/>
      <w:jc w:val="both"/>
    </w:pPr>
    <w:rPr>
      <w:rFonts w:ascii="Bookman Old Style" w:hAnsi="Bookman Old Style" w:cs="Bookman Old Style"/>
      <w:sz w:val="20"/>
    </w:rPr>
  </w:style>
  <w:style w:type="paragraph" w:styleId="Obsahtabulky">
    <w:name w:val="Obsah tabulky"/>
    <w:basedOn w:val="Normal"/>
    <w:qFormat/>
    <w:pPr>
      <w:suppressLineNumbers/>
      <w:spacing w:before="0" w:after="119"/>
    </w:pPr>
    <w:rPr/>
  </w:style>
  <w:style w:type="paragraph" w:styleId="Zhlav">
    <w:name w:val="Header"/>
    <w:basedOn w:val="Normal"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Normlnweb">
    <w:name w:val="Normální (web)"/>
    <w:basedOn w:val="Normal"/>
    <w:qFormat/>
    <w:pPr>
      <w:spacing w:before="280" w:after="119"/>
    </w:pPr>
    <w:rPr>
      <w:rFonts w:eastAsia="Times New Roman" w:cs="Times New Roman"/>
      <w:szCs w:val="24"/>
    </w:rPr>
  </w:style>
  <w:style w:type="paragraph" w:styleId="Muj">
    <w:name w:val="muj"/>
    <w:basedOn w:val="Normal"/>
    <w:qFormat/>
    <w:pPr>
      <w:widowControl/>
      <w:suppressAutoHyphens w:val="false"/>
      <w:jc w:val="both"/>
    </w:pPr>
    <w:rPr>
      <w:rFonts w:eastAsia="Times New Roman" w:cs="Times New Roman"/>
      <w:szCs w:val="20"/>
      <w:lang w:bidi="ar-SA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Nadpislnku">
    <w:name w:val="Nadpis článku"/>
    <w:basedOn w:val="Normal"/>
    <w:next w:val="NormlnS"/>
    <w:qFormat/>
    <w:pPr>
      <w:keepNext w:val="true"/>
      <w:widowControl/>
      <w:numPr>
        <w:ilvl w:val="0"/>
        <w:numId w:val="1"/>
      </w:numPr>
      <w:suppressAutoHyphens w:val="false"/>
      <w:spacing w:before="240" w:after="240"/>
      <w:jc w:val="center"/>
    </w:pPr>
    <w:rPr>
      <w:rFonts w:ascii="Arial" w:hAnsi="Arial" w:eastAsia="Times New Roman" w:cs="Times New Roman"/>
      <w:b/>
      <w:sz w:val="18"/>
      <w:lang w:bidi="ar-SA"/>
    </w:rPr>
  </w:style>
  <w:style w:type="paragraph" w:styleId="NormlnS">
    <w:name w:val="Normální ČS"/>
    <w:basedOn w:val="Normal"/>
    <w:qFormat/>
    <w:pPr>
      <w:keepNext w:val="true"/>
      <w:widowControl/>
      <w:suppressAutoHyphens w:val="false"/>
      <w:spacing w:before="0" w:after="120"/>
      <w:jc w:val="both"/>
      <w:outlineLvl w:val="1"/>
    </w:pPr>
    <w:rPr>
      <w:rFonts w:ascii="Arial" w:hAnsi="Arial" w:eastAsia="Times New Roman" w:cs="Times New Roman"/>
      <w:sz w:val="18"/>
      <w:lang w:bidi="ar-SA"/>
    </w:rPr>
  </w:style>
  <w:style w:type="paragraph" w:styleId="Nadpissmlouvy">
    <w:name w:val="Nadpis smlouvy"/>
    <w:basedOn w:val="Normal"/>
    <w:next w:val="NormlnSpodnadpisem"/>
    <w:qFormat/>
    <w:pPr>
      <w:keepNext w:val="true"/>
      <w:widowControl/>
      <w:suppressAutoHyphens w:val="false"/>
      <w:spacing w:before="120" w:after="240"/>
      <w:jc w:val="center"/>
    </w:pPr>
    <w:rPr>
      <w:rFonts w:ascii="Arial" w:hAnsi="Arial" w:eastAsia="Times New Roman" w:cs="Times New Roman"/>
      <w:b/>
      <w:caps/>
      <w:sz w:val="32"/>
      <w:lang w:bidi="ar-SA"/>
    </w:rPr>
  </w:style>
  <w:style w:type="paragraph" w:styleId="NormlnSpodnadpisem">
    <w:name w:val="Normální ČS pod nadpisem"/>
    <w:basedOn w:val="Normal"/>
    <w:next w:val="NormlnS"/>
    <w:qFormat/>
    <w:pPr>
      <w:keepNext w:val="true"/>
      <w:widowControl/>
      <w:suppressAutoHyphens w:val="false"/>
      <w:spacing w:before="0" w:after="120"/>
      <w:jc w:val="center"/>
    </w:pPr>
    <w:rPr>
      <w:rFonts w:ascii="Arial" w:hAnsi="Arial" w:eastAsia="Times New Roman" w:cs="Times New Roman"/>
      <w:sz w:val="18"/>
      <w:lang w:bidi="ar-SA"/>
    </w:rPr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horndale AMT;Times New Roman" w:hAnsi="Thorndale AMT;Times New Roman" w:eastAsia="Times New Roman" w:cs="Times New Roman"/>
      <w:color w:val="auto"/>
      <w:kern w:val="2"/>
      <w:sz w:val="24"/>
      <w:szCs w:val="20"/>
      <w:lang w:val="cs-CZ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cs-CZ" w:eastAsia="cs-CZ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542</TotalTime>
  <Application>LibreOffice/7.2.6.2$Windows_X86_64 LibreOffice_project/b0ec3a565991f7569a5a7f5d24fed7f52653d754</Application>
  <AppVersion>15.0000</AppVersion>
  <Pages>3</Pages>
  <Words>833</Words>
  <Characters>4753</Characters>
  <CharactersWithSpaces>5789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2014-10-14T06:48:00Z</dcterms:created>
  <dc:creator>gudrun</dc:creator>
  <dc:description/>
  <dc:language>cs-CZ</dc:language>
  <cp:lastModifiedBy/>
  <cp:lastPrinted>2023-06-15T13:47:00Z</cp:lastPrinted>
  <dcterms:modified xsi:type="dcterms:W3CDTF">2024-03-06T11:55:01Z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