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F2D1" w14:textId="7026C5FE" w:rsidR="0058134D" w:rsidRPr="00DA6914" w:rsidRDefault="0058134D" w:rsidP="0058134D">
      <w:pPr>
        <w:pStyle w:val="Nadpis1"/>
        <w:numPr>
          <w:ilvl w:val="0"/>
          <w:numId w:val="0"/>
        </w:numPr>
        <w:ind w:left="709"/>
        <w:jc w:val="center"/>
        <w:rPr>
          <w:szCs w:val="22"/>
        </w:rPr>
      </w:pPr>
      <w:bookmarkStart w:id="0" w:name="_Hlk64790973"/>
    </w:p>
    <w:p w14:paraId="3648FB91" w14:textId="6449929D" w:rsidR="00572EA7" w:rsidRPr="00DA6914" w:rsidRDefault="00572EA7" w:rsidP="00572EA7">
      <w:pPr>
        <w:jc w:val="center"/>
        <w:rPr>
          <w:b/>
          <w:bCs/>
          <w:szCs w:val="22"/>
        </w:rPr>
      </w:pPr>
      <w:r w:rsidRPr="00DA6914">
        <w:rPr>
          <w:b/>
          <w:bCs/>
          <w:szCs w:val="22"/>
        </w:rPr>
        <w:t xml:space="preserve">DODATEK Č. 1 KE SMLOUVĚ O POSKYTOVÁNÍ </w:t>
      </w:r>
      <w:r w:rsidR="00D65D55">
        <w:rPr>
          <w:b/>
          <w:bCs/>
          <w:szCs w:val="22"/>
        </w:rPr>
        <w:t>PRÁVNÍCH</w:t>
      </w:r>
      <w:r w:rsidRPr="00DA6914">
        <w:rPr>
          <w:b/>
          <w:bCs/>
          <w:szCs w:val="22"/>
        </w:rPr>
        <w:t xml:space="preserve"> SLUŽEB </w:t>
      </w:r>
    </w:p>
    <w:p w14:paraId="30723D0D" w14:textId="12984BE7" w:rsidR="00572EA7" w:rsidRPr="00DA6914" w:rsidRDefault="00572EA7" w:rsidP="00572EA7">
      <w:pPr>
        <w:jc w:val="center"/>
        <w:rPr>
          <w:b/>
          <w:bCs/>
          <w:szCs w:val="22"/>
        </w:rPr>
      </w:pPr>
      <w:r w:rsidRPr="00DA6914">
        <w:rPr>
          <w:b/>
          <w:bCs/>
          <w:szCs w:val="22"/>
        </w:rPr>
        <w:t xml:space="preserve">Č. </w:t>
      </w:r>
      <w:r w:rsidR="00D65D55" w:rsidRPr="00D65D55">
        <w:rPr>
          <w:b/>
          <w:bCs/>
          <w:szCs w:val="22"/>
        </w:rPr>
        <w:t>6/23/1400/002</w:t>
      </w:r>
    </w:p>
    <w:p w14:paraId="2703E827" w14:textId="77777777" w:rsidR="00572EA7" w:rsidRPr="00DA6914" w:rsidRDefault="00572EA7" w:rsidP="00572EA7">
      <w:pPr>
        <w:jc w:val="center"/>
        <w:rPr>
          <w:b/>
          <w:bCs/>
          <w:szCs w:val="22"/>
        </w:rPr>
      </w:pPr>
    </w:p>
    <w:p w14:paraId="08D52155" w14:textId="31766703" w:rsidR="00572EA7" w:rsidRPr="00DA6914" w:rsidRDefault="00572EA7" w:rsidP="0058134D">
      <w:pPr>
        <w:keepNext/>
        <w:keepLines/>
        <w:jc w:val="center"/>
        <w:rPr>
          <w:rFonts w:cs="Arial"/>
          <w:szCs w:val="22"/>
        </w:rPr>
      </w:pPr>
      <w:r w:rsidRPr="00DA6914">
        <w:rPr>
          <w:rFonts w:cs="Arial"/>
          <w:szCs w:val="22"/>
        </w:rPr>
        <w:t>Dále jen („</w:t>
      </w:r>
      <w:r w:rsidRPr="00BA307F">
        <w:rPr>
          <w:rFonts w:cs="Arial"/>
          <w:b/>
          <w:bCs/>
          <w:szCs w:val="22"/>
        </w:rPr>
        <w:t>Dodatek</w:t>
      </w:r>
      <w:r w:rsidRPr="00DA6914">
        <w:rPr>
          <w:rFonts w:cs="Arial"/>
          <w:szCs w:val="22"/>
        </w:rPr>
        <w:t>“)</w:t>
      </w:r>
    </w:p>
    <w:p w14:paraId="265AB1C9" w14:textId="68AD0B44" w:rsidR="00DA6914" w:rsidRPr="00DA6914" w:rsidRDefault="00DA6914" w:rsidP="0058134D">
      <w:pPr>
        <w:keepNext/>
        <w:keepLines/>
        <w:jc w:val="center"/>
        <w:rPr>
          <w:rFonts w:cs="Arial"/>
          <w:szCs w:val="22"/>
        </w:rPr>
      </w:pPr>
      <w:r w:rsidRPr="00DA6914">
        <w:rPr>
          <w:rFonts w:cs="Arial"/>
          <w:szCs w:val="22"/>
        </w:rPr>
        <w:t xml:space="preserve">Č. Dodatku </w:t>
      </w:r>
      <w:r w:rsidR="00D65D55" w:rsidRPr="00D65D55">
        <w:rPr>
          <w:rFonts w:cs="Arial"/>
          <w:szCs w:val="22"/>
        </w:rPr>
        <w:t>6/23/1400/002</w:t>
      </w:r>
      <w:r w:rsidRPr="00DA6914">
        <w:rPr>
          <w:rFonts w:cs="Arial"/>
          <w:szCs w:val="22"/>
        </w:rPr>
        <w:t>/1</w:t>
      </w:r>
    </w:p>
    <w:p w14:paraId="1ECBA29B" w14:textId="77777777" w:rsidR="00572EA7" w:rsidRPr="00DA6914" w:rsidRDefault="00572EA7" w:rsidP="0058134D">
      <w:pPr>
        <w:keepNext/>
        <w:keepLines/>
        <w:jc w:val="center"/>
        <w:rPr>
          <w:rFonts w:cs="Arial"/>
          <w:szCs w:val="22"/>
        </w:rPr>
      </w:pPr>
    </w:p>
    <w:p w14:paraId="2FB8C1C6" w14:textId="7D8C4237" w:rsidR="0058134D" w:rsidRPr="00DA6914" w:rsidRDefault="0058134D" w:rsidP="0058134D">
      <w:pPr>
        <w:keepNext/>
        <w:keepLines/>
        <w:jc w:val="center"/>
        <w:rPr>
          <w:rFonts w:cs="Arial"/>
          <w:szCs w:val="22"/>
        </w:rPr>
      </w:pPr>
      <w:r w:rsidRPr="00DA6914">
        <w:rPr>
          <w:rFonts w:cs="Arial"/>
          <w:szCs w:val="22"/>
        </w:rPr>
        <w:t>uzavřen</w:t>
      </w:r>
      <w:r w:rsidR="00FA0097" w:rsidRPr="00DA6914">
        <w:rPr>
          <w:rFonts w:cs="Arial"/>
          <w:szCs w:val="22"/>
        </w:rPr>
        <w:t>ý</w:t>
      </w:r>
      <w:r w:rsidRPr="00DA6914">
        <w:rPr>
          <w:rFonts w:cs="Arial"/>
          <w:szCs w:val="22"/>
        </w:rPr>
        <w:t xml:space="preserve"> podle § 1746 odst. 2 zákona č. 89/2012 Sb., občanský zákoník, ve znění pozdějších předpisů (dále jen „</w:t>
      </w:r>
      <w:r w:rsidRPr="00DA6914">
        <w:rPr>
          <w:rFonts w:cs="Arial"/>
          <w:b/>
          <w:szCs w:val="22"/>
        </w:rPr>
        <w:t>Občanský zákoník</w:t>
      </w:r>
      <w:r w:rsidRPr="00DA6914">
        <w:rPr>
          <w:rFonts w:cs="Arial"/>
          <w:szCs w:val="22"/>
        </w:rPr>
        <w:t>“)</w:t>
      </w:r>
    </w:p>
    <w:p w14:paraId="5DEE93B5" w14:textId="77777777" w:rsidR="0058134D" w:rsidRPr="00DA6914" w:rsidRDefault="0058134D" w:rsidP="0058134D">
      <w:pPr>
        <w:keepNext/>
        <w:keepLines/>
        <w:jc w:val="center"/>
        <w:rPr>
          <w:rFonts w:cs="Arial"/>
          <w:szCs w:val="22"/>
        </w:rPr>
      </w:pPr>
    </w:p>
    <w:p w14:paraId="687458B1" w14:textId="77777777" w:rsidR="0058134D" w:rsidRPr="00DA6914" w:rsidRDefault="0058134D" w:rsidP="0058134D">
      <w:pPr>
        <w:keepNext/>
        <w:keepLines/>
        <w:jc w:val="center"/>
        <w:rPr>
          <w:rFonts w:cs="Arial"/>
          <w:szCs w:val="22"/>
        </w:rPr>
      </w:pPr>
    </w:p>
    <w:p w14:paraId="776ACA1F" w14:textId="77777777" w:rsidR="0058134D" w:rsidRPr="00DA6914" w:rsidRDefault="0058134D" w:rsidP="0058134D">
      <w:pPr>
        <w:keepNext/>
        <w:keepLines/>
        <w:jc w:val="center"/>
        <w:rPr>
          <w:rFonts w:cs="Arial"/>
          <w:b/>
          <w:bCs/>
          <w:szCs w:val="22"/>
        </w:rPr>
      </w:pPr>
    </w:p>
    <w:bookmarkEnd w:id="0"/>
    <w:p w14:paraId="56D9001F" w14:textId="77777777" w:rsidR="0058134D" w:rsidRPr="00DA6914" w:rsidRDefault="0058134D" w:rsidP="0058134D">
      <w:pPr>
        <w:pStyle w:val="Nadpis1"/>
        <w:rPr>
          <w:szCs w:val="22"/>
        </w:rPr>
      </w:pPr>
      <w:r w:rsidRPr="00DA6914">
        <w:rPr>
          <w:szCs w:val="22"/>
        </w:rPr>
        <w:t>Smluvní strany</w:t>
      </w:r>
    </w:p>
    <w:p w14:paraId="5DE67EA6" w14:textId="77777777" w:rsidR="0058134D" w:rsidRPr="00DA6914" w:rsidRDefault="0058134D" w:rsidP="0058134D">
      <w:pPr>
        <w:pStyle w:val="Clanek11"/>
        <w:keepNext/>
        <w:keepLines/>
        <w:widowControl/>
        <w:numPr>
          <w:ilvl w:val="0"/>
          <w:numId w:val="0"/>
        </w:numPr>
        <w:ind w:left="567" w:hanging="567"/>
        <w:rPr>
          <w:b/>
          <w:szCs w:val="22"/>
        </w:rPr>
      </w:pPr>
      <w:r w:rsidRPr="00DA6914">
        <w:rPr>
          <w:b/>
          <w:szCs w:val="22"/>
        </w:rPr>
        <w:t>1.1    Technická správa komunikací hl. m. Prahy, a.s.</w:t>
      </w:r>
    </w:p>
    <w:p w14:paraId="6E959AE4" w14:textId="77777777" w:rsidR="0058134D" w:rsidRPr="00DA6914" w:rsidRDefault="0058134D" w:rsidP="0058134D">
      <w:pPr>
        <w:pStyle w:val="Text11"/>
        <w:keepLines/>
        <w:spacing w:before="0" w:after="0"/>
        <w:rPr>
          <w:rFonts w:cs="Arial"/>
          <w:b/>
          <w:szCs w:val="22"/>
        </w:rPr>
      </w:pPr>
      <w:r w:rsidRPr="00DA6914">
        <w:rPr>
          <w:rFonts w:cs="Arial"/>
          <w:szCs w:val="22"/>
        </w:rPr>
        <w:t xml:space="preserve">sídlo: </w:t>
      </w:r>
      <w:bookmarkStart w:id="1" w:name="_Hlk64705037"/>
      <w:r w:rsidRPr="00DA6914">
        <w:rPr>
          <w:rFonts w:cs="Arial"/>
          <w:szCs w:val="22"/>
        </w:rPr>
        <w:t>Veletržní 1623/24, Holešovice, 170 00 Praha 7</w:t>
      </w:r>
      <w:bookmarkEnd w:id="1"/>
      <w:r w:rsidRPr="00DA6914">
        <w:rPr>
          <w:rFonts w:cs="Arial"/>
          <w:b/>
          <w:szCs w:val="22"/>
        </w:rPr>
        <w:tab/>
      </w:r>
    </w:p>
    <w:p w14:paraId="7C640EF1" w14:textId="77777777" w:rsidR="0058134D" w:rsidRPr="00DA6914" w:rsidRDefault="0058134D" w:rsidP="0058134D">
      <w:pPr>
        <w:pStyle w:val="Text11"/>
        <w:keepLines/>
        <w:spacing w:before="0" w:after="0"/>
        <w:rPr>
          <w:rFonts w:cs="Arial"/>
          <w:szCs w:val="22"/>
        </w:rPr>
      </w:pPr>
      <w:r w:rsidRPr="00DA6914">
        <w:rPr>
          <w:rFonts w:cs="Arial"/>
          <w:szCs w:val="22"/>
        </w:rPr>
        <w:t>IČO: 03447286</w:t>
      </w:r>
    </w:p>
    <w:p w14:paraId="259E25F8" w14:textId="77777777" w:rsidR="0058134D" w:rsidRPr="00DA6914" w:rsidRDefault="0058134D" w:rsidP="0058134D">
      <w:pPr>
        <w:pStyle w:val="Text11"/>
        <w:keepLines/>
        <w:spacing w:before="0" w:after="0"/>
        <w:rPr>
          <w:rFonts w:cs="Arial"/>
          <w:szCs w:val="22"/>
        </w:rPr>
      </w:pPr>
      <w:r w:rsidRPr="00DA6914">
        <w:rPr>
          <w:rFonts w:cs="Arial"/>
          <w:szCs w:val="22"/>
        </w:rPr>
        <w:t>DIČ: CZ03447286</w:t>
      </w:r>
    </w:p>
    <w:p w14:paraId="3F235CA8" w14:textId="77777777" w:rsidR="0058134D" w:rsidRPr="00DA6914" w:rsidRDefault="0058134D" w:rsidP="0058134D">
      <w:pPr>
        <w:pStyle w:val="Text11"/>
        <w:keepLines/>
        <w:spacing w:before="0" w:after="0"/>
        <w:rPr>
          <w:rFonts w:cs="Arial"/>
          <w:szCs w:val="22"/>
        </w:rPr>
      </w:pPr>
      <w:r w:rsidRPr="00DA6914">
        <w:rPr>
          <w:rFonts w:cs="Arial"/>
          <w:szCs w:val="22"/>
        </w:rPr>
        <w:t>Datová schránka: mivq4t3</w:t>
      </w:r>
    </w:p>
    <w:p w14:paraId="4AA67066" w14:textId="77777777" w:rsidR="0058134D" w:rsidRPr="00DA6914" w:rsidRDefault="0058134D" w:rsidP="0058134D">
      <w:pPr>
        <w:pStyle w:val="Text11"/>
        <w:keepLines/>
        <w:spacing w:before="0" w:after="0"/>
        <w:rPr>
          <w:rFonts w:cs="Arial"/>
          <w:szCs w:val="22"/>
        </w:rPr>
      </w:pPr>
      <w:r w:rsidRPr="00DA6914">
        <w:rPr>
          <w:rFonts w:cs="Arial"/>
          <w:szCs w:val="22"/>
        </w:rPr>
        <w:t>zapsaná v obchodním rejstříku vedeném Městským soudem v Praze, oddíl B, vložka 20059</w:t>
      </w:r>
    </w:p>
    <w:p w14:paraId="6E32CAF3" w14:textId="77777777" w:rsidR="0058134D" w:rsidRPr="00DA6914" w:rsidRDefault="0058134D" w:rsidP="0058134D">
      <w:pPr>
        <w:pStyle w:val="Text11"/>
        <w:keepLines/>
        <w:spacing w:before="0" w:after="0"/>
        <w:rPr>
          <w:rFonts w:cs="Arial"/>
          <w:szCs w:val="22"/>
        </w:rPr>
      </w:pPr>
      <w:r w:rsidRPr="00DA6914">
        <w:rPr>
          <w:rFonts w:cs="Arial"/>
          <w:szCs w:val="22"/>
        </w:rPr>
        <w:t>bankovní spojení: PPF banka a.s.</w:t>
      </w:r>
    </w:p>
    <w:p w14:paraId="2DA0BA93" w14:textId="77777777" w:rsidR="0058134D" w:rsidRPr="00DA6914" w:rsidRDefault="0058134D" w:rsidP="0058134D">
      <w:pPr>
        <w:pStyle w:val="Text11"/>
        <w:keepLines/>
        <w:spacing w:before="0" w:after="0"/>
        <w:rPr>
          <w:rFonts w:cs="Arial"/>
          <w:szCs w:val="22"/>
        </w:rPr>
      </w:pPr>
      <w:r w:rsidRPr="00DA6914">
        <w:rPr>
          <w:rFonts w:cs="Arial"/>
          <w:szCs w:val="22"/>
        </w:rPr>
        <w:t>číslo účtu: 2023100003/6000</w:t>
      </w:r>
    </w:p>
    <w:p w14:paraId="0A225B45" w14:textId="1F5E3B86" w:rsidR="0058134D" w:rsidRPr="00DA6914" w:rsidRDefault="0058134D" w:rsidP="0058134D">
      <w:pPr>
        <w:keepNext/>
        <w:keepLines/>
        <w:spacing w:before="120" w:after="120"/>
        <w:ind w:left="567"/>
        <w:rPr>
          <w:rFonts w:cs="Arial"/>
          <w:szCs w:val="22"/>
        </w:rPr>
      </w:pPr>
      <w:r w:rsidRPr="00DA6914">
        <w:rPr>
          <w:rFonts w:cs="Arial"/>
          <w:szCs w:val="22"/>
        </w:rPr>
        <w:t xml:space="preserve">Při podpisu tohoto </w:t>
      </w:r>
      <w:r w:rsidR="00FA0097" w:rsidRPr="00DA6914">
        <w:rPr>
          <w:rFonts w:cs="Arial"/>
          <w:szCs w:val="22"/>
        </w:rPr>
        <w:t>Dodatku je</w:t>
      </w:r>
      <w:r w:rsidRPr="00DA6914">
        <w:rPr>
          <w:rFonts w:cs="Arial"/>
          <w:szCs w:val="22"/>
        </w:rPr>
        <w:t xml:space="preserve"> oprávněn zastupovat </w:t>
      </w:r>
      <w:r w:rsidR="00DA1DA7">
        <w:rPr>
          <w:rFonts w:cs="Arial"/>
          <w:szCs w:val="22"/>
        </w:rPr>
        <w:t>Klienta</w:t>
      </w:r>
      <w:r w:rsidR="00DA1DA7" w:rsidRPr="00DA6914">
        <w:rPr>
          <w:rFonts w:cs="Arial"/>
          <w:szCs w:val="22"/>
        </w:rPr>
        <w:t xml:space="preserve"> </w:t>
      </w:r>
      <w:r w:rsidRPr="00DA6914">
        <w:rPr>
          <w:rFonts w:cs="Arial"/>
          <w:szCs w:val="22"/>
        </w:rPr>
        <w:t xml:space="preserve">na základě </w:t>
      </w:r>
      <w:r w:rsidR="00FA0097" w:rsidRPr="00DA6914">
        <w:rPr>
          <w:rFonts w:cs="Arial"/>
          <w:szCs w:val="22"/>
        </w:rPr>
        <w:t>zmocnění</w:t>
      </w:r>
      <w:r w:rsidRPr="00DA6914">
        <w:rPr>
          <w:rFonts w:cs="Arial"/>
          <w:szCs w:val="22"/>
        </w:rPr>
        <w:t xml:space="preserve"> představenstva </w:t>
      </w:r>
      <w:r w:rsidR="005513CD">
        <w:rPr>
          <w:rFonts w:cs="Arial"/>
          <w:szCs w:val="22"/>
        </w:rPr>
        <w:t>PhDr. Filip Hájek</w:t>
      </w:r>
      <w:r w:rsidR="00FA0097" w:rsidRPr="00DA6914">
        <w:rPr>
          <w:rFonts w:cs="Arial"/>
          <w:szCs w:val="22"/>
        </w:rPr>
        <w:t xml:space="preserve">, </w:t>
      </w:r>
      <w:r w:rsidR="005513CD">
        <w:rPr>
          <w:rFonts w:cs="Arial"/>
          <w:szCs w:val="22"/>
        </w:rPr>
        <w:t>místo</w:t>
      </w:r>
      <w:r w:rsidR="00FA0097" w:rsidRPr="00DA6914">
        <w:rPr>
          <w:rFonts w:cs="Arial"/>
          <w:szCs w:val="22"/>
        </w:rPr>
        <w:t>předseda představenstva</w:t>
      </w:r>
      <w:r w:rsidRPr="00DA6914">
        <w:rPr>
          <w:rFonts w:cs="Arial"/>
          <w:szCs w:val="22"/>
        </w:rPr>
        <w:t>.</w:t>
      </w:r>
    </w:p>
    <w:p w14:paraId="63140C94" w14:textId="422047E0" w:rsidR="0058134D" w:rsidRPr="00DA6914" w:rsidRDefault="0058134D" w:rsidP="0058134D">
      <w:pPr>
        <w:pStyle w:val="Text11"/>
        <w:keepLines/>
        <w:rPr>
          <w:rFonts w:cs="Arial"/>
          <w:szCs w:val="22"/>
        </w:rPr>
      </w:pPr>
      <w:r w:rsidRPr="00DA6914">
        <w:rPr>
          <w:rFonts w:cs="Arial"/>
          <w:szCs w:val="22"/>
        </w:rPr>
        <w:t>(dále jen „</w:t>
      </w:r>
      <w:r w:rsidR="00E6355A" w:rsidRPr="00DA6914">
        <w:rPr>
          <w:rFonts w:cs="Arial"/>
          <w:b/>
          <w:bCs/>
          <w:szCs w:val="22"/>
        </w:rPr>
        <w:t xml:space="preserve">Klient“ </w:t>
      </w:r>
      <w:r w:rsidR="00E6355A" w:rsidRPr="00DA6914">
        <w:rPr>
          <w:rFonts w:cs="Arial"/>
          <w:szCs w:val="22"/>
        </w:rPr>
        <w:t>n</w:t>
      </w:r>
      <w:r w:rsidRPr="00DA6914">
        <w:rPr>
          <w:rFonts w:cs="Arial"/>
          <w:szCs w:val="22"/>
        </w:rPr>
        <w:t>ebo „</w:t>
      </w:r>
      <w:r w:rsidRPr="00DA6914">
        <w:rPr>
          <w:rFonts w:cs="Arial"/>
          <w:b/>
          <w:bCs/>
          <w:szCs w:val="22"/>
        </w:rPr>
        <w:t>TSK</w:t>
      </w:r>
      <w:r w:rsidRPr="00DA6914">
        <w:rPr>
          <w:rFonts w:cs="Arial"/>
          <w:szCs w:val="22"/>
        </w:rPr>
        <w:t>“)</w:t>
      </w:r>
    </w:p>
    <w:p w14:paraId="6B72469F" w14:textId="77777777" w:rsidR="00E6355A" w:rsidRPr="00DA6914" w:rsidRDefault="00E6355A" w:rsidP="0058134D">
      <w:pPr>
        <w:pStyle w:val="Text11"/>
        <w:keepLines/>
        <w:rPr>
          <w:rFonts w:cs="Arial"/>
          <w:szCs w:val="22"/>
        </w:rPr>
      </w:pPr>
    </w:p>
    <w:p w14:paraId="5995ACF1" w14:textId="44D39716" w:rsidR="005513CD" w:rsidRPr="005513CD" w:rsidRDefault="0058134D" w:rsidP="005513CD">
      <w:pPr>
        <w:pStyle w:val="Clanek11"/>
        <w:keepNext/>
        <w:keepLines/>
        <w:widowControl/>
        <w:numPr>
          <w:ilvl w:val="0"/>
          <w:numId w:val="0"/>
        </w:numPr>
        <w:ind w:left="567" w:hanging="567"/>
        <w:rPr>
          <w:b/>
          <w:bCs w:val="0"/>
          <w:szCs w:val="22"/>
        </w:rPr>
      </w:pPr>
      <w:r w:rsidRPr="00DA6914">
        <w:rPr>
          <w:b/>
          <w:szCs w:val="22"/>
        </w:rPr>
        <w:t>1.2</w:t>
      </w:r>
      <w:r w:rsidRPr="00DA6914">
        <w:rPr>
          <w:b/>
          <w:szCs w:val="22"/>
        </w:rPr>
        <w:tab/>
      </w:r>
      <w:r w:rsidR="005513CD" w:rsidRPr="005513CD">
        <w:rPr>
          <w:b/>
          <w:bCs w:val="0"/>
        </w:rPr>
        <w:t>Urban &amp; Hejduk s.r.o., advokátní kancelář</w:t>
      </w:r>
      <w:r w:rsidR="005513CD">
        <w:t xml:space="preserve"> </w:t>
      </w:r>
    </w:p>
    <w:p w14:paraId="5E187111" w14:textId="77777777" w:rsidR="005513CD" w:rsidRDefault="005513CD" w:rsidP="005513CD">
      <w:pPr>
        <w:pStyle w:val="Default"/>
        <w:ind w:left="567"/>
        <w:rPr>
          <w:sz w:val="22"/>
          <w:szCs w:val="22"/>
        </w:rPr>
      </w:pPr>
      <w:r>
        <w:rPr>
          <w:sz w:val="22"/>
          <w:szCs w:val="22"/>
        </w:rPr>
        <w:t xml:space="preserve">sídlo: Jugoslávská 620/29, Vinohrady, 120 00 Praha 2 </w:t>
      </w:r>
    </w:p>
    <w:p w14:paraId="6AB67902" w14:textId="77777777" w:rsidR="005513CD" w:rsidRDefault="005513CD" w:rsidP="005513CD">
      <w:pPr>
        <w:pStyle w:val="Default"/>
        <w:ind w:left="567"/>
        <w:rPr>
          <w:sz w:val="22"/>
          <w:szCs w:val="22"/>
        </w:rPr>
      </w:pPr>
      <w:r>
        <w:rPr>
          <w:sz w:val="22"/>
          <w:szCs w:val="22"/>
        </w:rPr>
        <w:t xml:space="preserve">IČO: 034 08 086 </w:t>
      </w:r>
    </w:p>
    <w:p w14:paraId="754D27C7" w14:textId="77777777" w:rsidR="005513CD" w:rsidRDefault="005513CD" w:rsidP="005513CD">
      <w:pPr>
        <w:pStyle w:val="Default"/>
        <w:ind w:left="567"/>
        <w:rPr>
          <w:sz w:val="22"/>
          <w:szCs w:val="22"/>
        </w:rPr>
      </w:pPr>
      <w:r>
        <w:rPr>
          <w:sz w:val="22"/>
          <w:szCs w:val="22"/>
        </w:rPr>
        <w:t xml:space="preserve">DIČ: CZ03408086 </w:t>
      </w:r>
    </w:p>
    <w:p w14:paraId="2BFBE645" w14:textId="77777777" w:rsidR="005513CD" w:rsidRDefault="005513CD" w:rsidP="005513CD">
      <w:pPr>
        <w:pStyle w:val="Default"/>
        <w:ind w:left="567"/>
        <w:rPr>
          <w:sz w:val="22"/>
          <w:szCs w:val="22"/>
        </w:rPr>
      </w:pPr>
      <w:r>
        <w:rPr>
          <w:sz w:val="22"/>
          <w:szCs w:val="22"/>
        </w:rPr>
        <w:t xml:space="preserve">zapsaná v obchodním rejstříku vedeném Městským soudem v Praze, oddíl C, vložka 231175 </w:t>
      </w:r>
    </w:p>
    <w:p w14:paraId="79BDAAF9" w14:textId="77777777" w:rsidR="005513CD" w:rsidRDefault="005513CD" w:rsidP="005513CD">
      <w:pPr>
        <w:pStyle w:val="Default"/>
        <w:ind w:left="567"/>
        <w:rPr>
          <w:sz w:val="22"/>
          <w:szCs w:val="22"/>
        </w:rPr>
      </w:pPr>
      <w:r>
        <w:rPr>
          <w:sz w:val="22"/>
          <w:szCs w:val="22"/>
        </w:rPr>
        <w:t xml:space="preserve">bankovní spojení: Česká spořitelna, a.s. </w:t>
      </w:r>
    </w:p>
    <w:p w14:paraId="7C54FE5A" w14:textId="77777777" w:rsidR="005513CD" w:rsidRDefault="005513CD" w:rsidP="005513CD">
      <w:pPr>
        <w:pStyle w:val="Default"/>
        <w:ind w:left="567"/>
        <w:rPr>
          <w:sz w:val="22"/>
          <w:szCs w:val="22"/>
        </w:rPr>
      </w:pPr>
      <w:r>
        <w:rPr>
          <w:sz w:val="22"/>
          <w:szCs w:val="22"/>
        </w:rPr>
        <w:t xml:space="preserve">číslo účtu: 3761375329/0800 </w:t>
      </w:r>
    </w:p>
    <w:p w14:paraId="16DBF73C" w14:textId="7E7ADE61" w:rsidR="005513CD" w:rsidRPr="00DA6914" w:rsidRDefault="005513CD" w:rsidP="005513CD">
      <w:pPr>
        <w:pStyle w:val="Text11"/>
        <w:keepLines/>
        <w:spacing w:before="0"/>
        <w:rPr>
          <w:rFonts w:cs="Arial"/>
          <w:szCs w:val="22"/>
        </w:rPr>
      </w:pPr>
      <w:r>
        <w:rPr>
          <w:szCs w:val="22"/>
        </w:rPr>
        <w:t xml:space="preserve">e-mailová adresa pro odesílání Elektronických faktur: </w:t>
      </w:r>
      <w:proofErr w:type="spellStart"/>
      <w:r w:rsidR="00D2405B">
        <w:rPr>
          <w:szCs w:val="22"/>
        </w:rPr>
        <w:t>xxxxxxxxxxxxxxxx</w:t>
      </w:r>
      <w:proofErr w:type="spellEnd"/>
    </w:p>
    <w:p w14:paraId="1DFB4F9B" w14:textId="39D86645" w:rsidR="0058134D" w:rsidRPr="00DA6914" w:rsidRDefault="0058134D" w:rsidP="0058134D">
      <w:pPr>
        <w:pStyle w:val="Text11"/>
        <w:keepLines/>
        <w:rPr>
          <w:rFonts w:cs="Arial"/>
          <w:szCs w:val="22"/>
        </w:rPr>
      </w:pPr>
      <w:r w:rsidRPr="00DA6914">
        <w:rPr>
          <w:rFonts w:cs="Arial"/>
          <w:szCs w:val="22"/>
        </w:rPr>
        <w:t>(dále jen „</w:t>
      </w:r>
      <w:r w:rsidRPr="00DA6914">
        <w:rPr>
          <w:rFonts w:cs="Arial"/>
          <w:b/>
          <w:szCs w:val="22"/>
        </w:rPr>
        <w:t>Poskytovatel</w:t>
      </w:r>
      <w:r w:rsidRPr="00DA6914">
        <w:rPr>
          <w:rFonts w:cs="Arial"/>
          <w:szCs w:val="22"/>
        </w:rPr>
        <w:t>“</w:t>
      </w:r>
      <w:r w:rsidR="00BA307F">
        <w:rPr>
          <w:rFonts w:cs="Arial"/>
          <w:szCs w:val="22"/>
        </w:rPr>
        <w:t xml:space="preserve"> nebo také </w:t>
      </w:r>
      <w:r w:rsidR="00BA307F" w:rsidRPr="00BA307F">
        <w:rPr>
          <w:rFonts w:cs="Arial"/>
          <w:b/>
          <w:bCs/>
          <w:szCs w:val="22"/>
        </w:rPr>
        <w:t>„Dodavatel“</w:t>
      </w:r>
      <w:r w:rsidRPr="00DA6914">
        <w:rPr>
          <w:rFonts w:cs="Arial"/>
          <w:szCs w:val="22"/>
        </w:rPr>
        <w:t>)</w:t>
      </w:r>
    </w:p>
    <w:p w14:paraId="47B15CEE" w14:textId="77777777" w:rsidR="00E6355A" w:rsidRPr="00DA6914" w:rsidRDefault="00E6355A" w:rsidP="0058134D">
      <w:pPr>
        <w:pStyle w:val="Text11"/>
        <w:keepLines/>
        <w:rPr>
          <w:rFonts w:cs="Arial"/>
          <w:szCs w:val="22"/>
        </w:rPr>
      </w:pPr>
    </w:p>
    <w:p w14:paraId="6ACF8931" w14:textId="0F9CFEB7" w:rsidR="00FA0097" w:rsidRPr="00DA6914" w:rsidRDefault="0058134D" w:rsidP="0058134D">
      <w:pPr>
        <w:keepNext/>
        <w:keepLines/>
        <w:spacing w:before="120" w:after="120"/>
        <w:ind w:left="567"/>
        <w:rPr>
          <w:rFonts w:cs="Arial"/>
          <w:szCs w:val="22"/>
        </w:rPr>
      </w:pPr>
      <w:r w:rsidRPr="00DA6914">
        <w:rPr>
          <w:rFonts w:cs="Arial"/>
          <w:szCs w:val="22"/>
        </w:rPr>
        <w:t>(</w:t>
      </w:r>
      <w:r w:rsidR="00E6355A" w:rsidRPr="00DA6914">
        <w:rPr>
          <w:rFonts w:cs="Arial"/>
          <w:szCs w:val="22"/>
        </w:rPr>
        <w:t>Klient</w:t>
      </w:r>
      <w:r w:rsidRPr="00DA6914">
        <w:rPr>
          <w:rFonts w:cs="Arial"/>
          <w:szCs w:val="22"/>
        </w:rPr>
        <w:t xml:space="preserve"> a Poskytovatel společně dále jen „</w:t>
      </w:r>
      <w:r w:rsidRPr="00DA6914">
        <w:rPr>
          <w:rFonts w:cs="Arial"/>
          <w:b/>
          <w:szCs w:val="22"/>
        </w:rPr>
        <w:t>Strany</w:t>
      </w:r>
      <w:r w:rsidRPr="00DA6914">
        <w:rPr>
          <w:rFonts w:cs="Arial"/>
          <w:szCs w:val="22"/>
        </w:rPr>
        <w:t>“ nebo každý z nich samostatně „</w:t>
      </w:r>
      <w:r w:rsidRPr="00DA6914">
        <w:rPr>
          <w:rFonts w:cs="Arial"/>
          <w:b/>
          <w:szCs w:val="22"/>
        </w:rPr>
        <w:t>Strana</w:t>
      </w:r>
      <w:r w:rsidRPr="00DA6914">
        <w:rPr>
          <w:rFonts w:cs="Arial"/>
          <w:szCs w:val="22"/>
        </w:rPr>
        <w:t xml:space="preserve">“) </w:t>
      </w:r>
    </w:p>
    <w:p w14:paraId="14E46F8D" w14:textId="77777777" w:rsidR="00E6355A" w:rsidRPr="00DA6914" w:rsidRDefault="00E6355A" w:rsidP="0058134D">
      <w:pPr>
        <w:keepNext/>
        <w:keepLines/>
        <w:spacing w:before="120" w:after="120"/>
        <w:ind w:left="567"/>
        <w:rPr>
          <w:rFonts w:cs="Arial"/>
          <w:szCs w:val="22"/>
        </w:rPr>
      </w:pPr>
    </w:p>
    <w:p w14:paraId="51B688EE" w14:textId="7D5B9821" w:rsidR="0058134D" w:rsidRPr="00DA6914" w:rsidRDefault="0058134D" w:rsidP="0058134D">
      <w:pPr>
        <w:pStyle w:val="Nadpis1"/>
        <w:rPr>
          <w:szCs w:val="22"/>
        </w:rPr>
      </w:pPr>
      <w:r w:rsidRPr="00DA6914">
        <w:rPr>
          <w:szCs w:val="22"/>
        </w:rPr>
        <w:t>Předmět dodatku</w:t>
      </w:r>
    </w:p>
    <w:p w14:paraId="0E3CF233" w14:textId="42E38429" w:rsidR="0058134D" w:rsidRPr="00DA6914" w:rsidRDefault="0058134D" w:rsidP="0058134D">
      <w:pPr>
        <w:pStyle w:val="Clanek11"/>
        <w:rPr>
          <w:szCs w:val="22"/>
        </w:rPr>
      </w:pPr>
      <w:r w:rsidRPr="00DA6914">
        <w:rPr>
          <w:szCs w:val="22"/>
        </w:rPr>
        <w:t xml:space="preserve">Strany mezi sebou uzavřely dne </w:t>
      </w:r>
      <w:r w:rsidR="005513CD">
        <w:rPr>
          <w:szCs w:val="22"/>
        </w:rPr>
        <w:t>20</w:t>
      </w:r>
      <w:r w:rsidRPr="00DA6914">
        <w:rPr>
          <w:szCs w:val="22"/>
        </w:rPr>
        <w:t xml:space="preserve">. </w:t>
      </w:r>
      <w:r w:rsidR="005513CD">
        <w:rPr>
          <w:szCs w:val="22"/>
        </w:rPr>
        <w:t>2</w:t>
      </w:r>
      <w:r w:rsidRPr="00DA6914">
        <w:rPr>
          <w:szCs w:val="22"/>
        </w:rPr>
        <w:t>. 202</w:t>
      </w:r>
      <w:r w:rsidR="005513CD">
        <w:rPr>
          <w:szCs w:val="22"/>
        </w:rPr>
        <w:t>3</w:t>
      </w:r>
      <w:r w:rsidRPr="00DA6914">
        <w:rPr>
          <w:szCs w:val="22"/>
        </w:rPr>
        <w:t xml:space="preserve"> Smlouvu o poskytování </w:t>
      </w:r>
      <w:r w:rsidR="00D65D55">
        <w:rPr>
          <w:szCs w:val="22"/>
        </w:rPr>
        <w:t>právních</w:t>
      </w:r>
      <w:r w:rsidR="00E6355A" w:rsidRPr="00DA6914">
        <w:rPr>
          <w:szCs w:val="22"/>
        </w:rPr>
        <w:t xml:space="preserve"> </w:t>
      </w:r>
      <w:r w:rsidRPr="00DA6914">
        <w:rPr>
          <w:szCs w:val="22"/>
        </w:rPr>
        <w:t>služeb</w:t>
      </w:r>
      <w:r w:rsidR="00314AAB">
        <w:rPr>
          <w:szCs w:val="22"/>
        </w:rPr>
        <w:t xml:space="preserve"> („</w:t>
      </w:r>
      <w:r w:rsidR="00314AAB" w:rsidRPr="00BA307F">
        <w:rPr>
          <w:b/>
          <w:bCs w:val="0"/>
          <w:szCs w:val="22"/>
        </w:rPr>
        <w:t>Smlouva</w:t>
      </w:r>
      <w:r w:rsidR="00314AAB">
        <w:rPr>
          <w:szCs w:val="22"/>
        </w:rPr>
        <w:t>“)</w:t>
      </w:r>
      <w:r w:rsidR="00E6355A" w:rsidRPr="00DA6914">
        <w:rPr>
          <w:szCs w:val="22"/>
        </w:rPr>
        <w:t xml:space="preserve">, jejímž předmětem je </w:t>
      </w:r>
      <w:r w:rsidR="005513CD" w:rsidRPr="005513CD">
        <w:rPr>
          <w:szCs w:val="22"/>
        </w:rPr>
        <w:t xml:space="preserve">právní poradenství ve věci dalšího postupu ve sporu se společností Czech </w:t>
      </w:r>
      <w:proofErr w:type="spellStart"/>
      <w:r w:rsidR="005513CD" w:rsidRPr="005513CD">
        <w:rPr>
          <w:szCs w:val="22"/>
        </w:rPr>
        <w:t>Outdoor</w:t>
      </w:r>
      <w:proofErr w:type="spellEnd"/>
      <w:r w:rsidR="005513CD" w:rsidRPr="005513CD">
        <w:rPr>
          <w:szCs w:val="22"/>
        </w:rPr>
        <w:t xml:space="preserve"> s.r.o., IČO: 241 99 427, se sídlem Na strži 2097/63, Krč, 140 00 Praha 4, vedené u Městského soudu v Praze pod </w:t>
      </w:r>
      <w:proofErr w:type="spellStart"/>
      <w:r w:rsidR="005513CD" w:rsidRPr="005513CD">
        <w:rPr>
          <w:szCs w:val="22"/>
        </w:rPr>
        <w:t>sp</w:t>
      </w:r>
      <w:proofErr w:type="spellEnd"/>
      <w:r w:rsidR="005513CD" w:rsidRPr="005513CD">
        <w:rPr>
          <w:szCs w:val="22"/>
        </w:rPr>
        <w:t>.</w:t>
      </w:r>
      <w:r w:rsidR="00D65D55">
        <w:rPr>
          <w:szCs w:val="22"/>
        </w:rPr>
        <w:t xml:space="preserve"> </w:t>
      </w:r>
      <w:r w:rsidR="005513CD" w:rsidRPr="005513CD">
        <w:rPr>
          <w:szCs w:val="22"/>
        </w:rPr>
        <w:t>zn. pod C 187946, ohledně odstranění reklamních poutačů (panelů, zařízení, reklamních zařízení apod.) po vyslovení nesouhlasu s dalším prodloužením a pokračováním doby trvání dohody o narovnání ze dne 1. 2. 2008, ve znění nájemní smlouvy 1081/92 ze dne 12. 3. 1992 a dodatku č. 1 ze dne 9. 9. 1998, a zastupování v dané věci před soudy dle pokynů Klienta, vč. sepsání příslušných podání či vyjádření.</w:t>
      </w:r>
      <w:r w:rsidRPr="00DA6914">
        <w:rPr>
          <w:szCs w:val="22"/>
        </w:rPr>
        <w:t xml:space="preserve"> </w:t>
      </w:r>
    </w:p>
    <w:p w14:paraId="3F9F33D5" w14:textId="2E70E6DD" w:rsidR="0058134D" w:rsidRPr="00DA6914" w:rsidRDefault="0058134D" w:rsidP="00BB5153">
      <w:pPr>
        <w:pStyle w:val="Clanek11"/>
        <w:rPr>
          <w:color w:val="1E1E1E"/>
          <w:szCs w:val="22"/>
        </w:rPr>
      </w:pPr>
      <w:r w:rsidRPr="00DA6914">
        <w:rPr>
          <w:szCs w:val="22"/>
        </w:rPr>
        <w:t xml:space="preserve">Předmětem Dodatku je navýšení původně Smlouvou předpokládané </w:t>
      </w:r>
      <w:r w:rsidR="005513CD">
        <w:rPr>
          <w:szCs w:val="22"/>
        </w:rPr>
        <w:t>odměny</w:t>
      </w:r>
      <w:r w:rsidRPr="00DA6914">
        <w:rPr>
          <w:szCs w:val="22"/>
        </w:rPr>
        <w:t xml:space="preserve"> z důvodu </w:t>
      </w:r>
      <w:r w:rsidR="00E6355A" w:rsidRPr="00DA6914">
        <w:rPr>
          <w:szCs w:val="22"/>
        </w:rPr>
        <w:t xml:space="preserve">nezbytného </w:t>
      </w:r>
      <w:r w:rsidR="00FA0097" w:rsidRPr="00DA6914">
        <w:rPr>
          <w:szCs w:val="22"/>
        </w:rPr>
        <w:t xml:space="preserve">zajištění </w:t>
      </w:r>
      <w:r w:rsidRPr="00DA6914">
        <w:rPr>
          <w:szCs w:val="22"/>
        </w:rPr>
        <w:t>poskytování prá</w:t>
      </w:r>
      <w:r w:rsidR="00E6355A" w:rsidRPr="00DA6914">
        <w:rPr>
          <w:szCs w:val="22"/>
        </w:rPr>
        <w:t>vních služeb spočívajících v</w:t>
      </w:r>
      <w:r w:rsidRPr="00DA6914">
        <w:rPr>
          <w:color w:val="1E1E1E"/>
          <w:szCs w:val="22"/>
        </w:rPr>
        <w:t xml:space="preserve"> </w:t>
      </w:r>
      <w:r w:rsidR="00E6355A" w:rsidRPr="00DA6914">
        <w:rPr>
          <w:szCs w:val="22"/>
          <w:lang w:eastAsia="cs-CZ"/>
        </w:rPr>
        <w:t xml:space="preserve">pokračování </w:t>
      </w:r>
      <w:r w:rsidR="005513CD">
        <w:rPr>
          <w:szCs w:val="22"/>
          <w:lang w:eastAsia="cs-CZ"/>
        </w:rPr>
        <w:t xml:space="preserve">soudních </w:t>
      </w:r>
      <w:r w:rsidR="005513CD">
        <w:rPr>
          <w:szCs w:val="22"/>
          <w:lang w:eastAsia="cs-CZ"/>
        </w:rPr>
        <w:lastRenderedPageBreak/>
        <w:t>sporů</w:t>
      </w:r>
      <w:r w:rsidR="00D65D55">
        <w:rPr>
          <w:szCs w:val="22"/>
          <w:lang w:eastAsia="cs-CZ"/>
        </w:rPr>
        <w:t xml:space="preserve">, které jsou </w:t>
      </w:r>
      <w:r w:rsidR="005513CD">
        <w:rPr>
          <w:szCs w:val="22"/>
          <w:lang w:eastAsia="cs-CZ"/>
        </w:rPr>
        <w:t>veden</w:t>
      </w:r>
      <w:r w:rsidR="00D65D55">
        <w:rPr>
          <w:szCs w:val="22"/>
          <w:lang w:eastAsia="cs-CZ"/>
        </w:rPr>
        <w:t>y</w:t>
      </w:r>
      <w:r w:rsidR="005513CD">
        <w:rPr>
          <w:szCs w:val="22"/>
          <w:lang w:eastAsia="cs-CZ"/>
        </w:rPr>
        <w:t xml:space="preserve"> u </w:t>
      </w:r>
      <w:r w:rsidR="00D65D55">
        <w:rPr>
          <w:szCs w:val="22"/>
          <w:lang w:eastAsia="cs-CZ"/>
        </w:rPr>
        <w:t xml:space="preserve">několika </w:t>
      </w:r>
      <w:r w:rsidR="005513CD">
        <w:rPr>
          <w:szCs w:val="22"/>
          <w:lang w:eastAsia="cs-CZ"/>
        </w:rPr>
        <w:t>obvodních soudů v Praze.</w:t>
      </w:r>
    </w:p>
    <w:p w14:paraId="7BAA84FE" w14:textId="0CBD17C4" w:rsidR="0058134D" w:rsidRPr="00DA6914" w:rsidRDefault="0058134D" w:rsidP="0058134D">
      <w:pPr>
        <w:pStyle w:val="Nadpis1"/>
        <w:rPr>
          <w:szCs w:val="22"/>
        </w:rPr>
      </w:pPr>
      <w:r w:rsidRPr="00DA6914">
        <w:rPr>
          <w:szCs w:val="22"/>
        </w:rPr>
        <w:t xml:space="preserve">změna čl. </w:t>
      </w:r>
      <w:r w:rsidR="000C16C1" w:rsidRPr="00DA6914">
        <w:rPr>
          <w:szCs w:val="22"/>
        </w:rPr>
        <w:t>4</w:t>
      </w:r>
      <w:r w:rsidRPr="00DA6914">
        <w:rPr>
          <w:szCs w:val="22"/>
        </w:rPr>
        <w:t xml:space="preserve"> Smlouvy „odmě</w:t>
      </w:r>
      <w:r w:rsidR="00B546DE" w:rsidRPr="00DA6914">
        <w:rPr>
          <w:szCs w:val="22"/>
        </w:rPr>
        <w:t>na“</w:t>
      </w:r>
      <w:r w:rsidR="00BA307F">
        <w:rPr>
          <w:szCs w:val="22"/>
        </w:rPr>
        <w:t xml:space="preserve"> a čl. 6 smlouvy „</w:t>
      </w:r>
      <w:r w:rsidR="00BA307F">
        <w:t>COMPLIANCE DOLOŽKA A PROTIKORUPČNÍ DOLOŽKA“</w:t>
      </w:r>
    </w:p>
    <w:p w14:paraId="0041B04B" w14:textId="0499399C" w:rsidR="0058134D" w:rsidRPr="00BA307F" w:rsidRDefault="000C16C1" w:rsidP="00B546DE">
      <w:pPr>
        <w:pStyle w:val="Clanek11"/>
        <w:rPr>
          <w:i/>
          <w:iCs w:val="0"/>
          <w:szCs w:val="22"/>
        </w:rPr>
      </w:pPr>
      <w:r w:rsidRPr="00DA6914">
        <w:rPr>
          <w:szCs w:val="22"/>
        </w:rPr>
        <w:t>V čl. 4.2</w:t>
      </w:r>
      <w:r w:rsidR="00B546DE" w:rsidRPr="00DA6914">
        <w:rPr>
          <w:szCs w:val="22"/>
        </w:rPr>
        <w:t xml:space="preserve"> Smlouvy se text </w:t>
      </w:r>
      <w:r w:rsidRPr="00DA6914">
        <w:rPr>
          <w:szCs w:val="22"/>
        </w:rPr>
        <w:t>věty první kompletně n</w:t>
      </w:r>
      <w:r w:rsidR="00B546DE" w:rsidRPr="00DA6914">
        <w:rPr>
          <w:szCs w:val="22"/>
        </w:rPr>
        <w:t>ahrazuje textem</w:t>
      </w:r>
      <w:r w:rsidRPr="00BA307F">
        <w:rPr>
          <w:i/>
          <w:iCs w:val="0"/>
          <w:szCs w:val="22"/>
        </w:rPr>
        <w:t xml:space="preserve">: „Odměna za poskytnutí </w:t>
      </w:r>
      <w:r w:rsidR="00BA307F" w:rsidRPr="00BA307F">
        <w:rPr>
          <w:i/>
          <w:iCs w:val="0"/>
          <w:szCs w:val="22"/>
        </w:rPr>
        <w:t>S</w:t>
      </w:r>
      <w:r w:rsidRPr="00BA307F">
        <w:rPr>
          <w:i/>
          <w:iCs w:val="0"/>
          <w:szCs w:val="22"/>
        </w:rPr>
        <w:t>lužeb nepřesáhne částku</w:t>
      </w:r>
      <w:r w:rsidR="00B546DE" w:rsidRPr="00BA307F">
        <w:rPr>
          <w:i/>
          <w:iCs w:val="0"/>
          <w:szCs w:val="22"/>
        </w:rPr>
        <w:t xml:space="preserve"> </w:t>
      </w:r>
      <w:r w:rsidR="005513CD" w:rsidRPr="00BA307F">
        <w:rPr>
          <w:b/>
          <w:bCs w:val="0"/>
          <w:i/>
          <w:iCs w:val="0"/>
          <w:szCs w:val="22"/>
        </w:rPr>
        <w:t>980.000</w:t>
      </w:r>
      <w:r w:rsidR="00E6355A" w:rsidRPr="00BA307F">
        <w:rPr>
          <w:b/>
          <w:bCs w:val="0"/>
          <w:i/>
          <w:iCs w:val="0"/>
          <w:szCs w:val="22"/>
        </w:rPr>
        <w:t xml:space="preserve"> K</w:t>
      </w:r>
      <w:r w:rsidR="00B546DE" w:rsidRPr="00BA307F">
        <w:rPr>
          <w:b/>
          <w:bCs w:val="0"/>
          <w:i/>
          <w:iCs w:val="0"/>
          <w:szCs w:val="22"/>
        </w:rPr>
        <w:t>č bez DPH</w:t>
      </w:r>
      <w:r w:rsidRPr="00BA307F">
        <w:rPr>
          <w:b/>
          <w:bCs w:val="0"/>
          <w:i/>
          <w:iCs w:val="0"/>
          <w:szCs w:val="22"/>
        </w:rPr>
        <w:t>.</w:t>
      </w:r>
      <w:r w:rsidR="00B546DE" w:rsidRPr="00BA307F">
        <w:rPr>
          <w:i/>
          <w:iCs w:val="0"/>
          <w:szCs w:val="22"/>
        </w:rPr>
        <w:t xml:space="preserve">“ </w:t>
      </w:r>
    </w:p>
    <w:p w14:paraId="7314D375" w14:textId="51647A90" w:rsidR="00B546DE" w:rsidRDefault="00B546DE" w:rsidP="00B546DE">
      <w:pPr>
        <w:pStyle w:val="Clanek11"/>
        <w:rPr>
          <w:szCs w:val="22"/>
        </w:rPr>
      </w:pPr>
      <w:r w:rsidRPr="00DA6914">
        <w:rPr>
          <w:szCs w:val="22"/>
        </w:rPr>
        <w:t xml:space="preserve">Ostatní ustanovení čl. </w:t>
      </w:r>
      <w:r w:rsidR="000C16C1" w:rsidRPr="00DA6914">
        <w:rPr>
          <w:szCs w:val="22"/>
        </w:rPr>
        <w:t xml:space="preserve">4 </w:t>
      </w:r>
      <w:r w:rsidRPr="00DA6914">
        <w:rPr>
          <w:szCs w:val="22"/>
        </w:rPr>
        <w:t xml:space="preserve">zůstávají beze změny.  </w:t>
      </w:r>
    </w:p>
    <w:p w14:paraId="4A605CFB" w14:textId="65BA3F1C" w:rsidR="00BA307F" w:rsidRPr="00BA307F" w:rsidRDefault="00BA307F" w:rsidP="00BA307F">
      <w:pPr>
        <w:pStyle w:val="Clanek11"/>
        <w:rPr>
          <w:szCs w:val="22"/>
        </w:rPr>
      </w:pPr>
      <w:r>
        <w:rPr>
          <w:szCs w:val="22"/>
        </w:rPr>
        <w:t>Č</w:t>
      </w:r>
      <w:r w:rsidRPr="00BA307F">
        <w:rPr>
          <w:szCs w:val="22"/>
        </w:rPr>
        <w:t>l</w:t>
      </w:r>
      <w:r>
        <w:rPr>
          <w:szCs w:val="22"/>
        </w:rPr>
        <w:t>ánek</w:t>
      </w:r>
      <w:r w:rsidRPr="00BA307F">
        <w:rPr>
          <w:szCs w:val="22"/>
        </w:rPr>
        <w:t>. 6 se nahrazuje</w:t>
      </w:r>
      <w:r>
        <w:rPr>
          <w:szCs w:val="22"/>
        </w:rPr>
        <w:t xml:space="preserve"> tímto</w:t>
      </w:r>
      <w:r w:rsidRPr="00BA307F">
        <w:rPr>
          <w:szCs w:val="22"/>
        </w:rPr>
        <w:t xml:space="preserve"> textem:</w:t>
      </w:r>
    </w:p>
    <w:p w14:paraId="234A6B93" w14:textId="39591720" w:rsidR="00BA307F" w:rsidRPr="00BA307F" w:rsidRDefault="004E179E" w:rsidP="00BA307F">
      <w:pPr>
        <w:pStyle w:val="Nadpis1"/>
        <w:numPr>
          <w:ilvl w:val="0"/>
          <w:numId w:val="0"/>
        </w:numPr>
        <w:ind w:left="709"/>
        <w:rPr>
          <w:i/>
          <w:iCs/>
        </w:rPr>
      </w:pPr>
      <w:r>
        <w:rPr>
          <w:i/>
          <w:iCs/>
        </w:rPr>
        <w:t>„</w:t>
      </w:r>
      <w:r w:rsidR="00BA307F" w:rsidRPr="00BA307F">
        <w:rPr>
          <w:i/>
          <w:iCs/>
        </w:rPr>
        <w:t xml:space="preserve">6. </w:t>
      </w:r>
      <w:bookmarkStart w:id="2" w:name="_Hlk160105341"/>
      <w:r w:rsidR="00BA307F" w:rsidRPr="00BA307F">
        <w:rPr>
          <w:i/>
          <w:iCs/>
        </w:rPr>
        <w:t>Souhrnná smluvní doložka uzavřená na základě Compliance programu TSK</w:t>
      </w:r>
      <w:bookmarkEnd w:id="2"/>
    </w:p>
    <w:p w14:paraId="790DAFAE" w14:textId="77777777" w:rsidR="00BA307F" w:rsidRPr="00BA307F" w:rsidRDefault="00BA307F" w:rsidP="00BA307F">
      <w:pPr>
        <w:keepNext/>
        <w:widowControl w:val="0"/>
        <w:spacing w:before="120" w:after="120"/>
        <w:jc w:val="center"/>
        <w:rPr>
          <w:rFonts w:cs="Arial"/>
          <w:b/>
          <w:i/>
          <w:iCs/>
        </w:rPr>
      </w:pPr>
    </w:p>
    <w:p w14:paraId="58C6DC04" w14:textId="23DB0BA6" w:rsidR="00BA307F" w:rsidRPr="00BA307F" w:rsidRDefault="00BA307F" w:rsidP="00BA307F">
      <w:pPr>
        <w:pStyle w:val="Clanek11"/>
        <w:numPr>
          <w:ilvl w:val="0"/>
          <w:numId w:val="0"/>
        </w:numPr>
        <w:ind w:left="567"/>
        <w:rPr>
          <w:i/>
          <w:szCs w:val="22"/>
        </w:rPr>
      </w:pPr>
      <w:r w:rsidRPr="00BA307F">
        <w:rPr>
          <w:i/>
          <w:szCs w:val="22"/>
        </w:rPr>
        <w:t xml:space="preserve">6.1 Dodavatel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BA307F">
        <w:rPr>
          <w:i/>
          <w:szCs w:val="22"/>
        </w:rPr>
        <w:t>Compliance</w:t>
      </w:r>
      <w:proofErr w:type="spellEnd"/>
      <w:r w:rsidRPr="00BA307F">
        <w:rPr>
          <w:i/>
          <w:szCs w:val="22"/>
        </w:rPr>
        <w:t xml:space="preserve"> zásad Dodavatele, tak i specifických požadavků vztahujících se k nulové toleranci korupčního jednání a celkovému dodržování zásad slušnosti, poctivosti a dobrých mravů.</w:t>
      </w:r>
    </w:p>
    <w:p w14:paraId="3D1C8D58" w14:textId="255AAD15" w:rsidR="00BA307F" w:rsidRPr="00BA307F" w:rsidRDefault="00BA307F" w:rsidP="00BA307F">
      <w:pPr>
        <w:pStyle w:val="Clanek11"/>
        <w:numPr>
          <w:ilvl w:val="0"/>
          <w:numId w:val="0"/>
        </w:numPr>
        <w:ind w:left="567"/>
        <w:rPr>
          <w:i/>
          <w:szCs w:val="22"/>
        </w:rPr>
      </w:pPr>
      <w:r w:rsidRPr="00BA307F">
        <w:rPr>
          <w:i/>
          <w:snapToGrid w:val="0"/>
        </w:rPr>
        <w:t xml:space="preserve">6.2 Dodavatel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  </w:t>
      </w:r>
    </w:p>
    <w:p w14:paraId="29048F76" w14:textId="22AEC6F0" w:rsidR="00BA307F" w:rsidRPr="00BA307F" w:rsidRDefault="00BA307F" w:rsidP="00BA307F">
      <w:pPr>
        <w:pStyle w:val="Clanek11"/>
        <w:numPr>
          <w:ilvl w:val="0"/>
          <w:numId w:val="0"/>
        </w:numPr>
        <w:ind w:left="567"/>
        <w:rPr>
          <w:i/>
          <w:szCs w:val="22"/>
        </w:rPr>
      </w:pPr>
      <w:r w:rsidRPr="00BA307F">
        <w:rPr>
          <w:i/>
          <w:snapToGrid w:val="0"/>
        </w:rPr>
        <w:t xml:space="preserve">6.3 Dodavatel výslovně prohlašuje, že si je vědom kontrolních i sankčních oprávnění TSK vyplývajících ze všech částí Souhrnné smluvní doložky, a že s nimi souhlasí; a v případě, že proti němu budu uplatněny, se zavazuje je akceptovat. </w:t>
      </w:r>
    </w:p>
    <w:p w14:paraId="2913B0A9" w14:textId="525218F6" w:rsidR="00BA307F" w:rsidRPr="00BA307F" w:rsidRDefault="00BA307F" w:rsidP="00BA307F">
      <w:pPr>
        <w:pStyle w:val="Clanek11"/>
        <w:numPr>
          <w:ilvl w:val="0"/>
          <w:numId w:val="0"/>
        </w:numPr>
        <w:ind w:left="567"/>
        <w:rPr>
          <w:i/>
          <w:szCs w:val="22"/>
        </w:rPr>
      </w:pPr>
      <w:r w:rsidRPr="00BA307F">
        <w:rPr>
          <w:i/>
          <w:snapToGrid w:val="0"/>
        </w:rPr>
        <w:t>6.4 Podrobně jsou práva a povinnosti Smluvních stran rozvedeny v příloze č.</w:t>
      </w:r>
      <w:r>
        <w:rPr>
          <w:i/>
          <w:snapToGrid w:val="0"/>
        </w:rPr>
        <w:t xml:space="preserve"> 1</w:t>
      </w:r>
      <w:r w:rsidRPr="00BA307F">
        <w:rPr>
          <w:i/>
          <w:snapToGrid w:val="0"/>
        </w:rPr>
        <w:t xml:space="preserve"> Souhrnná smluvní doložka, která </w:t>
      </w:r>
      <w:proofErr w:type="gramStart"/>
      <w:r w:rsidRPr="00BA307F">
        <w:rPr>
          <w:i/>
          <w:snapToGrid w:val="0"/>
        </w:rPr>
        <w:t>tvoří</w:t>
      </w:r>
      <w:proofErr w:type="gramEnd"/>
      <w:r w:rsidRPr="00BA307F">
        <w:rPr>
          <w:i/>
          <w:snapToGrid w:val="0"/>
        </w:rPr>
        <w:t xml:space="preserve"> nedílnou součást Smlouvy.</w:t>
      </w:r>
      <w:r w:rsidR="004E179E">
        <w:rPr>
          <w:i/>
          <w:snapToGrid w:val="0"/>
        </w:rPr>
        <w:t>“</w:t>
      </w:r>
    </w:p>
    <w:p w14:paraId="736D045B" w14:textId="77777777" w:rsidR="00BA307F" w:rsidRDefault="00BA307F" w:rsidP="00BA307F"/>
    <w:p w14:paraId="585E2343" w14:textId="77777777" w:rsidR="0058134D" w:rsidRPr="00DA6914" w:rsidRDefault="0058134D" w:rsidP="0058134D">
      <w:pPr>
        <w:pStyle w:val="Nadpis1"/>
        <w:rPr>
          <w:szCs w:val="22"/>
        </w:rPr>
      </w:pPr>
      <w:r w:rsidRPr="00DA6914">
        <w:rPr>
          <w:szCs w:val="22"/>
        </w:rPr>
        <w:t>Závěrečná ujednání</w:t>
      </w:r>
    </w:p>
    <w:p w14:paraId="2E7B97CF" w14:textId="4D22B670" w:rsidR="0058134D" w:rsidRPr="00DA6914" w:rsidRDefault="0058134D" w:rsidP="0058134D">
      <w:pPr>
        <w:pStyle w:val="Clanek11"/>
        <w:rPr>
          <w:bCs w:val="0"/>
          <w:iCs w:val="0"/>
          <w:szCs w:val="22"/>
        </w:rPr>
      </w:pPr>
      <w:r w:rsidRPr="00DA6914">
        <w:rPr>
          <w:szCs w:val="22"/>
        </w:rPr>
        <w:t xml:space="preserve">Strany tímto výslovně prohlašují, že se seznámily s obsahem </w:t>
      </w:r>
      <w:r w:rsidR="00B546DE" w:rsidRPr="00DA6914">
        <w:rPr>
          <w:szCs w:val="22"/>
        </w:rPr>
        <w:t>Dodatku</w:t>
      </w:r>
      <w:r w:rsidRPr="00DA6914">
        <w:rPr>
          <w:szCs w:val="22"/>
        </w:rPr>
        <w:t>, že t</w:t>
      </w:r>
      <w:r w:rsidR="00B546DE" w:rsidRPr="00DA6914">
        <w:rPr>
          <w:szCs w:val="22"/>
        </w:rPr>
        <w:t>ento Dodatek</w:t>
      </w:r>
      <w:r w:rsidRPr="00DA6914">
        <w:rPr>
          <w:szCs w:val="22"/>
        </w:rPr>
        <w:t xml:space="preserve"> vyjadřuje jejich pravou a svobodnou vůli, a že nebyl uzavřen v rozporu se zákonem nebo dobrými mravy, na důkaz čehož připojují níže své podpisy.</w:t>
      </w:r>
    </w:p>
    <w:p w14:paraId="567BAB34" w14:textId="008C1F74" w:rsidR="0058134D" w:rsidRPr="00DA6914" w:rsidRDefault="0058134D" w:rsidP="0058134D">
      <w:pPr>
        <w:pStyle w:val="Clanek11"/>
        <w:rPr>
          <w:szCs w:val="22"/>
        </w:rPr>
      </w:pPr>
      <w:r w:rsidRPr="00DA6914">
        <w:rPr>
          <w:szCs w:val="22"/>
        </w:rPr>
        <w:t>Strany prohlašují, že žádné skutečnosti uvedené v</w:t>
      </w:r>
      <w:r w:rsidR="00B546DE" w:rsidRPr="00DA6914">
        <w:rPr>
          <w:szCs w:val="22"/>
        </w:rPr>
        <w:t> tomto Dodatku</w:t>
      </w:r>
      <w:r w:rsidRPr="00DA6914">
        <w:rPr>
          <w:szCs w:val="22"/>
        </w:rPr>
        <w:t xml:space="preserve"> </w:t>
      </w:r>
      <w:proofErr w:type="gramStart"/>
      <w:r w:rsidRPr="00DA6914">
        <w:rPr>
          <w:szCs w:val="22"/>
        </w:rPr>
        <w:t>netvoří</w:t>
      </w:r>
      <w:proofErr w:type="gramEnd"/>
      <w:r w:rsidRPr="00DA6914">
        <w:rPr>
          <w:szCs w:val="22"/>
        </w:rPr>
        <w:t xml:space="preserve"> obchodní tajemství ve smyslu § 504 Občanského zákoníku.</w:t>
      </w:r>
    </w:p>
    <w:p w14:paraId="1A9F51CD" w14:textId="42EFF84A" w:rsidR="00B546DE" w:rsidRPr="00DA6914" w:rsidRDefault="00B546DE" w:rsidP="0058134D">
      <w:pPr>
        <w:pStyle w:val="Clanek11"/>
        <w:rPr>
          <w:szCs w:val="22"/>
        </w:rPr>
      </w:pPr>
      <w:r w:rsidRPr="00DA6914">
        <w:rPr>
          <w:szCs w:val="22"/>
        </w:rPr>
        <w:t xml:space="preserve">Dodatek nabývá platnosti dnem podpisu poslední Strany a účinnosti uveřejněním v registru smluv dle zákona č. 340/2015 Sb., </w:t>
      </w:r>
      <w:r w:rsidR="003C2819" w:rsidRPr="003C2819">
        <w:rPr>
          <w:szCs w:val="22"/>
        </w:rPr>
        <w:t>o zvláštních podmínkách účinnosti některých smluv, uveřejňování těchto smluv a o registru smluv (zákon o registru smluv)</w:t>
      </w:r>
      <w:r w:rsidRPr="00DA6914">
        <w:rPr>
          <w:szCs w:val="22"/>
        </w:rPr>
        <w:t>, v platném znění.</w:t>
      </w:r>
      <w:r w:rsidR="003C2819">
        <w:rPr>
          <w:szCs w:val="22"/>
        </w:rPr>
        <w:t xml:space="preserve"> Uveřejnění v registru smluv zajistí Klient.</w:t>
      </w:r>
    </w:p>
    <w:p w14:paraId="04109AFF" w14:textId="0B150FC5" w:rsidR="00FA0097" w:rsidRDefault="00B546DE" w:rsidP="00F742CF">
      <w:pPr>
        <w:pStyle w:val="Clanek11"/>
        <w:rPr>
          <w:szCs w:val="22"/>
        </w:rPr>
      </w:pPr>
      <w:r w:rsidRPr="00DA6914">
        <w:rPr>
          <w:szCs w:val="22"/>
        </w:rPr>
        <w:t>Tento Dodatek</w:t>
      </w:r>
      <w:r w:rsidR="0058134D" w:rsidRPr="00DA6914">
        <w:rPr>
          <w:szCs w:val="22"/>
        </w:rPr>
        <w:t xml:space="preserve"> je sepsán ve třech (3) vyhotoveních, z nichž </w:t>
      </w:r>
      <w:proofErr w:type="gramStart"/>
      <w:r w:rsidR="0058134D" w:rsidRPr="00DA6914">
        <w:rPr>
          <w:szCs w:val="22"/>
        </w:rPr>
        <w:t>obdrží</w:t>
      </w:r>
      <w:proofErr w:type="gramEnd"/>
      <w:r w:rsidR="0058134D" w:rsidRPr="00DA6914">
        <w:rPr>
          <w:szCs w:val="22"/>
        </w:rPr>
        <w:t xml:space="preserve"> </w:t>
      </w:r>
      <w:r w:rsidR="00314AAB">
        <w:rPr>
          <w:szCs w:val="22"/>
        </w:rPr>
        <w:t>Klient</w:t>
      </w:r>
      <w:r w:rsidR="00314AAB" w:rsidRPr="00DA6914">
        <w:rPr>
          <w:szCs w:val="22"/>
        </w:rPr>
        <w:t xml:space="preserve"> </w:t>
      </w:r>
      <w:r w:rsidR="0058134D" w:rsidRPr="00DA6914">
        <w:rPr>
          <w:szCs w:val="22"/>
        </w:rPr>
        <w:t>dvě (2) vyhotovení a Poskytovatel jedno (1) vyhotovení. V případě, že je</w:t>
      </w:r>
      <w:r w:rsidRPr="00DA6914">
        <w:rPr>
          <w:szCs w:val="22"/>
        </w:rPr>
        <w:t xml:space="preserve"> Dodatek</w:t>
      </w:r>
      <w:r w:rsidR="0058134D" w:rsidRPr="00DA6914">
        <w:rPr>
          <w:szCs w:val="22"/>
        </w:rPr>
        <w:t xml:space="preserve"> uzavírán elektronicky za využití uznávaných elektronických podpisů, </w:t>
      </w:r>
      <w:proofErr w:type="gramStart"/>
      <w:r w:rsidR="0058134D" w:rsidRPr="00DA6914">
        <w:rPr>
          <w:szCs w:val="22"/>
        </w:rPr>
        <w:t>postačí</w:t>
      </w:r>
      <w:proofErr w:type="gramEnd"/>
      <w:r w:rsidR="0058134D" w:rsidRPr="00DA6914">
        <w:rPr>
          <w:szCs w:val="22"/>
        </w:rPr>
        <w:t xml:space="preserve"> jedno vyhotovení </w:t>
      </w:r>
      <w:r w:rsidRPr="00DA6914">
        <w:rPr>
          <w:szCs w:val="22"/>
        </w:rPr>
        <w:t>Dodatku, na</w:t>
      </w:r>
      <w:r w:rsidR="0058134D" w:rsidRPr="00DA6914">
        <w:rPr>
          <w:szCs w:val="22"/>
        </w:rPr>
        <w:t xml:space="preserve"> kterém jsou zaznamenány uznávané elektronické podpisy zástupců Stran.</w:t>
      </w:r>
    </w:p>
    <w:p w14:paraId="71BB9DF3" w14:textId="77777777" w:rsidR="00BA307F" w:rsidRDefault="00BA307F" w:rsidP="00BA307F">
      <w:pPr>
        <w:pStyle w:val="Clanek11"/>
        <w:numPr>
          <w:ilvl w:val="0"/>
          <w:numId w:val="0"/>
        </w:numPr>
        <w:ind w:left="567"/>
        <w:rPr>
          <w:szCs w:val="22"/>
        </w:rPr>
      </w:pPr>
    </w:p>
    <w:p w14:paraId="28D567EE" w14:textId="77777777" w:rsidR="00BA307F" w:rsidRPr="00BA307F" w:rsidRDefault="00BA307F" w:rsidP="00BA307F">
      <w:pPr>
        <w:pStyle w:val="Clanek11"/>
        <w:numPr>
          <w:ilvl w:val="0"/>
          <w:numId w:val="0"/>
        </w:numPr>
        <w:ind w:left="567"/>
        <w:rPr>
          <w:b/>
          <w:bCs w:val="0"/>
          <w:szCs w:val="22"/>
        </w:rPr>
      </w:pPr>
      <w:r w:rsidRPr="00BA307F">
        <w:rPr>
          <w:b/>
          <w:bCs w:val="0"/>
          <w:szCs w:val="22"/>
        </w:rPr>
        <w:t xml:space="preserve">Příloha: </w:t>
      </w:r>
    </w:p>
    <w:p w14:paraId="43D529B4" w14:textId="3663C0EB" w:rsidR="00BA307F" w:rsidRDefault="00BA307F" w:rsidP="00BA307F">
      <w:pPr>
        <w:pStyle w:val="Clanek11"/>
        <w:numPr>
          <w:ilvl w:val="0"/>
          <w:numId w:val="0"/>
        </w:numPr>
        <w:ind w:left="567"/>
        <w:rPr>
          <w:bCs w:val="0"/>
          <w:iCs w:val="0"/>
        </w:rPr>
      </w:pPr>
      <w:r>
        <w:rPr>
          <w:szCs w:val="22"/>
        </w:rPr>
        <w:t xml:space="preserve">č. 1 - </w:t>
      </w:r>
      <w:r w:rsidRPr="00BA307F">
        <w:rPr>
          <w:bCs w:val="0"/>
          <w:iCs w:val="0"/>
        </w:rPr>
        <w:t>Souhrnná smluvní doložka uzavřená na základě </w:t>
      </w:r>
      <w:proofErr w:type="spellStart"/>
      <w:r w:rsidRPr="00BA307F">
        <w:rPr>
          <w:bCs w:val="0"/>
          <w:iCs w:val="0"/>
        </w:rPr>
        <w:t>Compliance</w:t>
      </w:r>
      <w:proofErr w:type="spellEnd"/>
      <w:r w:rsidRPr="00BA307F">
        <w:rPr>
          <w:bCs w:val="0"/>
          <w:iCs w:val="0"/>
        </w:rPr>
        <w:t xml:space="preserve"> programu TSK</w:t>
      </w:r>
    </w:p>
    <w:p w14:paraId="038AFA79" w14:textId="77777777" w:rsidR="007C1994" w:rsidRDefault="007C1994" w:rsidP="00BA307F">
      <w:pPr>
        <w:pStyle w:val="Clanek11"/>
        <w:numPr>
          <w:ilvl w:val="0"/>
          <w:numId w:val="0"/>
        </w:numPr>
        <w:ind w:left="567"/>
        <w:rPr>
          <w:bCs w:val="0"/>
          <w:iCs w:val="0"/>
        </w:rPr>
      </w:pPr>
    </w:p>
    <w:p w14:paraId="726E15AF" w14:textId="36DF01B3" w:rsidR="007C1994" w:rsidRPr="007C1994" w:rsidRDefault="007C1994" w:rsidP="007C1994">
      <w:pPr>
        <w:pStyle w:val="Clanek11"/>
        <w:numPr>
          <w:ilvl w:val="0"/>
          <w:numId w:val="0"/>
        </w:numPr>
        <w:ind w:left="987"/>
        <w:jc w:val="center"/>
        <w:rPr>
          <w:bCs w:val="0"/>
          <w:i/>
          <w:szCs w:val="22"/>
        </w:rPr>
      </w:pPr>
      <w:r>
        <w:rPr>
          <w:bCs w:val="0"/>
          <w:i/>
        </w:rPr>
        <w:t>Podpisy smluvních stran následují na další stránce</w:t>
      </w:r>
    </w:p>
    <w:p w14:paraId="0F817D1A" w14:textId="77777777" w:rsidR="0058134D" w:rsidRPr="00DA6914" w:rsidRDefault="0058134D" w:rsidP="0058134D">
      <w:pPr>
        <w:keepNext/>
        <w:keepLines/>
        <w:rPr>
          <w:rFonts w:cs="Arial"/>
          <w:szCs w:val="22"/>
        </w:rPr>
      </w:pPr>
    </w:p>
    <w:tbl>
      <w:tblPr>
        <w:tblStyle w:val="Mkatabulky"/>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5017"/>
      </w:tblGrid>
      <w:tr w:rsidR="0058134D" w:rsidRPr="00DA6914" w14:paraId="535D147D" w14:textId="77777777" w:rsidTr="00964279">
        <w:trPr>
          <w:trHeight w:val="291"/>
        </w:trPr>
        <w:tc>
          <w:tcPr>
            <w:tcW w:w="5017" w:type="dxa"/>
          </w:tcPr>
          <w:p w14:paraId="75A915A0" w14:textId="7125E1DF" w:rsidR="0058134D" w:rsidRPr="00DA6914" w:rsidRDefault="0058134D" w:rsidP="00964279">
            <w:pPr>
              <w:keepNext/>
              <w:keepLines/>
              <w:spacing w:before="120" w:after="120"/>
              <w:rPr>
                <w:rFonts w:cs="Arial"/>
                <w:szCs w:val="22"/>
              </w:rPr>
            </w:pPr>
          </w:p>
        </w:tc>
        <w:tc>
          <w:tcPr>
            <w:tcW w:w="5017" w:type="dxa"/>
          </w:tcPr>
          <w:p w14:paraId="72AF8A64" w14:textId="55572358" w:rsidR="0058134D" w:rsidRPr="00DA6914" w:rsidRDefault="0058134D" w:rsidP="00964279">
            <w:pPr>
              <w:keepNext/>
              <w:keepLines/>
              <w:spacing w:before="120" w:after="120"/>
              <w:rPr>
                <w:rFonts w:cs="Arial"/>
                <w:szCs w:val="22"/>
              </w:rPr>
            </w:pPr>
          </w:p>
        </w:tc>
      </w:tr>
      <w:tr w:rsidR="0058134D" w:rsidRPr="00DA6914" w14:paraId="10F0F17B" w14:textId="77777777" w:rsidTr="00964279">
        <w:trPr>
          <w:trHeight w:val="516"/>
        </w:trPr>
        <w:tc>
          <w:tcPr>
            <w:tcW w:w="5017" w:type="dxa"/>
          </w:tcPr>
          <w:p w14:paraId="34E7EA7C" w14:textId="4FF819A3" w:rsidR="0058134D" w:rsidRPr="00DA6914" w:rsidRDefault="0058134D" w:rsidP="00964279">
            <w:pPr>
              <w:keepNext/>
              <w:keepLines/>
              <w:spacing w:before="120" w:after="120"/>
              <w:rPr>
                <w:rFonts w:cs="Arial"/>
                <w:szCs w:val="22"/>
              </w:rPr>
            </w:pPr>
            <w:r w:rsidRPr="00DA6914">
              <w:rPr>
                <w:rFonts w:cs="Arial"/>
                <w:szCs w:val="22"/>
              </w:rPr>
              <w:t xml:space="preserve">Za </w:t>
            </w:r>
            <w:r w:rsidR="00314AAB">
              <w:rPr>
                <w:rFonts w:cs="Arial"/>
                <w:szCs w:val="22"/>
              </w:rPr>
              <w:t>Klienta</w:t>
            </w:r>
            <w:r w:rsidR="0070209D">
              <w:rPr>
                <w:rFonts w:cs="Arial"/>
                <w:szCs w:val="22"/>
              </w:rPr>
              <w:t xml:space="preserve"> v Praze</w:t>
            </w:r>
            <w:r w:rsidRPr="00DA6914">
              <w:rPr>
                <w:rFonts w:cs="Arial"/>
                <w:szCs w:val="22"/>
              </w:rPr>
              <w:t>:</w:t>
            </w:r>
            <w:r w:rsidR="00D2405B">
              <w:rPr>
                <w:rFonts w:cs="Arial"/>
                <w:szCs w:val="22"/>
              </w:rPr>
              <w:t xml:space="preserve"> 5.3.2024</w:t>
            </w:r>
          </w:p>
          <w:p w14:paraId="30C1A85F" w14:textId="77777777" w:rsidR="00D65D55" w:rsidRDefault="0058134D" w:rsidP="00964279">
            <w:pPr>
              <w:keepNext/>
              <w:keepLines/>
              <w:spacing w:before="120" w:after="120"/>
              <w:rPr>
                <w:rFonts w:cs="Arial"/>
                <w:b/>
                <w:bCs/>
                <w:szCs w:val="22"/>
              </w:rPr>
            </w:pPr>
            <w:r w:rsidRPr="00DA6914">
              <w:rPr>
                <w:rFonts w:cs="Arial"/>
                <w:b/>
                <w:bCs/>
                <w:szCs w:val="22"/>
              </w:rPr>
              <w:t xml:space="preserve">Technická správa komunikací </w:t>
            </w:r>
          </w:p>
          <w:p w14:paraId="401B602D" w14:textId="64FBF3B7" w:rsidR="0058134D" w:rsidRPr="00DA6914" w:rsidRDefault="0058134D" w:rsidP="00964279">
            <w:pPr>
              <w:keepNext/>
              <w:keepLines/>
              <w:spacing w:before="120" w:after="120"/>
              <w:rPr>
                <w:rFonts w:cs="Arial"/>
                <w:szCs w:val="22"/>
              </w:rPr>
            </w:pPr>
            <w:r w:rsidRPr="00DA6914">
              <w:rPr>
                <w:rFonts w:cs="Arial"/>
                <w:b/>
                <w:bCs/>
                <w:szCs w:val="22"/>
              </w:rPr>
              <w:t>hl. m. Prahy, a.s.</w:t>
            </w:r>
          </w:p>
          <w:p w14:paraId="6D96DA2C" w14:textId="77777777" w:rsidR="0058134D" w:rsidRPr="00DA6914" w:rsidRDefault="0058134D" w:rsidP="00964279">
            <w:pPr>
              <w:keepNext/>
              <w:keepLines/>
              <w:spacing w:before="120" w:after="120"/>
              <w:rPr>
                <w:rFonts w:cs="Arial"/>
                <w:szCs w:val="22"/>
              </w:rPr>
            </w:pPr>
          </w:p>
          <w:p w14:paraId="67EC3ECA" w14:textId="77777777" w:rsidR="00F742CF" w:rsidRPr="00DA6914" w:rsidRDefault="00F742CF" w:rsidP="00964279">
            <w:pPr>
              <w:keepNext/>
              <w:keepLines/>
              <w:spacing w:before="120" w:after="120"/>
              <w:rPr>
                <w:rFonts w:cs="Arial"/>
                <w:szCs w:val="22"/>
              </w:rPr>
            </w:pPr>
          </w:p>
          <w:p w14:paraId="754582F9" w14:textId="4F3CBB5A" w:rsidR="00F742CF" w:rsidRPr="00DA6914" w:rsidRDefault="00F742CF" w:rsidP="00964279">
            <w:pPr>
              <w:keepNext/>
              <w:keepLines/>
              <w:spacing w:before="120" w:after="120"/>
              <w:rPr>
                <w:rFonts w:cs="Arial"/>
                <w:szCs w:val="22"/>
              </w:rPr>
            </w:pPr>
          </w:p>
        </w:tc>
        <w:tc>
          <w:tcPr>
            <w:tcW w:w="5017" w:type="dxa"/>
          </w:tcPr>
          <w:p w14:paraId="06BE887E" w14:textId="4D9C7A5A" w:rsidR="0058134D" w:rsidRPr="00DA6914" w:rsidRDefault="0058134D" w:rsidP="00964279">
            <w:pPr>
              <w:keepNext/>
              <w:keepLines/>
              <w:spacing w:before="120" w:after="120"/>
              <w:rPr>
                <w:rFonts w:cs="Arial"/>
                <w:szCs w:val="22"/>
              </w:rPr>
            </w:pPr>
            <w:r w:rsidRPr="00DA6914">
              <w:rPr>
                <w:rFonts w:cs="Arial"/>
                <w:szCs w:val="22"/>
              </w:rPr>
              <w:t>Za Poskytovatele</w:t>
            </w:r>
            <w:r w:rsidR="0070209D">
              <w:rPr>
                <w:rFonts w:cs="Arial"/>
                <w:szCs w:val="22"/>
              </w:rPr>
              <w:t xml:space="preserve"> v Praze</w:t>
            </w:r>
            <w:r w:rsidRPr="00DA6914">
              <w:rPr>
                <w:rFonts w:cs="Arial"/>
                <w:szCs w:val="22"/>
              </w:rPr>
              <w:t>:</w:t>
            </w:r>
          </w:p>
          <w:p w14:paraId="5686EAF7" w14:textId="0FA191B9" w:rsidR="0058134D" w:rsidRPr="00DA6914" w:rsidRDefault="005513CD" w:rsidP="00964279">
            <w:pPr>
              <w:keepNext/>
              <w:keepLines/>
              <w:spacing w:before="120" w:after="120"/>
              <w:rPr>
                <w:rFonts w:cs="Arial"/>
                <w:szCs w:val="22"/>
              </w:rPr>
            </w:pPr>
            <w:r w:rsidRPr="005513CD">
              <w:rPr>
                <w:rFonts w:cs="Arial"/>
                <w:b/>
                <w:iCs/>
                <w:szCs w:val="22"/>
                <w:lang w:eastAsia="en-US"/>
              </w:rPr>
              <w:t xml:space="preserve">Urban &amp; Hejduk s.r.o., advokátní kancelář </w:t>
            </w:r>
          </w:p>
        </w:tc>
      </w:tr>
      <w:tr w:rsidR="0058134D" w:rsidRPr="00DA6914" w14:paraId="5155E2E0" w14:textId="77777777" w:rsidTr="00964279">
        <w:trPr>
          <w:trHeight w:val="1240"/>
        </w:trPr>
        <w:tc>
          <w:tcPr>
            <w:tcW w:w="5017" w:type="dxa"/>
          </w:tcPr>
          <w:p w14:paraId="066CB6CE" w14:textId="77777777" w:rsidR="0058134D" w:rsidRPr="00DA6914" w:rsidRDefault="0058134D" w:rsidP="00964279">
            <w:pPr>
              <w:keepNext/>
              <w:keepLines/>
              <w:spacing w:before="120" w:after="120"/>
              <w:jc w:val="center"/>
              <w:rPr>
                <w:rFonts w:cs="Arial"/>
                <w:szCs w:val="22"/>
              </w:rPr>
            </w:pPr>
            <w:r w:rsidRPr="00DA6914">
              <w:rPr>
                <w:rFonts w:cs="Arial"/>
                <w:szCs w:val="22"/>
              </w:rPr>
              <w:t>_______________________</w:t>
            </w:r>
          </w:p>
          <w:p w14:paraId="006A0550" w14:textId="13FD202E" w:rsidR="00F742CF" w:rsidRPr="00DA6914" w:rsidRDefault="005513CD" w:rsidP="00964279">
            <w:pPr>
              <w:keepNext/>
              <w:keepLines/>
              <w:jc w:val="center"/>
              <w:rPr>
                <w:bCs/>
                <w:szCs w:val="22"/>
              </w:rPr>
            </w:pPr>
            <w:r>
              <w:rPr>
                <w:bCs/>
                <w:szCs w:val="22"/>
              </w:rPr>
              <w:t>PhDr. Filip Hájek</w:t>
            </w:r>
          </w:p>
          <w:p w14:paraId="0B2089EB" w14:textId="57B5F2C9" w:rsidR="0058134D" w:rsidRPr="00DA6914" w:rsidRDefault="005513CD" w:rsidP="00964279">
            <w:pPr>
              <w:keepNext/>
              <w:keepLines/>
              <w:jc w:val="center"/>
              <w:rPr>
                <w:rFonts w:cs="Arial"/>
                <w:szCs w:val="22"/>
              </w:rPr>
            </w:pPr>
            <w:r>
              <w:rPr>
                <w:szCs w:val="22"/>
              </w:rPr>
              <w:t>místo</w:t>
            </w:r>
            <w:r w:rsidR="00FA0097" w:rsidRPr="00DA6914">
              <w:rPr>
                <w:szCs w:val="22"/>
              </w:rPr>
              <w:t>p</w:t>
            </w:r>
            <w:r w:rsidR="00B546DE" w:rsidRPr="00DA6914">
              <w:rPr>
                <w:szCs w:val="22"/>
              </w:rPr>
              <w:t xml:space="preserve">ředseda představenstva </w:t>
            </w:r>
          </w:p>
        </w:tc>
        <w:tc>
          <w:tcPr>
            <w:tcW w:w="5017" w:type="dxa"/>
          </w:tcPr>
          <w:p w14:paraId="7A57A414" w14:textId="77777777" w:rsidR="0058134D" w:rsidRPr="00DA6914" w:rsidRDefault="0058134D" w:rsidP="00964279">
            <w:pPr>
              <w:keepNext/>
              <w:keepLines/>
              <w:spacing w:before="120" w:after="120"/>
              <w:jc w:val="center"/>
              <w:rPr>
                <w:rFonts w:cs="Arial"/>
                <w:szCs w:val="22"/>
              </w:rPr>
            </w:pPr>
            <w:r w:rsidRPr="00DA6914">
              <w:rPr>
                <w:rFonts w:cs="Arial"/>
                <w:szCs w:val="22"/>
              </w:rPr>
              <w:t>_______________________</w:t>
            </w:r>
          </w:p>
          <w:p w14:paraId="20F0C7C3" w14:textId="77777777" w:rsidR="005513CD" w:rsidRPr="005513CD" w:rsidRDefault="005513CD" w:rsidP="00396560">
            <w:pPr>
              <w:keepNext/>
              <w:keepLines/>
              <w:spacing w:before="120"/>
              <w:jc w:val="center"/>
              <w:rPr>
                <w:szCs w:val="22"/>
              </w:rPr>
            </w:pPr>
            <w:r w:rsidRPr="005513CD">
              <w:rPr>
                <w:szCs w:val="22"/>
              </w:rPr>
              <w:t>Mgr. Marek Hejduk</w:t>
            </w:r>
          </w:p>
          <w:p w14:paraId="7038E27E" w14:textId="502C49E6" w:rsidR="0058134D" w:rsidRPr="00DA6914" w:rsidRDefault="005513CD" w:rsidP="005513CD">
            <w:pPr>
              <w:keepNext/>
              <w:keepLines/>
              <w:jc w:val="center"/>
              <w:rPr>
                <w:rFonts w:cs="Arial"/>
                <w:bCs/>
                <w:szCs w:val="22"/>
              </w:rPr>
            </w:pPr>
            <w:r w:rsidRPr="005513CD">
              <w:rPr>
                <w:szCs w:val="22"/>
              </w:rPr>
              <w:t>advokát, jednatel</w:t>
            </w:r>
          </w:p>
        </w:tc>
      </w:tr>
    </w:tbl>
    <w:p w14:paraId="2AFF47B0" w14:textId="77777777" w:rsidR="00810FC5" w:rsidRDefault="00810FC5" w:rsidP="00FA0097">
      <w:pPr>
        <w:keepNext/>
        <w:keepLines/>
        <w:rPr>
          <w:szCs w:val="22"/>
        </w:rPr>
      </w:pPr>
    </w:p>
    <w:p w14:paraId="0259A133" w14:textId="77777777" w:rsidR="007C1994" w:rsidRDefault="007C1994" w:rsidP="00FA0097">
      <w:pPr>
        <w:keepNext/>
        <w:keepLines/>
        <w:rPr>
          <w:szCs w:val="22"/>
        </w:rPr>
      </w:pPr>
    </w:p>
    <w:p w14:paraId="17AC70D6" w14:textId="77777777" w:rsidR="007C1994" w:rsidRDefault="007C1994" w:rsidP="00FA0097">
      <w:pPr>
        <w:keepNext/>
        <w:keepLines/>
        <w:rPr>
          <w:szCs w:val="22"/>
        </w:rPr>
      </w:pPr>
    </w:p>
    <w:p w14:paraId="16B2FF9C" w14:textId="77777777" w:rsidR="007C1994" w:rsidRDefault="007C1994" w:rsidP="00FA0097">
      <w:pPr>
        <w:keepNext/>
        <w:keepLines/>
        <w:rPr>
          <w:szCs w:val="22"/>
        </w:rPr>
      </w:pPr>
    </w:p>
    <w:p w14:paraId="0F14FA66" w14:textId="77777777" w:rsidR="007C1994" w:rsidRDefault="007C1994" w:rsidP="00FA0097">
      <w:pPr>
        <w:keepNext/>
        <w:keepLines/>
        <w:rPr>
          <w:szCs w:val="22"/>
        </w:rPr>
      </w:pPr>
    </w:p>
    <w:p w14:paraId="75DAC7C8" w14:textId="77777777" w:rsidR="007C1994" w:rsidRDefault="007C1994" w:rsidP="00FA0097">
      <w:pPr>
        <w:keepNext/>
        <w:keepLines/>
        <w:rPr>
          <w:szCs w:val="22"/>
        </w:rPr>
      </w:pPr>
    </w:p>
    <w:p w14:paraId="60CCA65B" w14:textId="77777777" w:rsidR="007C1994" w:rsidRDefault="007C1994" w:rsidP="00FA0097">
      <w:pPr>
        <w:keepNext/>
        <w:keepLines/>
        <w:rPr>
          <w:szCs w:val="22"/>
        </w:rPr>
      </w:pPr>
    </w:p>
    <w:p w14:paraId="589A0FDD" w14:textId="77777777" w:rsidR="007C1994" w:rsidRDefault="007C1994" w:rsidP="00FA0097">
      <w:pPr>
        <w:keepNext/>
        <w:keepLines/>
        <w:rPr>
          <w:szCs w:val="22"/>
        </w:rPr>
      </w:pPr>
    </w:p>
    <w:p w14:paraId="5088AF29" w14:textId="77777777" w:rsidR="007C1994" w:rsidRDefault="007C1994" w:rsidP="00FA0097">
      <w:pPr>
        <w:keepNext/>
        <w:keepLines/>
        <w:rPr>
          <w:szCs w:val="22"/>
        </w:rPr>
      </w:pPr>
    </w:p>
    <w:p w14:paraId="7B24A9FD" w14:textId="77777777" w:rsidR="007C1994" w:rsidRDefault="007C1994" w:rsidP="00FA0097">
      <w:pPr>
        <w:keepNext/>
        <w:keepLines/>
        <w:rPr>
          <w:szCs w:val="22"/>
        </w:rPr>
      </w:pPr>
    </w:p>
    <w:p w14:paraId="6086D7FA" w14:textId="77777777" w:rsidR="007C1994" w:rsidRDefault="007C1994" w:rsidP="00FA0097">
      <w:pPr>
        <w:keepNext/>
        <w:keepLines/>
        <w:rPr>
          <w:szCs w:val="22"/>
        </w:rPr>
      </w:pPr>
    </w:p>
    <w:p w14:paraId="35319532" w14:textId="77777777" w:rsidR="007C1994" w:rsidRDefault="007C1994" w:rsidP="00FA0097">
      <w:pPr>
        <w:keepNext/>
        <w:keepLines/>
        <w:rPr>
          <w:szCs w:val="22"/>
        </w:rPr>
      </w:pPr>
    </w:p>
    <w:p w14:paraId="7E566537" w14:textId="77777777" w:rsidR="007C1994" w:rsidRDefault="007C1994" w:rsidP="00FA0097">
      <w:pPr>
        <w:keepNext/>
        <w:keepLines/>
        <w:rPr>
          <w:szCs w:val="22"/>
        </w:rPr>
      </w:pPr>
    </w:p>
    <w:p w14:paraId="6ED5CADA" w14:textId="77777777" w:rsidR="007C1994" w:rsidRDefault="007C1994" w:rsidP="00FA0097">
      <w:pPr>
        <w:keepNext/>
        <w:keepLines/>
        <w:rPr>
          <w:szCs w:val="22"/>
        </w:rPr>
      </w:pPr>
    </w:p>
    <w:p w14:paraId="4F41AB5B" w14:textId="77777777" w:rsidR="007C1994" w:rsidRDefault="007C1994" w:rsidP="00FA0097">
      <w:pPr>
        <w:keepNext/>
        <w:keepLines/>
        <w:rPr>
          <w:szCs w:val="22"/>
        </w:rPr>
      </w:pPr>
    </w:p>
    <w:p w14:paraId="2F859B63" w14:textId="77777777" w:rsidR="007C1994" w:rsidRDefault="007C1994" w:rsidP="00FA0097">
      <w:pPr>
        <w:keepNext/>
        <w:keepLines/>
        <w:rPr>
          <w:szCs w:val="22"/>
        </w:rPr>
      </w:pPr>
    </w:p>
    <w:p w14:paraId="28BAD450" w14:textId="77777777" w:rsidR="007C1994" w:rsidRDefault="007C1994" w:rsidP="00FA0097">
      <w:pPr>
        <w:keepNext/>
        <w:keepLines/>
        <w:rPr>
          <w:szCs w:val="22"/>
        </w:rPr>
      </w:pPr>
    </w:p>
    <w:p w14:paraId="335C7912" w14:textId="77777777" w:rsidR="007C1994" w:rsidRDefault="007C1994" w:rsidP="00FA0097">
      <w:pPr>
        <w:keepNext/>
        <w:keepLines/>
        <w:rPr>
          <w:szCs w:val="22"/>
        </w:rPr>
      </w:pPr>
    </w:p>
    <w:p w14:paraId="1EE39321" w14:textId="77777777" w:rsidR="007C1994" w:rsidRDefault="007C1994" w:rsidP="00FA0097">
      <w:pPr>
        <w:keepNext/>
        <w:keepLines/>
        <w:rPr>
          <w:szCs w:val="22"/>
        </w:rPr>
      </w:pPr>
    </w:p>
    <w:p w14:paraId="005201DF" w14:textId="77777777" w:rsidR="007C1994" w:rsidRDefault="007C1994" w:rsidP="00FA0097">
      <w:pPr>
        <w:keepNext/>
        <w:keepLines/>
        <w:rPr>
          <w:szCs w:val="22"/>
        </w:rPr>
      </w:pPr>
    </w:p>
    <w:p w14:paraId="5E31F38C" w14:textId="77777777" w:rsidR="007C1994" w:rsidRDefault="007C1994" w:rsidP="00FA0097">
      <w:pPr>
        <w:keepNext/>
        <w:keepLines/>
        <w:rPr>
          <w:szCs w:val="22"/>
        </w:rPr>
      </w:pPr>
    </w:p>
    <w:p w14:paraId="201AE199" w14:textId="77777777" w:rsidR="007C1994" w:rsidRDefault="007C1994" w:rsidP="00FA0097">
      <w:pPr>
        <w:keepNext/>
        <w:keepLines/>
        <w:rPr>
          <w:szCs w:val="22"/>
        </w:rPr>
      </w:pPr>
    </w:p>
    <w:p w14:paraId="2CD37A7C" w14:textId="77777777" w:rsidR="007C1994" w:rsidRDefault="007C1994" w:rsidP="00FA0097">
      <w:pPr>
        <w:keepNext/>
        <w:keepLines/>
        <w:rPr>
          <w:szCs w:val="22"/>
        </w:rPr>
      </w:pPr>
    </w:p>
    <w:p w14:paraId="77C8A49E" w14:textId="77777777" w:rsidR="007C1994" w:rsidRDefault="007C1994" w:rsidP="00FA0097">
      <w:pPr>
        <w:keepNext/>
        <w:keepLines/>
        <w:rPr>
          <w:szCs w:val="22"/>
        </w:rPr>
      </w:pPr>
    </w:p>
    <w:p w14:paraId="72DE4165" w14:textId="77777777" w:rsidR="007C1994" w:rsidRDefault="007C1994" w:rsidP="00FA0097">
      <w:pPr>
        <w:keepNext/>
        <w:keepLines/>
        <w:rPr>
          <w:szCs w:val="22"/>
        </w:rPr>
      </w:pPr>
    </w:p>
    <w:p w14:paraId="677E5F86" w14:textId="77777777" w:rsidR="007C1994" w:rsidRDefault="007C1994" w:rsidP="00FA0097">
      <w:pPr>
        <w:keepNext/>
        <w:keepLines/>
        <w:rPr>
          <w:szCs w:val="22"/>
        </w:rPr>
      </w:pPr>
    </w:p>
    <w:p w14:paraId="4CF13D02" w14:textId="77777777" w:rsidR="007C1994" w:rsidRDefault="007C1994" w:rsidP="00FA0097">
      <w:pPr>
        <w:keepNext/>
        <w:keepLines/>
        <w:rPr>
          <w:szCs w:val="22"/>
        </w:rPr>
      </w:pPr>
    </w:p>
    <w:p w14:paraId="69C8764B" w14:textId="77777777" w:rsidR="007C1994" w:rsidRDefault="007C1994" w:rsidP="00FA0097">
      <w:pPr>
        <w:keepNext/>
        <w:keepLines/>
        <w:rPr>
          <w:szCs w:val="22"/>
        </w:rPr>
      </w:pPr>
    </w:p>
    <w:p w14:paraId="206EFFA1" w14:textId="77777777" w:rsidR="007C1994" w:rsidRDefault="007C1994" w:rsidP="00FA0097">
      <w:pPr>
        <w:keepNext/>
        <w:keepLines/>
        <w:rPr>
          <w:szCs w:val="22"/>
        </w:rPr>
      </w:pPr>
    </w:p>
    <w:p w14:paraId="1A7E65B2" w14:textId="77777777" w:rsidR="007C1994" w:rsidRDefault="007C1994" w:rsidP="00FA0097">
      <w:pPr>
        <w:keepNext/>
        <w:keepLines/>
        <w:rPr>
          <w:szCs w:val="22"/>
        </w:rPr>
      </w:pPr>
    </w:p>
    <w:p w14:paraId="4CE3BBEB" w14:textId="77777777" w:rsidR="007C1994" w:rsidRDefault="007C1994" w:rsidP="00FA0097">
      <w:pPr>
        <w:keepNext/>
        <w:keepLines/>
        <w:rPr>
          <w:szCs w:val="22"/>
        </w:rPr>
      </w:pPr>
    </w:p>
    <w:p w14:paraId="2263EF80" w14:textId="77777777" w:rsidR="007C1994" w:rsidRDefault="007C1994" w:rsidP="00FA0097">
      <w:pPr>
        <w:keepNext/>
        <w:keepLines/>
        <w:rPr>
          <w:szCs w:val="22"/>
        </w:rPr>
      </w:pPr>
    </w:p>
    <w:p w14:paraId="4AEB62EC" w14:textId="77777777" w:rsidR="007C1994" w:rsidRDefault="007C1994" w:rsidP="00FA0097">
      <w:pPr>
        <w:keepNext/>
        <w:keepLines/>
        <w:rPr>
          <w:szCs w:val="22"/>
        </w:rPr>
      </w:pPr>
    </w:p>
    <w:p w14:paraId="5C34437C" w14:textId="77777777" w:rsidR="007C1994" w:rsidRDefault="007C1994" w:rsidP="00FA0097">
      <w:pPr>
        <w:keepNext/>
        <w:keepLines/>
        <w:rPr>
          <w:szCs w:val="22"/>
        </w:rPr>
      </w:pPr>
    </w:p>
    <w:p w14:paraId="1C416F87" w14:textId="77777777" w:rsidR="007C1994" w:rsidRDefault="007C1994" w:rsidP="00FA0097">
      <w:pPr>
        <w:keepNext/>
        <w:keepLines/>
        <w:rPr>
          <w:szCs w:val="22"/>
        </w:rPr>
      </w:pPr>
    </w:p>
    <w:p w14:paraId="2D53283A" w14:textId="77777777" w:rsidR="007C1994" w:rsidRDefault="007C1994" w:rsidP="00FA0097">
      <w:pPr>
        <w:keepNext/>
        <w:keepLines/>
        <w:rPr>
          <w:szCs w:val="22"/>
        </w:rPr>
      </w:pPr>
    </w:p>
    <w:p w14:paraId="727D3DEC" w14:textId="77777777" w:rsidR="007C1994" w:rsidRDefault="007C1994" w:rsidP="00FA0097">
      <w:pPr>
        <w:keepNext/>
        <w:keepLines/>
        <w:rPr>
          <w:szCs w:val="22"/>
        </w:rPr>
      </w:pPr>
    </w:p>
    <w:p w14:paraId="07F6EB0A" w14:textId="77777777" w:rsidR="007C1994" w:rsidRDefault="007C1994" w:rsidP="00FA0097">
      <w:pPr>
        <w:keepNext/>
        <w:keepLines/>
        <w:rPr>
          <w:szCs w:val="22"/>
        </w:rPr>
      </w:pPr>
    </w:p>
    <w:p w14:paraId="6DCF9AD5" w14:textId="77777777" w:rsidR="007C1994" w:rsidRDefault="007C1994" w:rsidP="00FA0097">
      <w:pPr>
        <w:keepNext/>
        <w:keepLines/>
        <w:rPr>
          <w:szCs w:val="22"/>
        </w:rPr>
      </w:pPr>
    </w:p>
    <w:p w14:paraId="036B03F5" w14:textId="77777777" w:rsidR="007C1994" w:rsidRDefault="007C1994" w:rsidP="00FA0097">
      <w:pPr>
        <w:keepNext/>
        <w:keepLines/>
        <w:rPr>
          <w:szCs w:val="22"/>
        </w:rPr>
      </w:pPr>
    </w:p>
    <w:p w14:paraId="3FD7342C" w14:textId="77777777" w:rsidR="007C1994" w:rsidRDefault="007C1994" w:rsidP="00FA0097">
      <w:pPr>
        <w:keepNext/>
        <w:keepLines/>
        <w:rPr>
          <w:szCs w:val="22"/>
        </w:rPr>
      </w:pPr>
    </w:p>
    <w:p w14:paraId="4A801E35" w14:textId="77777777" w:rsidR="007C1994" w:rsidRDefault="007C1994" w:rsidP="007C1994">
      <w:pPr>
        <w:pStyle w:val="Bezmezer"/>
        <w:rPr>
          <w:rFonts w:ascii="Arial" w:hAnsi="Arial" w:cs="Arial"/>
          <w:b/>
          <w:bCs/>
          <w:color w:val="333333"/>
          <w:lang w:eastAsia="cs-CZ"/>
        </w:rPr>
      </w:pPr>
    </w:p>
    <w:p w14:paraId="3013A209" w14:textId="77777777" w:rsidR="007C1994" w:rsidRDefault="007C1994" w:rsidP="007C1994">
      <w:pPr>
        <w:pStyle w:val="Bezmezer"/>
        <w:rPr>
          <w:rFonts w:ascii="Arial" w:hAnsi="Arial" w:cs="Arial"/>
          <w:b/>
          <w:bCs/>
          <w:color w:val="333333"/>
          <w:lang w:eastAsia="cs-CZ"/>
        </w:rPr>
      </w:pPr>
    </w:p>
    <w:p w14:paraId="7C3BF162" w14:textId="6E6E2950" w:rsidR="007C1994" w:rsidRPr="007C1994" w:rsidRDefault="007C1994" w:rsidP="007C1994">
      <w:pPr>
        <w:pStyle w:val="Bezmezer"/>
        <w:rPr>
          <w:rFonts w:ascii="Arial" w:hAnsi="Arial" w:cs="Arial"/>
          <w:b/>
          <w:color w:val="333333"/>
          <w:sz w:val="24"/>
          <w:lang w:eastAsia="cs-CZ"/>
        </w:rPr>
      </w:pPr>
      <w:r w:rsidRPr="007C1994">
        <w:rPr>
          <w:rFonts w:ascii="Arial" w:hAnsi="Arial" w:cs="Arial"/>
          <w:b/>
          <w:color w:val="333333"/>
          <w:sz w:val="24"/>
          <w:lang w:eastAsia="cs-CZ"/>
        </w:rPr>
        <w:t xml:space="preserve">Příloha č.  </w:t>
      </w:r>
      <w:sdt>
        <w:sdtPr>
          <w:rPr>
            <w:rFonts w:ascii="Arial" w:hAnsi="Arial" w:cs="Arial"/>
            <w:b/>
            <w:sz w:val="24"/>
          </w:rPr>
          <w:id w:val="995993554"/>
          <w:placeholder>
            <w:docPart w:val="7D1C9CA7B8E349F1812A46FF2A4A2A4C"/>
          </w:placeholder>
        </w:sdtPr>
        <w:sdtEndPr/>
        <w:sdtContent>
          <w:r w:rsidRPr="007C1994">
            <w:rPr>
              <w:rFonts w:ascii="Arial" w:hAnsi="Arial" w:cs="Arial"/>
              <w:b/>
              <w:sz w:val="24"/>
            </w:rPr>
            <w:t>1</w:t>
          </w:r>
        </w:sdtContent>
      </w:sdt>
      <w:r w:rsidRPr="007C1994">
        <w:rPr>
          <w:rFonts w:ascii="Arial" w:hAnsi="Arial" w:cs="Arial"/>
          <w:b/>
          <w:color w:val="333333"/>
          <w:sz w:val="24"/>
          <w:lang w:eastAsia="cs-CZ"/>
        </w:rPr>
        <w:tab/>
        <w:t xml:space="preserve">      </w:t>
      </w:r>
    </w:p>
    <w:p w14:paraId="22A82CB2" w14:textId="77777777" w:rsidR="007C1994" w:rsidRDefault="007C1994" w:rsidP="007C1994">
      <w:pPr>
        <w:pStyle w:val="Bezmezer"/>
        <w:rPr>
          <w:rFonts w:ascii="Arial" w:hAnsi="Arial" w:cs="Arial"/>
          <w:b/>
          <w:bCs/>
          <w:color w:val="333333"/>
          <w:lang w:eastAsia="cs-CZ"/>
        </w:rPr>
      </w:pPr>
    </w:p>
    <w:p w14:paraId="28C77851" w14:textId="77777777" w:rsidR="007C1994" w:rsidRDefault="007C1994" w:rsidP="007C1994">
      <w:pPr>
        <w:pStyle w:val="Bezmezer"/>
        <w:rPr>
          <w:rFonts w:ascii="Arial" w:hAnsi="Arial" w:cs="Arial"/>
          <w:b/>
          <w:bCs/>
          <w:color w:val="333333"/>
          <w:sz w:val="24"/>
          <w:u w:val="single"/>
          <w:lang w:eastAsia="cs-CZ"/>
        </w:rPr>
      </w:pPr>
    </w:p>
    <w:p w14:paraId="075F7221" w14:textId="77777777" w:rsidR="007C1994" w:rsidRDefault="007C1994" w:rsidP="007C1994">
      <w:pPr>
        <w:pStyle w:val="Bezmezer"/>
        <w:rPr>
          <w:rFonts w:ascii="Arial" w:hAnsi="Arial" w:cs="Arial"/>
          <w:b/>
          <w:bCs/>
          <w:color w:val="333333"/>
          <w:sz w:val="24"/>
          <w:u w:val="single"/>
          <w:lang w:eastAsia="cs-CZ"/>
        </w:rPr>
      </w:pPr>
    </w:p>
    <w:p w14:paraId="73AA0007" w14:textId="77777777" w:rsidR="007C1994" w:rsidRDefault="007C1994" w:rsidP="007C1994">
      <w:pPr>
        <w:pStyle w:val="Bezmezer"/>
        <w:jc w:val="center"/>
        <w:rPr>
          <w:rFonts w:ascii="Arial" w:hAnsi="Arial" w:cs="Arial"/>
          <w:b/>
          <w:bCs/>
          <w:sz w:val="28"/>
        </w:rPr>
      </w:pPr>
      <w:r>
        <w:rPr>
          <w:rFonts w:ascii="Arial" w:hAnsi="Arial" w:cs="Arial"/>
          <w:b/>
          <w:bCs/>
          <w:sz w:val="28"/>
        </w:rPr>
        <w:t xml:space="preserve">Souhrnná doložka do smluv </w:t>
      </w:r>
    </w:p>
    <w:p w14:paraId="5BCFF48B" w14:textId="77777777" w:rsidR="007C1994" w:rsidRDefault="007C1994" w:rsidP="007C1994">
      <w:pPr>
        <w:pStyle w:val="Bezmezer"/>
        <w:jc w:val="center"/>
        <w:rPr>
          <w:rFonts w:ascii="Arial" w:hAnsi="Arial" w:cs="Arial"/>
          <w:b/>
          <w:bCs/>
          <w:sz w:val="28"/>
        </w:rPr>
      </w:pPr>
      <w:r>
        <w:rPr>
          <w:rFonts w:ascii="Arial" w:hAnsi="Arial" w:cs="Arial"/>
          <w:b/>
          <w:bCs/>
          <w:sz w:val="28"/>
        </w:rPr>
        <w:t>uzavíraných Technickou správou komunikací hl. m. Prahy, a.s.</w:t>
      </w:r>
    </w:p>
    <w:p w14:paraId="53E556D4" w14:textId="77777777" w:rsidR="007C1994" w:rsidRDefault="007C1994" w:rsidP="007C1994">
      <w:pPr>
        <w:pStyle w:val="Bezmezer"/>
        <w:jc w:val="center"/>
        <w:rPr>
          <w:rFonts w:ascii="Arial" w:hAnsi="Arial" w:cs="Arial"/>
          <w:b/>
          <w:bCs/>
          <w:sz w:val="28"/>
        </w:rPr>
      </w:pPr>
    </w:p>
    <w:p w14:paraId="2040F728" w14:textId="77777777" w:rsidR="007C1994" w:rsidRDefault="007C1994" w:rsidP="007C1994">
      <w:pPr>
        <w:pStyle w:val="Bezmezer"/>
        <w:spacing w:before="120" w:after="120" w:line="276" w:lineRule="auto"/>
        <w:rPr>
          <w:rFonts w:ascii="Arial" w:hAnsi="Arial" w:cs="Arial"/>
          <w:color w:val="333333"/>
          <w:lang w:eastAsia="cs-CZ"/>
        </w:rPr>
      </w:pPr>
      <w:r w:rsidRPr="006D0855">
        <w:rPr>
          <w:rFonts w:ascii="Arial" w:hAnsi="Arial" w:cs="Arial"/>
          <w:color w:val="333333"/>
          <w:lang w:eastAsia="cs-CZ"/>
        </w:rPr>
        <w:t xml:space="preserve">Tato </w:t>
      </w:r>
      <w:r>
        <w:rPr>
          <w:rFonts w:ascii="Arial" w:hAnsi="Arial" w:cs="Arial"/>
          <w:color w:val="333333"/>
          <w:lang w:eastAsia="cs-CZ"/>
        </w:rPr>
        <w:t>souhrnná smluvní doložka („</w:t>
      </w:r>
      <w:r w:rsidRPr="006D0855">
        <w:rPr>
          <w:rFonts w:ascii="Arial" w:hAnsi="Arial" w:cs="Arial"/>
          <w:b/>
          <w:bCs/>
          <w:color w:val="333333"/>
          <w:lang w:eastAsia="cs-CZ"/>
        </w:rPr>
        <w:t>Doložka</w:t>
      </w:r>
      <w:r>
        <w:rPr>
          <w:rFonts w:ascii="Arial" w:hAnsi="Arial" w:cs="Arial"/>
          <w:color w:val="333333"/>
          <w:lang w:eastAsia="cs-CZ"/>
        </w:rPr>
        <w:t xml:space="preserve">“) byla připravena na základě čl. 4.7 vnitřního předpisu </w:t>
      </w:r>
      <w:r w:rsidRPr="00031001">
        <w:rPr>
          <w:rFonts w:ascii="Arial" w:hAnsi="Arial" w:cs="Arial"/>
          <w:i/>
          <w:iCs/>
          <w:color w:val="333333"/>
          <w:lang w:eastAsia="cs-CZ"/>
        </w:rPr>
        <w:t xml:space="preserve">ZD-10 </w:t>
      </w:r>
      <w:proofErr w:type="spellStart"/>
      <w:r w:rsidRPr="00031001">
        <w:rPr>
          <w:rFonts w:ascii="Arial" w:hAnsi="Arial" w:cs="Arial"/>
          <w:i/>
          <w:iCs/>
          <w:color w:val="333333"/>
          <w:lang w:eastAsia="cs-CZ"/>
        </w:rPr>
        <w:t>Compliance</w:t>
      </w:r>
      <w:proofErr w:type="spellEnd"/>
      <w:r w:rsidRPr="00031001">
        <w:rPr>
          <w:rFonts w:ascii="Arial" w:hAnsi="Arial" w:cs="Arial"/>
          <w:i/>
          <w:iCs/>
          <w:color w:val="333333"/>
          <w:lang w:eastAsia="cs-CZ"/>
        </w:rPr>
        <w:t xml:space="preserve"> program společnosti Technická správa komunikací hl. m. Prahy</w:t>
      </w:r>
      <w:r>
        <w:rPr>
          <w:rFonts w:ascii="Arial" w:hAnsi="Arial" w:cs="Arial"/>
          <w:color w:val="333333"/>
          <w:lang w:eastAsia="cs-CZ"/>
        </w:rPr>
        <w:t xml:space="preserve"> („</w:t>
      </w:r>
      <w:proofErr w:type="spellStart"/>
      <w:r w:rsidRPr="002F1B7E">
        <w:rPr>
          <w:rFonts w:ascii="Arial" w:hAnsi="Arial" w:cs="Arial"/>
          <w:b/>
          <w:bCs/>
          <w:color w:val="333333"/>
          <w:lang w:eastAsia="cs-CZ"/>
        </w:rPr>
        <w:t>Compliance</w:t>
      </w:r>
      <w:proofErr w:type="spellEnd"/>
      <w:r w:rsidRPr="002F1B7E">
        <w:rPr>
          <w:rFonts w:ascii="Arial" w:hAnsi="Arial" w:cs="Arial"/>
          <w:b/>
          <w:bCs/>
          <w:color w:val="333333"/>
          <w:lang w:eastAsia="cs-CZ"/>
        </w:rPr>
        <w:t xml:space="preserve"> program</w:t>
      </w:r>
      <w:r>
        <w:rPr>
          <w:rFonts w:ascii="Arial" w:hAnsi="Arial" w:cs="Arial"/>
          <w:color w:val="333333"/>
          <w:lang w:eastAsia="cs-CZ"/>
        </w:rPr>
        <w:t>“).</w:t>
      </w:r>
    </w:p>
    <w:p w14:paraId="775681D6" w14:textId="77777777" w:rsidR="007C1994" w:rsidRDefault="007C1994" w:rsidP="007C1994">
      <w:pPr>
        <w:pStyle w:val="Bezmezer"/>
        <w:spacing w:before="120" w:after="120" w:line="276" w:lineRule="auto"/>
        <w:rPr>
          <w:rFonts w:ascii="Arial" w:hAnsi="Arial" w:cs="Arial"/>
          <w:color w:val="333333"/>
          <w:lang w:eastAsia="cs-CZ"/>
        </w:rPr>
      </w:pPr>
      <w:r>
        <w:rPr>
          <w:rFonts w:ascii="Arial" w:hAnsi="Arial" w:cs="Arial"/>
          <w:color w:val="333333"/>
          <w:lang w:eastAsia="cs-CZ"/>
        </w:rPr>
        <w:t>Doložka obsahuje celkem čtyři části, které blíže stanoví požadavky na dodavatele / obchodní partnery Technické správy komunikací hl. m. Prahy, a.s. („</w:t>
      </w:r>
      <w:r w:rsidRPr="00BD23F2">
        <w:rPr>
          <w:rFonts w:ascii="Arial" w:hAnsi="Arial" w:cs="Arial"/>
          <w:b/>
          <w:bCs/>
          <w:color w:val="333333"/>
          <w:lang w:eastAsia="cs-CZ"/>
        </w:rPr>
        <w:t>Společnost</w:t>
      </w:r>
      <w:r>
        <w:rPr>
          <w:rFonts w:ascii="Arial" w:hAnsi="Arial" w:cs="Arial"/>
          <w:color w:val="333333"/>
          <w:lang w:eastAsia="cs-CZ"/>
        </w:rPr>
        <w:t>“ nebo „</w:t>
      </w:r>
      <w:r w:rsidRPr="00B168AB">
        <w:rPr>
          <w:rFonts w:ascii="Arial" w:hAnsi="Arial" w:cs="Arial"/>
          <w:b/>
          <w:bCs/>
          <w:color w:val="333333"/>
          <w:lang w:eastAsia="cs-CZ"/>
        </w:rPr>
        <w:t>TSK</w:t>
      </w:r>
      <w:r>
        <w:rPr>
          <w:rFonts w:ascii="Arial" w:hAnsi="Arial" w:cs="Arial"/>
          <w:color w:val="333333"/>
          <w:lang w:eastAsia="cs-CZ"/>
        </w:rPr>
        <w:t xml:space="preserve">“), a to v oblasti (i) </w:t>
      </w:r>
      <w:proofErr w:type="spellStart"/>
      <w:r>
        <w:rPr>
          <w:rFonts w:ascii="Arial" w:hAnsi="Arial" w:cs="Arial"/>
          <w:color w:val="333333"/>
          <w:lang w:eastAsia="cs-CZ"/>
        </w:rPr>
        <w:t>compliance</w:t>
      </w:r>
      <w:proofErr w:type="spellEnd"/>
      <w:r>
        <w:rPr>
          <w:rFonts w:ascii="Arial" w:hAnsi="Arial" w:cs="Arial"/>
          <w:color w:val="333333"/>
          <w:lang w:eastAsia="cs-CZ"/>
        </w:rPr>
        <w:t>, (</w:t>
      </w:r>
      <w:proofErr w:type="spellStart"/>
      <w:r>
        <w:rPr>
          <w:rFonts w:ascii="Arial" w:hAnsi="Arial" w:cs="Arial"/>
          <w:color w:val="333333"/>
          <w:lang w:eastAsia="cs-CZ"/>
        </w:rPr>
        <w:t>ii</w:t>
      </w:r>
      <w:proofErr w:type="spellEnd"/>
      <w:r>
        <w:rPr>
          <w:rFonts w:ascii="Arial" w:hAnsi="Arial" w:cs="Arial"/>
          <w:color w:val="333333"/>
          <w:lang w:eastAsia="cs-CZ"/>
        </w:rPr>
        <w:t>) zamezování korupce, (</w:t>
      </w:r>
      <w:proofErr w:type="spellStart"/>
      <w:r>
        <w:rPr>
          <w:rFonts w:ascii="Arial" w:hAnsi="Arial" w:cs="Arial"/>
          <w:color w:val="333333"/>
          <w:lang w:eastAsia="cs-CZ"/>
        </w:rPr>
        <w:t>iii</w:t>
      </w:r>
      <w:proofErr w:type="spellEnd"/>
      <w:r>
        <w:rPr>
          <w:rFonts w:ascii="Arial" w:hAnsi="Arial" w:cs="Arial"/>
          <w:color w:val="333333"/>
          <w:lang w:eastAsia="cs-CZ"/>
        </w:rPr>
        <w:t>) absence uplatnění mezinárodních a národních sankcí, a konečně (</w:t>
      </w:r>
      <w:proofErr w:type="spellStart"/>
      <w:r>
        <w:rPr>
          <w:rFonts w:ascii="Arial" w:hAnsi="Arial" w:cs="Arial"/>
          <w:color w:val="333333"/>
          <w:lang w:eastAsia="cs-CZ"/>
        </w:rPr>
        <w:t>iv</w:t>
      </w:r>
      <w:proofErr w:type="spellEnd"/>
      <w:r>
        <w:rPr>
          <w:rFonts w:ascii="Arial" w:hAnsi="Arial" w:cs="Arial"/>
          <w:color w:val="333333"/>
          <w:lang w:eastAsia="cs-CZ"/>
        </w:rPr>
        <w:t>) neexistence střetu zájmů ve smyslu zákona č. 159/2006 Sb.</w:t>
      </w:r>
    </w:p>
    <w:p w14:paraId="4CBFD372" w14:textId="77777777" w:rsidR="007C1994" w:rsidRDefault="007C1994" w:rsidP="007C1994">
      <w:pPr>
        <w:pStyle w:val="Bezmezer"/>
        <w:spacing w:before="120" w:after="120" w:line="276" w:lineRule="auto"/>
        <w:rPr>
          <w:rFonts w:ascii="Arial" w:hAnsi="Arial" w:cs="Arial"/>
          <w:color w:val="333333"/>
          <w:lang w:eastAsia="cs-CZ"/>
        </w:rPr>
      </w:pPr>
      <w:r>
        <w:rPr>
          <w:rFonts w:ascii="Arial" w:hAnsi="Arial" w:cs="Arial"/>
          <w:color w:val="333333"/>
          <w:lang w:eastAsia="cs-CZ"/>
        </w:rPr>
        <w:t xml:space="preserve">Doložka </w:t>
      </w:r>
      <w:proofErr w:type="gramStart"/>
      <w:r>
        <w:rPr>
          <w:rFonts w:ascii="Arial" w:hAnsi="Arial" w:cs="Arial"/>
          <w:color w:val="333333"/>
          <w:lang w:eastAsia="cs-CZ"/>
        </w:rPr>
        <w:t>slouží</w:t>
      </w:r>
      <w:proofErr w:type="gramEnd"/>
      <w:r>
        <w:rPr>
          <w:rFonts w:ascii="Arial" w:hAnsi="Arial" w:cs="Arial"/>
          <w:color w:val="333333"/>
          <w:lang w:eastAsia="cs-CZ"/>
        </w:rPr>
        <w:t xml:space="preserve"> jako základní opatření, jímž Společnost předchází tomu, aby se její dodavatel či obchodní partner dopouštěl neetického či nezákonného jednání, nebo aby se veřejných zakázek, které d</w:t>
      </w:r>
      <w:r w:rsidRPr="00BD23F2">
        <w:rPr>
          <w:rFonts w:ascii="Arial" w:hAnsi="Arial" w:cs="Arial"/>
          <w:color w:val="333333"/>
          <w:lang w:eastAsia="cs-CZ"/>
        </w:rPr>
        <w:t>le zákona č.</w:t>
      </w:r>
      <w:r>
        <w:rPr>
          <w:rFonts w:ascii="Arial" w:hAnsi="Arial" w:cs="Arial"/>
          <w:color w:val="333333"/>
          <w:lang w:eastAsia="cs-CZ"/>
        </w:rPr>
        <w:t> </w:t>
      </w:r>
      <w:r w:rsidRPr="00BD23F2">
        <w:rPr>
          <w:rFonts w:ascii="Arial" w:hAnsi="Arial" w:cs="Arial"/>
          <w:color w:val="333333"/>
          <w:lang w:eastAsia="cs-CZ"/>
        </w:rPr>
        <w:t>134/2016 Sb., o</w:t>
      </w:r>
      <w:r>
        <w:rPr>
          <w:rFonts w:ascii="Arial" w:hAnsi="Arial" w:cs="Arial"/>
          <w:color w:val="333333"/>
          <w:lang w:eastAsia="cs-CZ"/>
        </w:rPr>
        <w:t xml:space="preserve"> zadávání </w:t>
      </w:r>
      <w:r w:rsidRPr="00BD23F2">
        <w:rPr>
          <w:rFonts w:ascii="Arial" w:hAnsi="Arial" w:cs="Arial"/>
          <w:color w:val="333333"/>
          <w:lang w:eastAsia="cs-CZ"/>
        </w:rPr>
        <w:t>veřejných zakázek, ve znění pozdějších předpisů</w:t>
      </w:r>
      <w:r>
        <w:rPr>
          <w:rFonts w:ascii="Arial" w:hAnsi="Arial" w:cs="Arial"/>
          <w:color w:val="333333"/>
          <w:lang w:eastAsia="cs-CZ"/>
        </w:rPr>
        <w:t xml:space="preserve"> („</w:t>
      </w:r>
      <w:r w:rsidRPr="00C070E6">
        <w:rPr>
          <w:rFonts w:ascii="Arial" w:hAnsi="Arial" w:cs="Arial"/>
          <w:b/>
          <w:bCs/>
          <w:color w:val="333333"/>
          <w:lang w:eastAsia="cs-CZ"/>
        </w:rPr>
        <w:t>ZZVZ</w:t>
      </w:r>
      <w:r>
        <w:rPr>
          <w:rFonts w:ascii="Arial" w:hAnsi="Arial" w:cs="Arial"/>
          <w:color w:val="333333"/>
          <w:lang w:eastAsia="cs-CZ"/>
        </w:rPr>
        <w:t>“), vyhlašuje, účastnily subjekty, vůči nimž směřují mezinárodní a národní sankce nebo se nacházejí ve stavu střetu zájmů.</w:t>
      </w:r>
    </w:p>
    <w:p w14:paraId="761F9B0C" w14:textId="77777777" w:rsidR="007C1994" w:rsidRPr="006D0855" w:rsidRDefault="007C1994" w:rsidP="007C1994">
      <w:pPr>
        <w:pStyle w:val="Bezmezer"/>
        <w:spacing w:before="120" w:after="120" w:line="276" w:lineRule="auto"/>
        <w:rPr>
          <w:rFonts w:ascii="Arial" w:hAnsi="Arial" w:cs="Arial"/>
          <w:color w:val="333333"/>
          <w:lang w:eastAsia="cs-CZ"/>
        </w:rPr>
      </w:pPr>
      <w:r>
        <w:rPr>
          <w:rFonts w:ascii="Arial" w:hAnsi="Arial" w:cs="Arial"/>
          <w:color w:val="333333"/>
          <w:lang w:eastAsia="cs-CZ"/>
        </w:rPr>
        <w:t>Porušení jakékoliv části Doložky může mít následky v ní přímo vyjádřené, a/nebo plynoucí z obecně závazných právních předpisů.</w:t>
      </w:r>
    </w:p>
    <w:p w14:paraId="358C0502" w14:textId="77777777" w:rsidR="007C1994" w:rsidRPr="00B168AB" w:rsidRDefault="007C1994" w:rsidP="007C1994">
      <w:pPr>
        <w:pStyle w:val="Bezmezer"/>
        <w:spacing w:before="240" w:after="120" w:line="276" w:lineRule="auto"/>
        <w:ind w:left="567" w:hanging="567"/>
        <w:rPr>
          <w:rFonts w:ascii="Arial" w:hAnsi="Arial" w:cs="Arial"/>
          <w:b/>
          <w:bCs/>
          <w:color w:val="333333"/>
          <w:lang w:eastAsia="cs-CZ"/>
        </w:rPr>
      </w:pPr>
      <w:r w:rsidRPr="00B168AB">
        <w:rPr>
          <w:rFonts w:ascii="Arial" w:hAnsi="Arial" w:cs="Arial"/>
          <w:b/>
          <w:bCs/>
          <w:color w:val="333333"/>
          <w:u w:val="single"/>
          <w:lang w:eastAsia="cs-CZ"/>
        </w:rPr>
        <w:t xml:space="preserve">ČÁST 1 – </w:t>
      </w:r>
      <w:proofErr w:type="spellStart"/>
      <w:r w:rsidRPr="00B168AB">
        <w:rPr>
          <w:rFonts w:ascii="Arial" w:hAnsi="Arial" w:cs="Arial"/>
          <w:b/>
          <w:bCs/>
          <w:color w:val="333333"/>
          <w:u w:val="single"/>
          <w:lang w:eastAsia="cs-CZ"/>
        </w:rPr>
        <w:t>Compliance</w:t>
      </w:r>
      <w:proofErr w:type="spellEnd"/>
      <w:r w:rsidRPr="00B168AB">
        <w:rPr>
          <w:rFonts w:ascii="Arial" w:hAnsi="Arial" w:cs="Arial"/>
          <w:b/>
          <w:bCs/>
          <w:color w:val="333333"/>
          <w:u w:val="single"/>
          <w:lang w:eastAsia="cs-CZ"/>
        </w:rPr>
        <w:t xml:space="preserve"> doložka</w:t>
      </w:r>
      <w:r>
        <w:rPr>
          <w:rFonts w:ascii="Arial" w:hAnsi="Arial" w:cs="Arial"/>
          <w:b/>
          <w:bCs/>
          <w:color w:val="333333"/>
          <w:u w:val="single"/>
          <w:lang w:eastAsia="cs-CZ"/>
        </w:rPr>
        <w:t xml:space="preserve"> 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2C4703">
        <w:rPr>
          <w:rFonts w:ascii="Arial" w:hAnsi="Arial" w:cs="Arial"/>
          <w:b/>
          <w:bCs/>
          <w:color w:val="333333"/>
          <w:lang w:eastAsia="cs-CZ"/>
        </w:rPr>
        <w:t>:</w:t>
      </w:r>
    </w:p>
    <w:p w14:paraId="57A8FC0F" w14:textId="77777777" w:rsidR="007C1994"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Pr>
          <w:rFonts w:ascii="Arial" w:hAnsi="Arial" w:cs="Arial"/>
          <w:color w:val="333333"/>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08DABF97" w14:textId="77777777" w:rsidR="007C1994"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Pr>
          <w:rFonts w:ascii="Arial" w:hAnsi="Arial" w:cs="Arial"/>
          <w:color w:val="333333"/>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4AF4CC29" w14:textId="77777777" w:rsidR="007C1994" w:rsidRPr="00594D5A"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Pr>
          <w:rFonts w:ascii="Arial" w:hAnsi="Arial" w:cs="Arial"/>
          <w:color w:val="333333"/>
          <w:lang w:eastAsia="cs-CZ"/>
        </w:rPr>
        <w:t xml:space="preserve">Dodavatel se seznámil se zásadami, hodnotami a cíli Etického kodexu TSK, které jsou dostupné pod odkazem </w:t>
      </w:r>
      <w:hyperlink r:id="rId7" w:history="1">
        <w:r w:rsidRPr="003F1C5F">
          <w:rPr>
            <w:rStyle w:val="Hypertextovodkaz"/>
            <w:rFonts w:ascii="Arial" w:hAnsi="Arial" w:cs="Arial"/>
            <w:i/>
            <w:iCs/>
            <w:lang w:eastAsia="cs-CZ"/>
          </w:rPr>
          <w:t>https://www.tsk-praha.cz/wps/portal/root/o-spolecnosti/o-spolecnosti-TSK-Praha</w:t>
        </w:r>
      </w:hyperlink>
      <w:r>
        <w:rPr>
          <w:rFonts w:ascii="Arial" w:hAnsi="Arial" w:cs="Arial"/>
          <w:color w:val="333333"/>
          <w:lang w:eastAsia="cs-CZ"/>
        </w:rPr>
        <w:t xml:space="preserve">. Na základě toho prohlašuje, </w:t>
      </w:r>
      <w:r w:rsidRPr="00594D5A">
        <w:rPr>
          <w:rFonts w:ascii="Arial" w:hAnsi="Arial" w:cs="Arial"/>
          <w:color w:val="333333"/>
          <w:lang w:eastAsia="cs-CZ"/>
        </w:rPr>
        <w:t>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w:t>
      </w:r>
      <w:proofErr w:type="spellStart"/>
      <w:r w:rsidRPr="00594D5A">
        <w:rPr>
          <w:rFonts w:ascii="Arial" w:hAnsi="Arial" w:cs="Arial"/>
          <w:color w:val="333333"/>
          <w:lang w:eastAsia="cs-CZ"/>
        </w:rPr>
        <w:t>ii</w:t>
      </w:r>
      <w:proofErr w:type="spellEnd"/>
      <w:r w:rsidRPr="00594D5A">
        <w:rPr>
          <w:rFonts w:ascii="Arial" w:hAnsi="Arial" w:cs="Arial"/>
          <w:color w:val="333333"/>
          <w:lang w:eastAsia="cs-CZ"/>
        </w:rPr>
        <w:t xml:space="preserve">) přijímá Etický kodex TSK pro účely plnění této smlouvy za vlastní a bude jeho prostřednictvím zajišťovat dodržování týchž hodnot a standardů </w:t>
      </w:r>
      <w:r w:rsidRPr="00594D5A">
        <w:rPr>
          <w:rFonts w:ascii="Arial" w:hAnsi="Arial" w:cs="Arial"/>
          <w:color w:val="333333"/>
          <w:lang w:eastAsia="cs-CZ"/>
        </w:rPr>
        <w:lastRenderedPageBreak/>
        <w:t>chování, jaké vyznává TSK.</w:t>
      </w:r>
      <w:r>
        <w:rPr>
          <w:rFonts w:ascii="Arial" w:hAnsi="Arial" w:cs="Arial"/>
          <w:color w:val="333333"/>
          <w:lang w:eastAsia="cs-CZ"/>
        </w:rPr>
        <w:t xml:space="preserve"> Dodavatel bere na vědomí, že naposledy popsané hodnoty a standardy chování vychází mimo jiné i z normy ISO 37001:2016.</w:t>
      </w:r>
    </w:p>
    <w:p w14:paraId="2C49259A" w14:textId="77777777" w:rsidR="007C1994"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Pr>
          <w:rFonts w:ascii="Arial" w:hAnsi="Arial" w:cs="Arial"/>
          <w:color w:val="333333"/>
          <w:lang w:eastAsia="cs-CZ"/>
        </w:rPr>
        <w:t xml:space="preserve">Dodavatel se zavazuje umožnit TSK kontrolu a porovnání obou etických kodexů (na straně TSK a na straně dodavatele), případně prokázat, že přijal za svůj Etický kodex TSK, podle toho, která varianta dle </w:t>
      </w:r>
      <w:r w:rsidRPr="00B168AB">
        <w:rPr>
          <w:rFonts w:ascii="Arial" w:hAnsi="Arial" w:cs="Arial"/>
          <w:color w:val="333333"/>
          <w:lang w:eastAsia="cs-CZ"/>
        </w:rPr>
        <w:t>čl. 3) výše</w:t>
      </w:r>
      <w:r>
        <w:rPr>
          <w:rFonts w:ascii="Arial" w:hAnsi="Arial" w:cs="Arial"/>
          <w:color w:val="333333"/>
          <w:lang w:eastAsia="cs-CZ"/>
        </w:rPr>
        <w:t xml:space="preserve"> nastala. Kontrola dle předchozí věty zahrnuje zejména, nikoliv však výlučně, předložení etického kodexu, příp. dalších </w:t>
      </w:r>
      <w:proofErr w:type="spellStart"/>
      <w:r>
        <w:rPr>
          <w:rFonts w:ascii="Arial" w:hAnsi="Arial" w:cs="Arial"/>
          <w:color w:val="333333"/>
          <w:lang w:eastAsia="cs-CZ"/>
        </w:rPr>
        <w:t>compliance</w:t>
      </w:r>
      <w:proofErr w:type="spellEnd"/>
      <w:r>
        <w:rPr>
          <w:rFonts w:ascii="Arial" w:hAnsi="Arial" w:cs="Arial"/>
          <w:color w:val="333333"/>
          <w:lang w:eastAsia="cs-CZ"/>
        </w:rPr>
        <w:t xml:space="preserve"> dokumentů dodavatele, do kterých bude mít TSK právo nahlížet a pořizovat si jejich kopie.   </w:t>
      </w:r>
    </w:p>
    <w:p w14:paraId="0D343D38" w14:textId="77777777" w:rsidR="007C1994"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Pr>
          <w:rFonts w:ascii="Arial" w:hAnsi="Arial" w:cs="Arial"/>
          <w:color w:val="333333"/>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281D50A2" w14:textId="77777777" w:rsidR="007C1994" w:rsidRPr="00B168AB"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3) této </w:t>
      </w:r>
      <w:r>
        <w:rPr>
          <w:rFonts w:ascii="Arial" w:hAnsi="Arial" w:cs="Arial"/>
          <w:color w:val="333333"/>
          <w:lang w:eastAsia="cs-CZ"/>
        </w:rPr>
        <w:t>části Doložky</w:t>
      </w:r>
      <w:r w:rsidRPr="00B168AB">
        <w:rPr>
          <w:rFonts w:ascii="Arial" w:hAnsi="Arial" w:cs="Arial"/>
          <w:color w:val="333333"/>
          <w:lang w:eastAsia="cs-CZ"/>
        </w:rPr>
        <w:t>,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07AB0EAD" w14:textId="77777777" w:rsidR="007C1994" w:rsidRPr="00B168AB"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4) této </w:t>
      </w:r>
      <w:r>
        <w:rPr>
          <w:rFonts w:ascii="Arial" w:hAnsi="Arial" w:cs="Arial"/>
          <w:color w:val="333333"/>
          <w:lang w:eastAsia="cs-CZ"/>
        </w:rPr>
        <w:t>části Doložky</w:t>
      </w:r>
      <w:r w:rsidRPr="00B168AB">
        <w:rPr>
          <w:rFonts w:ascii="Arial" w:hAnsi="Arial" w:cs="Arial"/>
          <w:color w:val="333333"/>
          <w:lang w:eastAsia="cs-CZ"/>
        </w:rPr>
        <w:t>,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485EC2B0" w14:textId="77777777" w:rsidR="007C1994"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sidRPr="00B168AB">
        <w:rPr>
          <w:rFonts w:ascii="Arial" w:hAnsi="Arial" w:cs="Arial"/>
          <w:color w:val="333333"/>
          <w:lang w:eastAsia="cs-CZ"/>
        </w:rPr>
        <w:t xml:space="preserve">V případě, že dodavatel </w:t>
      </w:r>
      <w:proofErr w:type="gramStart"/>
      <w:r w:rsidRPr="00B168AB">
        <w:rPr>
          <w:rFonts w:ascii="Arial" w:hAnsi="Arial" w:cs="Arial"/>
          <w:color w:val="333333"/>
          <w:lang w:eastAsia="cs-CZ"/>
        </w:rPr>
        <w:t>poruší</w:t>
      </w:r>
      <w:proofErr w:type="gramEnd"/>
      <w:r w:rsidRPr="00B168AB">
        <w:rPr>
          <w:rFonts w:ascii="Arial" w:hAnsi="Arial" w:cs="Arial"/>
          <w:color w:val="333333"/>
          <w:lang w:eastAsia="cs-CZ"/>
        </w:rPr>
        <w:t xml:space="preserve"> čl. 5) této </w:t>
      </w:r>
      <w:r>
        <w:rPr>
          <w:rFonts w:ascii="Arial" w:hAnsi="Arial" w:cs="Arial"/>
          <w:color w:val="333333"/>
          <w:lang w:eastAsia="cs-CZ"/>
        </w:rPr>
        <w:t>části Doložky</w:t>
      </w:r>
      <w:r w:rsidRPr="00B168AB">
        <w:rPr>
          <w:rFonts w:ascii="Arial" w:hAnsi="Arial" w:cs="Arial"/>
          <w:color w:val="333333"/>
          <w:lang w:eastAsia="cs-CZ"/>
        </w:rPr>
        <w:t>,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w:t>
      </w:r>
      <w:r>
        <w:rPr>
          <w:rFonts w:ascii="Arial" w:hAnsi="Arial" w:cs="Arial"/>
          <w:color w:val="333333"/>
          <w:lang w:eastAsia="cs-CZ"/>
        </w:rPr>
        <w:t xml:space="preserve"> korupčního rizika, zvyšuje se smluvní pokuta dle předchozí věty na dvojnásobek.</w:t>
      </w:r>
    </w:p>
    <w:p w14:paraId="765FAA7C" w14:textId="77777777" w:rsidR="007C1994" w:rsidRPr="00B168AB"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Pr>
          <w:rFonts w:ascii="Arial" w:hAnsi="Arial" w:cs="Arial"/>
          <w:color w:val="333333"/>
          <w:lang w:eastAsia="cs-CZ"/>
        </w:rPr>
        <w:t xml:space="preserve">Sankce uložené dle čl. 6 až 8 této části Doložky mezi sebou lze sčítat, a to až do chvíle splnění povinností dodavatele, </w:t>
      </w:r>
      <w:r w:rsidRPr="00B168AB">
        <w:rPr>
          <w:rFonts w:ascii="Arial" w:hAnsi="Arial" w:cs="Arial"/>
          <w:color w:val="333333"/>
          <w:lang w:eastAsia="cs-CZ"/>
        </w:rPr>
        <w:t xml:space="preserve">kterou zajišťují, nebo do zániku smlouvy odstoupením ze strany TSK. Součet sankcí však nesmí ve svém souhrnu překročit jednu třetinu (1/3) hodnoty smlouvy.     </w:t>
      </w:r>
    </w:p>
    <w:p w14:paraId="4F1C3B00" w14:textId="77777777" w:rsidR="007C1994" w:rsidRDefault="007C1994" w:rsidP="007C1994">
      <w:pPr>
        <w:pStyle w:val="Bezmezer"/>
        <w:numPr>
          <w:ilvl w:val="0"/>
          <w:numId w:val="5"/>
        </w:numPr>
        <w:spacing w:before="120" w:after="120" w:line="276" w:lineRule="auto"/>
        <w:ind w:left="567" w:hanging="567"/>
        <w:rPr>
          <w:rFonts w:ascii="Arial" w:hAnsi="Arial" w:cs="Arial"/>
          <w:color w:val="333333"/>
          <w:lang w:eastAsia="cs-CZ"/>
        </w:rPr>
      </w:pPr>
      <w:bookmarkStart w:id="3" w:name="_Hlk90992813"/>
      <w:r w:rsidRPr="00B168AB">
        <w:rPr>
          <w:rFonts w:ascii="Arial" w:hAnsi="Arial" w:cs="Arial"/>
          <w:color w:val="333333"/>
          <w:lang w:eastAsia="cs-CZ"/>
        </w:rPr>
        <w:t>V případě, že dodavatel bude své povinnosti dle čl. 3) až 5) této</w:t>
      </w:r>
      <w:r>
        <w:rPr>
          <w:rFonts w:ascii="Arial" w:hAnsi="Arial" w:cs="Arial"/>
          <w:color w:val="333333"/>
          <w:lang w:eastAsia="cs-CZ"/>
        </w:rPr>
        <w:t xml:space="preserve"> části Doložky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4" w:name="_Hlk90993071"/>
      <w:r>
        <w:rPr>
          <w:rFonts w:ascii="Arial" w:hAnsi="Arial" w:cs="Arial"/>
          <w:color w:val="333333"/>
          <w:lang w:eastAsia="cs-CZ"/>
        </w:rPr>
        <w:t xml:space="preserve">případné i jiné zcela bezohledné jednání rozporné se zásadami a hodnotami Etického kodexu </w:t>
      </w:r>
      <w:r>
        <w:rPr>
          <w:rFonts w:ascii="Arial" w:hAnsi="Arial" w:cs="Arial"/>
          <w:color w:val="333333"/>
          <w:lang w:eastAsia="cs-CZ"/>
        </w:rPr>
        <w:lastRenderedPageBreak/>
        <w:t>TSK</w:t>
      </w:r>
      <w:bookmarkEnd w:id="4"/>
      <w:r>
        <w:rPr>
          <w:rFonts w:ascii="Arial" w:hAnsi="Arial" w:cs="Arial"/>
          <w:color w:val="333333"/>
          <w:lang w:eastAsia="cs-CZ"/>
        </w:rPr>
        <w:t xml:space="preserve">. Dlouhodobým porušováním této části Doložky se rozumí nesplnění konkrétní povinnosti v trvání nejméně 30 kalendářních dnů, a pokud by šlo o skutečnosti s vyšší mírou korupčního rizika, tak nejméně 15 kalendářních dnů. Opakovaným porušováním této části Doložky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w:t>
      </w:r>
      <w:proofErr w:type="gramStart"/>
      <w:r>
        <w:rPr>
          <w:rFonts w:ascii="Arial" w:hAnsi="Arial" w:cs="Arial"/>
          <w:color w:val="333333"/>
          <w:lang w:eastAsia="cs-CZ"/>
        </w:rPr>
        <w:t>není</w:t>
      </w:r>
      <w:proofErr w:type="gramEnd"/>
      <w:r>
        <w:rPr>
          <w:rFonts w:ascii="Arial" w:hAnsi="Arial" w:cs="Arial"/>
          <w:color w:val="333333"/>
          <w:lang w:eastAsia="cs-CZ"/>
        </w:rPr>
        <w:t xml:space="preserve"> jakkoliv dotčeno</w:t>
      </w:r>
      <w:bookmarkEnd w:id="3"/>
      <w:r>
        <w:rPr>
          <w:rFonts w:ascii="Arial" w:hAnsi="Arial" w:cs="Arial"/>
          <w:color w:val="333333"/>
          <w:lang w:eastAsia="cs-CZ"/>
        </w:rPr>
        <w:t xml:space="preserve">.  </w:t>
      </w:r>
    </w:p>
    <w:p w14:paraId="091054D5" w14:textId="77777777" w:rsidR="007C1994" w:rsidRDefault="007C1994" w:rsidP="007C1994">
      <w:pPr>
        <w:pStyle w:val="Bezmezer"/>
        <w:numPr>
          <w:ilvl w:val="0"/>
          <w:numId w:val="5"/>
        </w:numPr>
        <w:spacing w:before="120" w:after="120" w:line="276" w:lineRule="auto"/>
        <w:ind w:left="567" w:hanging="567"/>
        <w:rPr>
          <w:rFonts w:ascii="Arial" w:hAnsi="Arial" w:cs="Arial"/>
          <w:color w:val="333333"/>
          <w:lang w:eastAsia="cs-CZ"/>
        </w:rPr>
      </w:pPr>
      <w:r>
        <w:rPr>
          <w:rFonts w:ascii="Arial" w:hAnsi="Arial" w:cs="Arial"/>
          <w:color w:val="333333"/>
          <w:lang w:eastAsia="cs-CZ"/>
        </w:rPr>
        <w:t>Smluvní strany se zavazují a prohlašují, že splňují a budou splňovat po celou dobu trvání této smlouvy veškerá kritéria, standardy chování a hodnoty, které ve svém souhrnu vyplývají z Etického kodexu této společnosti.</w:t>
      </w:r>
    </w:p>
    <w:p w14:paraId="52931D16" w14:textId="77777777" w:rsidR="007C1994" w:rsidRDefault="007C1994" w:rsidP="007C1994">
      <w:pPr>
        <w:pStyle w:val="Bezmezer"/>
        <w:spacing w:before="240" w:after="120" w:line="276" w:lineRule="auto"/>
        <w:ind w:left="567" w:hanging="567"/>
        <w:rPr>
          <w:rFonts w:ascii="Arial" w:hAnsi="Arial" w:cs="Arial"/>
          <w:b/>
          <w:bCs/>
          <w:color w:val="333333"/>
          <w:lang w:eastAsia="cs-CZ"/>
        </w:rPr>
      </w:pPr>
      <w:r w:rsidRPr="00B168AB">
        <w:rPr>
          <w:rFonts w:ascii="Arial" w:hAnsi="Arial" w:cs="Arial"/>
          <w:b/>
          <w:bCs/>
          <w:color w:val="333333"/>
          <w:u w:val="single"/>
          <w:lang w:eastAsia="cs-CZ"/>
        </w:rPr>
        <w:t xml:space="preserve">ČÁST 2 – Protikorupční doložka </w:t>
      </w:r>
      <w:r>
        <w:rPr>
          <w:rFonts w:ascii="Arial" w:hAnsi="Arial" w:cs="Arial"/>
          <w:b/>
          <w:bCs/>
          <w:color w:val="333333"/>
          <w:u w:val="single"/>
          <w:lang w:eastAsia="cs-CZ"/>
        </w:rPr>
        <w:t xml:space="preserve">pro </w:t>
      </w:r>
      <w:r w:rsidRPr="00B168AB">
        <w:rPr>
          <w:rFonts w:ascii="Arial" w:hAnsi="Arial" w:cs="Arial"/>
          <w:b/>
          <w:bCs/>
          <w:color w:val="333333"/>
          <w:u w:val="single"/>
          <w:lang w:eastAsia="cs-CZ"/>
        </w:rPr>
        <w:t>dodavatel</w:t>
      </w:r>
      <w:r>
        <w:rPr>
          <w:rFonts w:ascii="Arial" w:hAnsi="Arial" w:cs="Arial"/>
          <w:b/>
          <w:bCs/>
          <w:color w:val="333333"/>
          <w:u w:val="single"/>
          <w:lang w:eastAsia="cs-CZ"/>
        </w:rPr>
        <w:t xml:space="preserve">e / </w:t>
      </w:r>
      <w:r w:rsidRPr="00B168AB">
        <w:rPr>
          <w:rFonts w:ascii="Arial" w:hAnsi="Arial" w:cs="Arial"/>
          <w:b/>
          <w:bCs/>
          <w:color w:val="333333"/>
          <w:u w:val="single"/>
          <w:lang w:eastAsia="cs-CZ"/>
        </w:rPr>
        <w:t>obchodní</w:t>
      </w:r>
      <w:r>
        <w:rPr>
          <w:rFonts w:ascii="Arial" w:hAnsi="Arial" w:cs="Arial"/>
          <w:b/>
          <w:bCs/>
          <w:color w:val="333333"/>
          <w:u w:val="single"/>
          <w:lang w:eastAsia="cs-CZ"/>
        </w:rPr>
        <w:t xml:space="preserve"> </w:t>
      </w:r>
      <w:r w:rsidRPr="00B168AB">
        <w:rPr>
          <w:rFonts w:ascii="Arial" w:hAnsi="Arial" w:cs="Arial"/>
          <w:b/>
          <w:bCs/>
          <w:color w:val="333333"/>
          <w:u w:val="single"/>
          <w:lang w:eastAsia="cs-CZ"/>
        </w:rPr>
        <w:t>partnery</w:t>
      </w:r>
      <w:r w:rsidRPr="00B168AB">
        <w:rPr>
          <w:rFonts w:ascii="Arial" w:hAnsi="Arial" w:cs="Arial"/>
          <w:b/>
          <w:bCs/>
          <w:color w:val="333333"/>
          <w:lang w:eastAsia="cs-CZ"/>
        </w:rPr>
        <w:t>:</w:t>
      </w:r>
    </w:p>
    <w:p w14:paraId="70CFA730" w14:textId="77777777" w:rsidR="007C1994" w:rsidRDefault="007C1994" w:rsidP="007C1994">
      <w:pPr>
        <w:pStyle w:val="Bezmezer"/>
        <w:numPr>
          <w:ilvl w:val="0"/>
          <w:numId w:val="6"/>
        </w:numPr>
        <w:spacing w:before="120" w:after="120" w:line="276" w:lineRule="auto"/>
        <w:ind w:left="567" w:hanging="567"/>
        <w:rPr>
          <w:rFonts w:ascii="Arial" w:hAnsi="Arial" w:cs="Arial"/>
          <w:color w:val="333333"/>
          <w:lang w:eastAsia="cs-CZ"/>
        </w:rPr>
      </w:pPr>
      <w:r>
        <w:rPr>
          <w:rFonts w:ascii="Arial" w:hAnsi="Arial" w:cs="Arial"/>
          <w:color w:val="333333"/>
          <w:lang w:eastAsia="cs-CZ"/>
        </w:rPr>
        <w:t xml:space="preserve">Smluvní strany se dohodly, že při plnění této smlouvy budou vždy postupovat čestně a transparentně a potvrzují, že takto jednaly i v průběhu </w:t>
      </w:r>
      <w:r w:rsidRPr="007F65F0">
        <w:rPr>
          <w:rFonts w:ascii="Arial" w:hAnsi="Arial" w:cs="Arial"/>
          <w:color w:val="333333"/>
          <w:lang w:eastAsia="cs-CZ"/>
        </w:rPr>
        <w:t>zadávacího řízení / vyjednávání o smlouvě,</w:t>
      </w:r>
      <w:r>
        <w:rPr>
          <w:rFonts w:ascii="Arial" w:hAnsi="Arial" w:cs="Arial"/>
          <w:color w:val="333333"/>
          <w:lang w:eastAsia="cs-CZ"/>
        </w:rPr>
        <w:t xml:space="preserve"> resp. že takto budou jednat po celou dobu účinnosti této smlouvy.</w:t>
      </w:r>
    </w:p>
    <w:p w14:paraId="694DC03D" w14:textId="77777777" w:rsidR="007C1994" w:rsidRDefault="007C1994" w:rsidP="007C1994">
      <w:pPr>
        <w:pStyle w:val="Bezmezer"/>
        <w:numPr>
          <w:ilvl w:val="0"/>
          <w:numId w:val="6"/>
        </w:numPr>
        <w:spacing w:before="120" w:after="120" w:line="276" w:lineRule="auto"/>
        <w:ind w:left="567" w:hanging="567"/>
        <w:rPr>
          <w:rFonts w:ascii="Arial" w:hAnsi="Arial" w:cs="Arial"/>
          <w:color w:val="333333"/>
          <w:lang w:eastAsia="cs-CZ"/>
        </w:rPr>
      </w:pPr>
      <w:r>
        <w:rPr>
          <w:rFonts w:ascii="Arial" w:hAnsi="Arial" w:cs="Arial"/>
          <w:color w:val="333333"/>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66D4E243" w14:textId="77777777" w:rsidR="007C1994" w:rsidRPr="00E451AA" w:rsidRDefault="007C1994" w:rsidP="007C1994">
      <w:pPr>
        <w:pStyle w:val="Bezmezer"/>
        <w:numPr>
          <w:ilvl w:val="0"/>
          <w:numId w:val="6"/>
        </w:numPr>
        <w:spacing w:before="120" w:after="120" w:line="276" w:lineRule="auto"/>
        <w:ind w:left="567" w:hanging="567"/>
        <w:rPr>
          <w:rFonts w:ascii="Arial" w:hAnsi="Arial" w:cs="Arial"/>
          <w:color w:val="333333"/>
          <w:lang w:eastAsia="cs-CZ"/>
        </w:rPr>
      </w:pPr>
      <w:r>
        <w:rPr>
          <w:rFonts w:ascii="Arial" w:hAnsi="Arial" w:cs="Arial"/>
          <w:color w:val="333333"/>
          <w:lang w:eastAsia="cs-CZ"/>
        </w:rPr>
        <w:t xml:space="preserve">V této souvislosti se smluvní strany zavazují neprodleně oznámit důvodné podezření ohledně možného jednání, které je v rozporu se zásadami podle této části Doložky a mohlo by souviset s uzavřením této smlouvy nebo jejím plněním.      </w:t>
      </w:r>
    </w:p>
    <w:p w14:paraId="0FF91915" w14:textId="77777777" w:rsidR="007C1994" w:rsidRDefault="007C1994" w:rsidP="007C1994">
      <w:pPr>
        <w:pStyle w:val="Bezmezer"/>
        <w:spacing w:before="240" w:after="120" w:line="276" w:lineRule="auto"/>
        <w:ind w:left="567" w:hanging="567"/>
        <w:rPr>
          <w:rFonts w:ascii="Arial" w:hAnsi="Arial" w:cs="Arial"/>
          <w:b/>
          <w:bCs/>
          <w:color w:val="333333"/>
          <w:lang w:eastAsia="cs-CZ"/>
        </w:rPr>
      </w:pPr>
      <w:r w:rsidRPr="002C4703">
        <w:rPr>
          <w:rFonts w:ascii="Arial" w:hAnsi="Arial" w:cs="Arial"/>
          <w:b/>
          <w:bCs/>
          <w:color w:val="333333"/>
          <w:u w:val="single"/>
          <w:lang w:eastAsia="cs-CZ"/>
        </w:rPr>
        <w:t xml:space="preserve">ČÁST 3 – Doložka o absenci uplatnění mezinárodních </w:t>
      </w:r>
      <w:r>
        <w:rPr>
          <w:rFonts w:ascii="Arial" w:hAnsi="Arial" w:cs="Arial"/>
          <w:b/>
          <w:bCs/>
          <w:color w:val="333333"/>
          <w:u w:val="single"/>
          <w:lang w:eastAsia="cs-CZ"/>
        </w:rPr>
        <w:t xml:space="preserve">a národních </w:t>
      </w:r>
      <w:r w:rsidRPr="002C4703">
        <w:rPr>
          <w:rFonts w:ascii="Arial" w:hAnsi="Arial" w:cs="Arial"/>
          <w:b/>
          <w:bCs/>
          <w:color w:val="333333"/>
          <w:u w:val="single"/>
          <w:lang w:eastAsia="cs-CZ"/>
        </w:rPr>
        <w:t>sankcí na straně dodavatele</w:t>
      </w:r>
      <w:r>
        <w:rPr>
          <w:rFonts w:ascii="Arial" w:hAnsi="Arial" w:cs="Arial"/>
          <w:b/>
          <w:bCs/>
          <w:color w:val="333333"/>
          <w:u w:val="single"/>
          <w:lang w:eastAsia="cs-CZ"/>
        </w:rPr>
        <w:t xml:space="preserve"> /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6243EDF4" w14:textId="77777777" w:rsidR="007C1994" w:rsidRDefault="007C1994" w:rsidP="007C1994">
      <w:pPr>
        <w:pStyle w:val="Bezmezer"/>
        <w:numPr>
          <w:ilvl w:val="0"/>
          <w:numId w:val="12"/>
        </w:numPr>
        <w:spacing w:before="120" w:after="120" w:line="276" w:lineRule="auto"/>
        <w:ind w:left="567" w:hanging="567"/>
        <w:rPr>
          <w:rFonts w:ascii="Arial" w:hAnsi="Arial" w:cs="Arial"/>
          <w:color w:val="333333"/>
          <w:lang w:eastAsia="cs-CZ"/>
        </w:rPr>
      </w:pPr>
      <w:r>
        <w:rPr>
          <w:rFonts w:ascii="Arial" w:hAnsi="Arial" w:cs="Arial"/>
          <w:color w:val="333333"/>
          <w:lang w:eastAsia="cs-CZ"/>
        </w:rPr>
        <w:t xml:space="preserve">Dodavatel / obchodní partner má nastaven funkční systém kontroly obchodních partnerů ve vztahu </w:t>
      </w:r>
      <w:r>
        <w:rPr>
          <w:rFonts w:ascii="Arial" w:hAnsi="Arial" w:cs="Arial"/>
        </w:rPr>
        <w:t>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w:t>
      </w:r>
      <w:r w:rsidRPr="004D29B5">
        <w:rPr>
          <w:rFonts w:ascii="Arial" w:hAnsi="Arial" w:cs="Arial"/>
          <w:b/>
          <w:bCs/>
        </w:rPr>
        <w:t>sankce</w:t>
      </w:r>
      <w:r>
        <w:rPr>
          <w:rFonts w:ascii="Arial" w:hAnsi="Arial" w:cs="Arial"/>
        </w:rPr>
        <w:t>“), a není si vědom existence smluvních vztahů s osobou, na kterou se tyto sankce vztahují, zejména pak s osobu uvedenou na sankčních seznamech a v dokumentech vydávaných uvedenými orgány a institucemi; dále osobou, která je usídlena v zemi nebo založena podle práva země nebo území, které je cílem sankcí, nebo osobou, která je jinak předmětem sankcí („</w:t>
      </w:r>
      <w:r w:rsidRPr="004D29B5">
        <w:rPr>
          <w:rFonts w:ascii="Arial" w:hAnsi="Arial" w:cs="Arial"/>
          <w:b/>
          <w:bCs/>
        </w:rPr>
        <w:t>osoba podléhající sankcím</w:t>
      </w:r>
      <w:r>
        <w:rPr>
          <w:rFonts w:ascii="Arial" w:hAnsi="Arial" w:cs="Arial"/>
        </w:rPr>
        <w:t>“).</w:t>
      </w:r>
    </w:p>
    <w:p w14:paraId="630C93BD" w14:textId="77777777" w:rsidR="007C1994" w:rsidRDefault="007C1994" w:rsidP="007C1994">
      <w:pPr>
        <w:pStyle w:val="Bezmezer"/>
        <w:numPr>
          <w:ilvl w:val="0"/>
          <w:numId w:val="12"/>
        </w:numPr>
        <w:spacing w:before="120" w:after="120" w:line="276" w:lineRule="auto"/>
        <w:ind w:left="567" w:hanging="567"/>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chodu, fungování či podnikání.</w:t>
      </w:r>
    </w:p>
    <w:p w14:paraId="748C9B4A" w14:textId="77777777" w:rsidR="007C1994" w:rsidRDefault="007C1994" w:rsidP="007C1994">
      <w:pPr>
        <w:pStyle w:val="Bezmezer"/>
        <w:numPr>
          <w:ilvl w:val="0"/>
          <w:numId w:val="12"/>
        </w:numPr>
        <w:spacing w:before="120" w:after="120" w:line="276" w:lineRule="auto"/>
        <w:ind w:left="567" w:hanging="567"/>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si není vědom skutečnosti, že by měly být osobě podléhající sankcím přímo či nepřímo zpřístupněny jeho finanční prostředky či hospodářské zdroje, resp. že by z nich mohla mít osoba podléhající sankcím jakýkoli prospěch.</w:t>
      </w:r>
    </w:p>
    <w:p w14:paraId="512E59B9" w14:textId="77777777" w:rsidR="007C1994" w:rsidRPr="00803B28" w:rsidRDefault="007C1994" w:rsidP="007C1994">
      <w:pPr>
        <w:pStyle w:val="Bezmezer"/>
        <w:numPr>
          <w:ilvl w:val="0"/>
          <w:numId w:val="12"/>
        </w:numPr>
        <w:spacing w:before="120" w:after="120" w:line="276" w:lineRule="auto"/>
        <w:ind w:left="567" w:hanging="567"/>
        <w:rPr>
          <w:rFonts w:ascii="Arial" w:hAnsi="Arial" w:cs="Arial"/>
          <w:color w:val="333333"/>
          <w:lang w:eastAsia="cs-CZ"/>
        </w:rPr>
      </w:pPr>
      <w:r w:rsidRPr="002C4703">
        <w:rPr>
          <w:rFonts w:ascii="Arial" w:hAnsi="Arial" w:cs="Arial"/>
        </w:rPr>
        <w:t xml:space="preserve">Dodavatel </w:t>
      </w:r>
      <w:r>
        <w:rPr>
          <w:rFonts w:ascii="Arial" w:hAnsi="Arial" w:cs="Arial"/>
        </w:rPr>
        <w:t xml:space="preserve">/ obchodní partner </w:t>
      </w:r>
      <w:r w:rsidRPr="002C4703">
        <w:rPr>
          <w:rFonts w:ascii="Arial" w:hAnsi="Arial" w:cs="Arial"/>
        </w:rPr>
        <w:t>neobdržel oznámení ani si není jinak vědom, že by proti němu byl vznesen nárok, vedena žaloba, zahájen soudní spor, správní řízení nebo šetření v jakékoliv souvislosti se sankcemi.</w:t>
      </w:r>
    </w:p>
    <w:p w14:paraId="7A34E126" w14:textId="77777777" w:rsidR="007C1994" w:rsidRPr="002C4703" w:rsidRDefault="007C1994" w:rsidP="007C1994">
      <w:pPr>
        <w:pStyle w:val="Bezmezer"/>
        <w:numPr>
          <w:ilvl w:val="0"/>
          <w:numId w:val="12"/>
        </w:numPr>
        <w:spacing w:before="120" w:after="120" w:line="276" w:lineRule="auto"/>
        <w:ind w:left="567" w:hanging="567"/>
        <w:rPr>
          <w:rFonts w:ascii="Arial" w:hAnsi="Arial" w:cs="Arial"/>
          <w:color w:val="333333"/>
          <w:lang w:eastAsia="cs-CZ"/>
        </w:rPr>
      </w:pPr>
      <w:r>
        <w:rPr>
          <w:rFonts w:ascii="Arial" w:hAnsi="Arial" w:cs="Arial"/>
          <w:color w:val="333333"/>
          <w:lang w:eastAsia="cs-CZ"/>
        </w:rPr>
        <w:lastRenderedPageBreak/>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p>
    <w:p w14:paraId="59AE71EE" w14:textId="77777777" w:rsidR="007C1994" w:rsidRDefault="007C1994" w:rsidP="007C1994">
      <w:pPr>
        <w:pStyle w:val="Bezmezer"/>
        <w:spacing w:before="240" w:after="120" w:line="276" w:lineRule="auto"/>
        <w:ind w:left="567" w:hanging="567"/>
        <w:rPr>
          <w:rFonts w:ascii="Arial" w:hAnsi="Arial" w:cs="Arial"/>
          <w:b/>
          <w:bCs/>
          <w:color w:val="333333"/>
          <w:lang w:eastAsia="cs-CZ"/>
        </w:rPr>
      </w:pPr>
      <w:r w:rsidRPr="002C4703">
        <w:rPr>
          <w:rFonts w:ascii="Arial" w:hAnsi="Arial" w:cs="Arial"/>
          <w:b/>
          <w:bCs/>
          <w:color w:val="333333"/>
          <w:u w:val="single"/>
          <w:lang w:eastAsia="cs-CZ"/>
        </w:rPr>
        <w:t xml:space="preserve">ČÁST </w:t>
      </w:r>
      <w:r>
        <w:rPr>
          <w:rFonts w:ascii="Arial" w:hAnsi="Arial" w:cs="Arial"/>
          <w:b/>
          <w:bCs/>
          <w:color w:val="333333"/>
          <w:u w:val="single"/>
          <w:lang w:eastAsia="cs-CZ"/>
        </w:rPr>
        <w:t>4</w:t>
      </w:r>
      <w:r w:rsidRPr="002C4703">
        <w:rPr>
          <w:rFonts w:ascii="Arial" w:hAnsi="Arial" w:cs="Arial"/>
          <w:b/>
          <w:bCs/>
          <w:color w:val="333333"/>
          <w:u w:val="single"/>
          <w:lang w:eastAsia="cs-CZ"/>
        </w:rPr>
        <w:t xml:space="preserve"> – Doložka o </w:t>
      </w:r>
      <w:r>
        <w:rPr>
          <w:rFonts w:ascii="Arial" w:hAnsi="Arial" w:cs="Arial"/>
          <w:b/>
          <w:bCs/>
          <w:color w:val="333333"/>
          <w:u w:val="single"/>
          <w:lang w:eastAsia="cs-CZ"/>
        </w:rPr>
        <w:t xml:space="preserve">neexistenci střetu zájmů ve smyslu zákona č. 159/2006 Sb. </w:t>
      </w:r>
      <w:r w:rsidRPr="002C4703">
        <w:rPr>
          <w:rFonts w:ascii="Arial" w:hAnsi="Arial" w:cs="Arial"/>
          <w:b/>
          <w:bCs/>
          <w:color w:val="333333"/>
          <w:u w:val="single"/>
          <w:lang w:eastAsia="cs-CZ"/>
        </w:rPr>
        <w:t>na straně dodavatele</w:t>
      </w:r>
      <w:r>
        <w:rPr>
          <w:rFonts w:ascii="Arial" w:hAnsi="Arial" w:cs="Arial"/>
          <w:b/>
          <w:bCs/>
          <w:color w:val="333333"/>
          <w:u w:val="single"/>
          <w:lang w:eastAsia="cs-CZ"/>
        </w:rPr>
        <w:t xml:space="preserve"> </w:t>
      </w:r>
      <w:r w:rsidRPr="002C4703">
        <w:rPr>
          <w:rFonts w:ascii="Arial" w:hAnsi="Arial" w:cs="Arial"/>
          <w:b/>
          <w:bCs/>
          <w:color w:val="333333"/>
          <w:u w:val="single"/>
          <w:lang w:eastAsia="cs-CZ"/>
        </w:rPr>
        <w:t>/</w:t>
      </w:r>
      <w:r>
        <w:rPr>
          <w:rFonts w:ascii="Arial" w:hAnsi="Arial" w:cs="Arial"/>
          <w:b/>
          <w:bCs/>
          <w:color w:val="333333"/>
          <w:u w:val="single"/>
          <w:lang w:eastAsia="cs-CZ"/>
        </w:rPr>
        <w:t xml:space="preserve"> </w:t>
      </w:r>
      <w:r w:rsidRPr="002C4703">
        <w:rPr>
          <w:rFonts w:ascii="Arial" w:hAnsi="Arial" w:cs="Arial"/>
          <w:b/>
          <w:bCs/>
          <w:color w:val="333333"/>
          <w:u w:val="single"/>
          <w:lang w:eastAsia="cs-CZ"/>
        </w:rPr>
        <w:t>obchodního partnera</w:t>
      </w:r>
      <w:r>
        <w:rPr>
          <w:rFonts w:ascii="Arial" w:hAnsi="Arial" w:cs="Arial"/>
          <w:b/>
          <w:bCs/>
          <w:color w:val="333333"/>
          <w:lang w:eastAsia="cs-CZ"/>
        </w:rPr>
        <w:t>:</w:t>
      </w:r>
    </w:p>
    <w:p w14:paraId="14558C82" w14:textId="77777777" w:rsidR="007C1994" w:rsidRDefault="007C1994" w:rsidP="007C1994">
      <w:pPr>
        <w:pStyle w:val="Bezmezer"/>
        <w:numPr>
          <w:ilvl w:val="0"/>
          <w:numId w:val="13"/>
        </w:numPr>
        <w:spacing w:before="120" w:after="120" w:line="276" w:lineRule="auto"/>
        <w:ind w:left="567" w:hanging="567"/>
        <w:rPr>
          <w:rFonts w:ascii="Arial" w:hAnsi="Arial" w:cs="Arial"/>
          <w:b/>
          <w:bCs/>
          <w:color w:val="333333"/>
          <w:lang w:eastAsia="cs-CZ"/>
        </w:rPr>
      </w:pPr>
      <w:r>
        <w:rPr>
          <w:rFonts w:ascii="Arial" w:hAnsi="Arial" w:cs="Arial"/>
        </w:rPr>
        <w:t xml:space="preserve">Dodavatel / obchodní partner není obchodní </w:t>
      </w:r>
      <w:r w:rsidRPr="000E6829">
        <w:rPr>
          <w:rFonts w:ascii="Arial" w:hAnsi="Arial" w:cs="Arial"/>
        </w:rPr>
        <w:t>společnost</w:t>
      </w:r>
      <w:r>
        <w:rPr>
          <w:rFonts w:ascii="Arial" w:hAnsi="Arial" w:cs="Arial"/>
        </w:rPr>
        <w:t>í</w:t>
      </w:r>
      <w:r w:rsidRPr="000E6829">
        <w:rPr>
          <w:rFonts w:ascii="Arial" w:hAnsi="Arial" w:cs="Arial"/>
        </w:rPr>
        <w:t xml:space="preserve">, ve které </w:t>
      </w:r>
      <w:r>
        <w:rPr>
          <w:rFonts w:ascii="Arial" w:hAnsi="Arial" w:cs="Arial"/>
        </w:rPr>
        <w:t xml:space="preserve">má </w:t>
      </w:r>
      <w:r w:rsidRPr="000E6829">
        <w:rPr>
          <w:rFonts w:ascii="Arial" w:hAnsi="Arial" w:cs="Arial"/>
        </w:rPr>
        <w:t>veřejný funkcionář</w:t>
      </w:r>
      <w:r>
        <w:rPr>
          <w:rFonts w:ascii="Arial" w:hAnsi="Arial" w:cs="Arial"/>
        </w:rPr>
        <w:t xml:space="preserve"> dle </w:t>
      </w:r>
      <w:r w:rsidRPr="000E6829">
        <w:rPr>
          <w:rFonts w:ascii="Arial" w:hAnsi="Arial" w:cs="Arial"/>
        </w:rPr>
        <w:t xml:space="preserve">§ 2 odst. 1 písm. c) </w:t>
      </w:r>
      <w:r>
        <w:rPr>
          <w:rFonts w:ascii="Arial" w:hAnsi="Arial" w:cs="Arial"/>
        </w:rPr>
        <w:t xml:space="preserve">zákona o střetu zájmů (tedy </w:t>
      </w:r>
      <w:r w:rsidRPr="00974AFB">
        <w:rPr>
          <w:rFonts w:ascii="Arial" w:hAnsi="Arial" w:cs="Arial"/>
        </w:rPr>
        <w:t>člen vlády nebo vedoucí jiného ústředního správního úřadu, v jehož čele není člen vlády</w:t>
      </w:r>
      <w:r>
        <w:rPr>
          <w:rFonts w:ascii="Arial" w:hAnsi="Arial" w:cs="Arial"/>
        </w:rPr>
        <w:t>),</w:t>
      </w:r>
      <w:r w:rsidRPr="00974AFB">
        <w:rPr>
          <w:rFonts w:ascii="Arial" w:hAnsi="Arial" w:cs="Arial"/>
        </w:rPr>
        <w:t xml:space="preserve"> nebo jím ovládaná osoba</w:t>
      </w:r>
      <w:r>
        <w:rPr>
          <w:rFonts w:ascii="Arial" w:hAnsi="Arial" w:cs="Arial"/>
        </w:rPr>
        <w:t xml:space="preserve">, </w:t>
      </w:r>
      <w:r w:rsidRPr="00974AFB">
        <w:rPr>
          <w:rFonts w:ascii="Arial" w:hAnsi="Arial" w:cs="Arial"/>
        </w:rPr>
        <w:t>vlastn</w:t>
      </w:r>
      <w:r>
        <w:rPr>
          <w:rFonts w:ascii="Arial" w:hAnsi="Arial" w:cs="Arial"/>
        </w:rPr>
        <w:t xml:space="preserve">ický </w:t>
      </w:r>
      <w:r w:rsidRPr="00974AFB">
        <w:rPr>
          <w:rFonts w:ascii="Arial" w:hAnsi="Arial" w:cs="Arial"/>
        </w:rPr>
        <w:t>podíl představující a</w:t>
      </w:r>
      <w:r>
        <w:rPr>
          <w:rFonts w:ascii="Arial" w:hAnsi="Arial" w:cs="Arial"/>
        </w:rPr>
        <w:t>lespoň 25 % účasti společníka v </w:t>
      </w:r>
      <w:r w:rsidRPr="00974AFB">
        <w:rPr>
          <w:rFonts w:ascii="Arial" w:hAnsi="Arial" w:cs="Arial"/>
        </w:rPr>
        <w:t>obchodní společnosti</w:t>
      </w:r>
      <w:r>
        <w:rPr>
          <w:rFonts w:ascii="Arial" w:hAnsi="Arial" w:cs="Arial"/>
        </w:rPr>
        <w:t>.</w:t>
      </w:r>
    </w:p>
    <w:p w14:paraId="30FC10EC" w14:textId="77777777" w:rsidR="007C1994" w:rsidRPr="00803B28" w:rsidRDefault="007C1994" w:rsidP="007C1994">
      <w:pPr>
        <w:pStyle w:val="Bezmezer"/>
        <w:numPr>
          <w:ilvl w:val="0"/>
          <w:numId w:val="13"/>
        </w:numPr>
        <w:spacing w:before="120" w:after="120" w:line="276" w:lineRule="auto"/>
        <w:ind w:left="567" w:hanging="567"/>
        <w:rPr>
          <w:rFonts w:ascii="Arial" w:hAnsi="Arial" w:cs="Arial"/>
          <w:b/>
          <w:bCs/>
          <w:color w:val="333333"/>
          <w:lang w:eastAsia="cs-CZ"/>
        </w:rPr>
      </w:pPr>
      <w:r w:rsidRPr="00803B28">
        <w:rPr>
          <w:rFonts w:ascii="Arial" w:hAnsi="Arial" w:cs="Arial"/>
          <w:color w:val="333333"/>
          <w:lang w:eastAsia="cs-CZ"/>
        </w:rPr>
        <w:t>Poddodavatel, jehož prostřednictvím dodavatel</w:t>
      </w:r>
      <w:r>
        <w:rPr>
          <w:rFonts w:ascii="Arial" w:hAnsi="Arial" w:cs="Arial"/>
          <w:color w:val="333333"/>
          <w:lang w:eastAsia="cs-CZ"/>
        </w:rPr>
        <w:t xml:space="preserve">/obchodní partner </w:t>
      </w:r>
      <w:r w:rsidRPr="00803B28">
        <w:rPr>
          <w:rFonts w:ascii="Arial" w:hAnsi="Arial" w:cs="Arial"/>
          <w:color w:val="333333"/>
          <w:lang w:eastAsia="cs-CZ"/>
        </w:rPr>
        <w:t xml:space="preserve">prokazuje kvalifikaci, </w:t>
      </w:r>
      <w:r w:rsidRPr="00803B28">
        <w:rPr>
          <w:rFonts w:ascii="Arial" w:hAnsi="Arial" w:cs="Arial"/>
        </w:rPr>
        <w:t>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w:t>
      </w:r>
    </w:p>
    <w:p w14:paraId="51220254" w14:textId="77777777" w:rsidR="007C1994" w:rsidRPr="00E73E6E" w:rsidRDefault="007C1994" w:rsidP="007C1994">
      <w:pPr>
        <w:pStyle w:val="Bezmezer"/>
        <w:numPr>
          <w:ilvl w:val="0"/>
          <w:numId w:val="13"/>
        </w:numPr>
        <w:spacing w:before="120" w:after="120" w:line="276" w:lineRule="auto"/>
        <w:ind w:left="567" w:hanging="567"/>
        <w:rPr>
          <w:rFonts w:ascii="Arial" w:hAnsi="Arial" w:cs="Arial"/>
        </w:rPr>
      </w:pPr>
      <w:r>
        <w:rPr>
          <w:rFonts w:ascii="Arial" w:hAnsi="Arial" w:cs="Arial"/>
          <w:color w:val="333333"/>
          <w:lang w:eastAsia="cs-CZ"/>
        </w:rPr>
        <w:t>Dodavatel / obchodní partner bere na vědomí, že uvedení nepravdivých údajů či jiný rozpor s touto Doložkou může v konkrétním případě vést až k odstoupení od smlouvy uzavřené na základě veřejné zakázky, a to v souladu s § 223 odst. 2 písm. a) nebo b) ZZVZ</w:t>
      </w:r>
      <w:r w:rsidRPr="00E73E6E">
        <w:rPr>
          <w:rFonts w:ascii="Arial" w:hAnsi="Arial" w:cs="Arial"/>
        </w:rPr>
        <w:t>.</w:t>
      </w:r>
    </w:p>
    <w:p w14:paraId="23721967" w14:textId="77777777" w:rsidR="007C1994" w:rsidRPr="00DA6914" w:rsidRDefault="007C1994" w:rsidP="00FA0097">
      <w:pPr>
        <w:keepNext/>
        <w:keepLines/>
        <w:rPr>
          <w:szCs w:val="22"/>
        </w:rPr>
      </w:pPr>
    </w:p>
    <w:sectPr w:rsidR="007C1994" w:rsidRPr="00DA6914" w:rsidSect="008E7ABC">
      <w:pgSz w:w="11906" w:h="16838"/>
      <w:pgMar w:top="993"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9D1A" w14:textId="77777777" w:rsidR="00E536DE" w:rsidRDefault="00E536DE" w:rsidP="00FA0097">
      <w:r>
        <w:separator/>
      </w:r>
    </w:p>
  </w:endnote>
  <w:endnote w:type="continuationSeparator" w:id="0">
    <w:p w14:paraId="443A7D01" w14:textId="77777777" w:rsidR="00E536DE" w:rsidRDefault="00E536DE" w:rsidP="00FA0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6900E" w14:textId="77777777" w:rsidR="00E536DE" w:rsidRDefault="00E536DE" w:rsidP="00FA0097">
      <w:r>
        <w:separator/>
      </w:r>
    </w:p>
  </w:footnote>
  <w:footnote w:type="continuationSeparator" w:id="0">
    <w:p w14:paraId="25A031A8" w14:textId="77777777" w:rsidR="00E536DE" w:rsidRDefault="00E536DE" w:rsidP="00FA0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001C9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E66B6D"/>
    <w:multiLevelType w:val="hybridMultilevel"/>
    <w:tmpl w:val="576C445C"/>
    <w:lvl w:ilvl="0" w:tplc="B47ECF5A">
      <w:start w:val="1"/>
      <w:numFmt w:val="decimal"/>
      <w:lvlText w:val="%1)"/>
      <w:lvlJc w:val="left"/>
      <w:pPr>
        <w:ind w:left="360" w:hanging="360"/>
      </w:pPr>
      <w:rPr>
        <w:rFonts w:eastAsiaTheme="minorHAnsi"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B202E21"/>
    <w:multiLevelType w:val="multilevel"/>
    <w:tmpl w:val="919465F2"/>
    <w:lvl w:ilvl="0">
      <w:start w:val="1"/>
      <w:numFmt w:val="decimal"/>
      <w:pStyle w:val="slolnku"/>
      <w:suff w:val="nothing"/>
      <w:lvlText w:val="Článek %1."/>
      <w:lvlJc w:val="left"/>
      <w:rPr>
        <w:rFonts w:ascii="Times New Roman" w:hAnsi="Times New Roman" w:cs="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Restart w:val="0"/>
      <w:pStyle w:val="Textodst2slovan"/>
      <w:lvlText w:val="%1.%2.%3."/>
      <w:lvlJc w:val="left"/>
      <w:pPr>
        <w:tabs>
          <w:tab w:val="num" w:pos="992"/>
        </w:tabs>
        <w:ind w:left="992" w:hanging="708"/>
      </w:pPr>
      <w:rPr>
        <w:rFonts w:cs="Times New Roman"/>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3" w15:restartNumberingAfterBreak="0">
    <w:nsid w:val="3D5764E6"/>
    <w:multiLevelType w:val="hybridMultilevel"/>
    <w:tmpl w:val="63A638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D8024A0"/>
    <w:multiLevelType w:val="hybridMultilevel"/>
    <w:tmpl w:val="ADFE70E8"/>
    <w:lvl w:ilvl="0" w:tplc="14183900">
      <w:start w:val="1"/>
      <w:numFmt w:val="decimal"/>
      <w:lvlText w:val="%1)"/>
      <w:lvlJc w:val="left"/>
      <w:pPr>
        <w:ind w:left="360" w:hanging="360"/>
      </w:pPr>
      <w:rPr>
        <w:rFonts w:ascii="Arial" w:hAnsi="Arial" w:cs="Arial"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9C55A3E"/>
    <w:multiLevelType w:val="hybridMultilevel"/>
    <w:tmpl w:val="16CC177C"/>
    <w:lvl w:ilvl="0" w:tplc="633E9C06">
      <w:start w:val="6"/>
      <w:numFmt w:val="bullet"/>
      <w:lvlText w:val=""/>
      <w:lvlJc w:val="left"/>
      <w:pPr>
        <w:ind w:left="987" w:hanging="360"/>
      </w:pPr>
      <w:rPr>
        <w:rFonts w:ascii="Wingdings" w:eastAsia="Times New Roman" w:hAnsi="Wingdings" w:cs="Arial" w:hint="default"/>
      </w:rPr>
    </w:lvl>
    <w:lvl w:ilvl="1" w:tplc="04050003" w:tentative="1">
      <w:start w:val="1"/>
      <w:numFmt w:val="bullet"/>
      <w:lvlText w:val="o"/>
      <w:lvlJc w:val="left"/>
      <w:pPr>
        <w:ind w:left="1707" w:hanging="360"/>
      </w:pPr>
      <w:rPr>
        <w:rFonts w:ascii="Courier New" w:hAnsi="Courier New" w:cs="Courier New" w:hint="default"/>
      </w:rPr>
    </w:lvl>
    <w:lvl w:ilvl="2" w:tplc="04050005" w:tentative="1">
      <w:start w:val="1"/>
      <w:numFmt w:val="bullet"/>
      <w:lvlText w:val=""/>
      <w:lvlJc w:val="left"/>
      <w:pPr>
        <w:ind w:left="2427" w:hanging="360"/>
      </w:pPr>
      <w:rPr>
        <w:rFonts w:ascii="Wingdings" w:hAnsi="Wingdings" w:hint="default"/>
      </w:rPr>
    </w:lvl>
    <w:lvl w:ilvl="3" w:tplc="04050001" w:tentative="1">
      <w:start w:val="1"/>
      <w:numFmt w:val="bullet"/>
      <w:lvlText w:val=""/>
      <w:lvlJc w:val="left"/>
      <w:pPr>
        <w:ind w:left="3147" w:hanging="360"/>
      </w:pPr>
      <w:rPr>
        <w:rFonts w:ascii="Symbol" w:hAnsi="Symbol" w:hint="default"/>
      </w:rPr>
    </w:lvl>
    <w:lvl w:ilvl="4" w:tplc="04050003" w:tentative="1">
      <w:start w:val="1"/>
      <w:numFmt w:val="bullet"/>
      <w:lvlText w:val="o"/>
      <w:lvlJc w:val="left"/>
      <w:pPr>
        <w:ind w:left="3867" w:hanging="360"/>
      </w:pPr>
      <w:rPr>
        <w:rFonts w:ascii="Courier New" w:hAnsi="Courier New" w:cs="Courier New" w:hint="default"/>
      </w:rPr>
    </w:lvl>
    <w:lvl w:ilvl="5" w:tplc="04050005" w:tentative="1">
      <w:start w:val="1"/>
      <w:numFmt w:val="bullet"/>
      <w:lvlText w:val=""/>
      <w:lvlJc w:val="left"/>
      <w:pPr>
        <w:ind w:left="4587" w:hanging="360"/>
      </w:pPr>
      <w:rPr>
        <w:rFonts w:ascii="Wingdings" w:hAnsi="Wingdings" w:hint="default"/>
      </w:rPr>
    </w:lvl>
    <w:lvl w:ilvl="6" w:tplc="04050001" w:tentative="1">
      <w:start w:val="1"/>
      <w:numFmt w:val="bullet"/>
      <w:lvlText w:val=""/>
      <w:lvlJc w:val="left"/>
      <w:pPr>
        <w:ind w:left="5307" w:hanging="360"/>
      </w:pPr>
      <w:rPr>
        <w:rFonts w:ascii="Symbol" w:hAnsi="Symbol" w:hint="default"/>
      </w:rPr>
    </w:lvl>
    <w:lvl w:ilvl="7" w:tplc="04050003" w:tentative="1">
      <w:start w:val="1"/>
      <w:numFmt w:val="bullet"/>
      <w:lvlText w:val="o"/>
      <w:lvlJc w:val="left"/>
      <w:pPr>
        <w:ind w:left="6027" w:hanging="360"/>
      </w:pPr>
      <w:rPr>
        <w:rFonts w:ascii="Courier New" w:hAnsi="Courier New" w:cs="Courier New" w:hint="default"/>
      </w:rPr>
    </w:lvl>
    <w:lvl w:ilvl="8" w:tplc="04050005" w:tentative="1">
      <w:start w:val="1"/>
      <w:numFmt w:val="bullet"/>
      <w:lvlText w:val=""/>
      <w:lvlJc w:val="left"/>
      <w:pPr>
        <w:ind w:left="6747" w:hanging="360"/>
      </w:pPr>
      <w:rPr>
        <w:rFonts w:ascii="Wingdings" w:hAnsi="Wingdings" w:hint="default"/>
      </w:rPr>
    </w:lvl>
  </w:abstractNum>
  <w:abstractNum w:abstractNumId="6" w15:restartNumberingAfterBreak="0">
    <w:nsid w:val="579D7411"/>
    <w:multiLevelType w:val="singleLevel"/>
    <w:tmpl w:val="2FAE79CE"/>
    <w:lvl w:ilvl="0">
      <w:start w:val="1"/>
      <w:numFmt w:val="decimal"/>
      <w:lvlText w:val="%1)"/>
      <w:lvlJc w:val="left"/>
      <w:pPr>
        <w:tabs>
          <w:tab w:val="num" w:pos="360"/>
        </w:tabs>
        <w:ind w:left="360" w:hanging="360"/>
      </w:pPr>
      <w:rPr>
        <w:rFonts w:ascii="Arial" w:hAnsi="Arial" w:cs="Arial" w:hint="default"/>
        <w:sz w:val="22"/>
        <w:szCs w:val="22"/>
      </w:rPr>
    </w:lvl>
  </w:abstractNum>
  <w:abstractNum w:abstractNumId="7"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6D0528FB"/>
    <w:multiLevelType w:val="multilevel"/>
    <w:tmpl w:val="9C20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4B5D6A"/>
    <w:multiLevelType w:val="multilevel"/>
    <w:tmpl w:val="522AA13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Arial" w:hAnsi="Arial" w:cs="Arial" w:hint="default"/>
        <w:b/>
        <w:i w:val="0"/>
        <w:sz w:val="20"/>
        <w:szCs w:val="22"/>
      </w:rPr>
    </w:lvl>
    <w:lvl w:ilvl="2">
      <w:start w:val="1"/>
      <w:numFmt w:val="lowerLetter"/>
      <w:pStyle w:val="Claneka"/>
      <w:lvlText w:val="(%3)"/>
      <w:lvlJc w:val="left"/>
      <w:pPr>
        <w:tabs>
          <w:tab w:val="num" w:pos="992"/>
        </w:tabs>
        <w:ind w:left="992" w:hanging="425"/>
      </w:pPr>
      <w:rPr>
        <w:rFonts w:ascii="Arial" w:hAnsi="Arial" w:cs="Arial" w:hint="default"/>
        <w:b w:val="0"/>
        <w:bCs w:val="0"/>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731E0E1E"/>
    <w:multiLevelType w:val="hybridMultilevel"/>
    <w:tmpl w:val="8DA8C8C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1282608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703341">
    <w:abstractNumId w:val="8"/>
  </w:num>
  <w:num w:numId="3" w16cid:durableId="307368846">
    <w:abstractNumId w:val="10"/>
  </w:num>
  <w:num w:numId="4" w16cid:durableId="1901092005">
    <w:abstractNumId w:val="9"/>
  </w:num>
  <w:num w:numId="5" w16cid:durableId="1769304208">
    <w:abstractNumId w:val="7"/>
  </w:num>
  <w:num w:numId="6" w16cid:durableId="564031523">
    <w:abstractNumId w:val="4"/>
  </w:num>
  <w:num w:numId="7" w16cid:durableId="597568032">
    <w:abstractNumId w:val="0"/>
  </w:num>
  <w:num w:numId="8" w16cid:durableId="1396004737">
    <w:abstractNumId w:val="6"/>
  </w:num>
  <w:num w:numId="9" w16cid:durableId="409740938">
    <w:abstractNumId w:val="9"/>
  </w:num>
  <w:num w:numId="10" w16cid:durableId="1415083435">
    <w:abstractNumId w:val="9"/>
  </w:num>
  <w:num w:numId="11" w16cid:durableId="635722171">
    <w:abstractNumId w:val="5"/>
  </w:num>
  <w:num w:numId="12" w16cid:durableId="2063406395">
    <w:abstractNumId w:val="3"/>
  </w:num>
  <w:num w:numId="13" w16cid:durableId="486677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4D"/>
    <w:rsid w:val="00076F1C"/>
    <w:rsid w:val="00085CD9"/>
    <w:rsid w:val="000C16C1"/>
    <w:rsid w:val="00314AAB"/>
    <w:rsid w:val="00396560"/>
    <w:rsid w:val="003C2819"/>
    <w:rsid w:val="003E728C"/>
    <w:rsid w:val="004968EB"/>
    <w:rsid w:val="004E179E"/>
    <w:rsid w:val="005513CD"/>
    <w:rsid w:val="00572EA7"/>
    <w:rsid w:val="0058134D"/>
    <w:rsid w:val="006C38B0"/>
    <w:rsid w:val="0070209D"/>
    <w:rsid w:val="007C1994"/>
    <w:rsid w:val="00810FC5"/>
    <w:rsid w:val="008802F6"/>
    <w:rsid w:val="008E7ABC"/>
    <w:rsid w:val="00904894"/>
    <w:rsid w:val="0090652C"/>
    <w:rsid w:val="00B546DE"/>
    <w:rsid w:val="00BA307F"/>
    <w:rsid w:val="00C90E31"/>
    <w:rsid w:val="00CA20DB"/>
    <w:rsid w:val="00CE2357"/>
    <w:rsid w:val="00D2405B"/>
    <w:rsid w:val="00D65D55"/>
    <w:rsid w:val="00DA1DA7"/>
    <w:rsid w:val="00DA6914"/>
    <w:rsid w:val="00E1733F"/>
    <w:rsid w:val="00E536DE"/>
    <w:rsid w:val="00E6355A"/>
    <w:rsid w:val="00EE2DF6"/>
    <w:rsid w:val="00F742CF"/>
    <w:rsid w:val="00FA00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8CE56"/>
  <w15:chartTrackingRefBased/>
  <w15:docId w15:val="{73A1FBF1-8551-4E60-AE72-2EE17684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8134D"/>
    <w:pPr>
      <w:spacing w:after="0" w:line="240" w:lineRule="auto"/>
      <w:jc w:val="both"/>
    </w:pPr>
    <w:rPr>
      <w:rFonts w:ascii="Arial" w:eastAsia="Times New Roman" w:hAnsi="Arial" w:cs="Times New Roman"/>
      <w:szCs w:val="20"/>
      <w:lang w:eastAsia="cs-CZ"/>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Clanek11"/>
    <w:link w:val="Nadpis1Char"/>
    <w:autoRedefine/>
    <w:qFormat/>
    <w:rsid w:val="0058134D"/>
    <w:pPr>
      <w:keepNext/>
      <w:keepLines/>
      <w:numPr>
        <w:numId w:val="4"/>
      </w:numPr>
      <w:tabs>
        <w:tab w:val="clear" w:pos="567"/>
        <w:tab w:val="num" w:pos="709"/>
      </w:tabs>
      <w:spacing w:before="240"/>
      <w:ind w:left="709"/>
      <w:outlineLvl w:val="0"/>
    </w:pPr>
    <w:rPr>
      <w:rFonts w:cs="Arial"/>
      <w:b/>
      <w:bCs/>
      <w:caps/>
      <w:kern w:val="32"/>
      <w:szCs w:val="28"/>
      <w:lang w:eastAsia="en-US"/>
    </w:rPr>
  </w:style>
  <w:style w:type="paragraph" w:styleId="Nadpis2">
    <w:name w:val="heading 2"/>
    <w:basedOn w:val="Normln"/>
    <w:next w:val="Normln"/>
    <w:link w:val="Nadpis2Char"/>
    <w:uiPriority w:val="9"/>
    <w:semiHidden/>
    <w:unhideWhenUsed/>
    <w:qFormat/>
    <w:rsid w:val="0058134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rsid w:val="0058134D"/>
    <w:rPr>
      <w:rFonts w:ascii="Arial" w:eastAsia="Times New Roman" w:hAnsi="Arial" w:cs="Arial"/>
      <w:b/>
      <w:bCs/>
      <w:caps/>
      <w:kern w:val="32"/>
      <w:szCs w:val="28"/>
    </w:rPr>
  </w:style>
  <w:style w:type="paragraph" w:styleId="Zhlav">
    <w:name w:val="header"/>
    <w:basedOn w:val="Normln"/>
    <w:link w:val="ZhlavChar"/>
    <w:uiPriority w:val="99"/>
    <w:rsid w:val="0058134D"/>
    <w:pPr>
      <w:tabs>
        <w:tab w:val="center" w:pos="4536"/>
        <w:tab w:val="right" w:pos="9072"/>
      </w:tabs>
    </w:pPr>
  </w:style>
  <w:style w:type="character" w:customStyle="1" w:styleId="ZhlavChar">
    <w:name w:val="Záhlaví Char"/>
    <w:basedOn w:val="Standardnpsmoodstavce"/>
    <w:link w:val="Zhlav"/>
    <w:uiPriority w:val="99"/>
    <w:rsid w:val="0058134D"/>
    <w:rPr>
      <w:rFonts w:ascii="Arial" w:eastAsia="Times New Roman" w:hAnsi="Arial" w:cs="Times New Roman"/>
      <w:szCs w:val="20"/>
      <w:lang w:eastAsia="cs-CZ"/>
    </w:rPr>
  </w:style>
  <w:style w:type="paragraph" w:styleId="Zpat">
    <w:name w:val="footer"/>
    <w:basedOn w:val="Normln"/>
    <w:link w:val="ZpatChar"/>
    <w:uiPriority w:val="99"/>
    <w:rsid w:val="0058134D"/>
    <w:pPr>
      <w:tabs>
        <w:tab w:val="center" w:pos="4536"/>
        <w:tab w:val="right" w:pos="9072"/>
      </w:tabs>
    </w:pPr>
  </w:style>
  <w:style w:type="character" w:customStyle="1" w:styleId="ZpatChar">
    <w:name w:val="Zápatí Char"/>
    <w:basedOn w:val="Standardnpsmoodstavce"/>
    <w:link w:val="Zpat"/>
    <w:uiPriority w:val="99"/>
    <w:rsid w:val="0058134D"/>
    <w:rPr>
      <w:rFonts w:ascii="Arial" w:eastAsia="Times New Roman" w:hAnsi="Arial" w:cs="Times New Roman"/>
      <w:szCs w:val="20"/>
      <w:lang w:eastAsia="cs-CZ"/>
    </w:rPr>
  </w:style>
  <w:style w:type="paragraph" w:styleId="Odstavecseseznamem">
    <w:name w:val="List Paragraph"/>
    <w:aliases w:val="Odrážky,Heading Bullet"/>
    <w:basedOn w:val="Normln"/>
    <w:link w:val="OdstavecseseznamemChar"/>
    <w:uiPriority w:val="34"/>
    <w:qFormat/>
    <w:rsid w:val="0058134D"/>
    <w:pPr>
      <w:ind w:left="720"/>
      <w:contextualSpacing/>
    </w:pPr>
  </w:style>
  <w:style w:type="paragraph" w:customStyle="1" w:styleId="slolnku">
    <w:name w:val="Číslo článku"/>
    <w:basedOn w:val="Normln"/>
    <w:next w:val="Normln"/>
    <w:rsid w:val="0058134D"/>
    <w:pPr>
      <w:keepNext/>
      <w:numPr>
        <w:numId w:val="1"/>
      </w:numPr>
      <w:tabs>
        <w:tab w:val="left" w:pos="0"/>
        <w:tab w:val="left" w:pos="284"/>
        <w:tab w:val="left" w:pos="1701"/>
      </w:tabs>
      <w:spacing w:before="160" w:after="40"/>
      <w:jc w:val="center"/>
    </w:pPr>
    <w:rPr>
      <w:b/>
    </w:rPr>
  </w:style>
  <w:style w:type="paragraph" w:customStyle="1" w:styleId="Textodst1sl">
    <w:name w:val="Text odst.1čísl"/>
    <w:basedOn w:val="Normln"/>
    <w:link w:val="Textodst1slChar"/>
    <w:rsid w:val="0058134D"/>
    <w:pPr>
      <w:numPr>
        <w:ilvl w:val="1"/>
        <w:numId w:val="1"/>
      </w:numPr>
      <w:tabs>
        <w:tab w:val="left" w:pos="0"/>
        <w:tab w:val="left" w:pos="284"/>
      </w:tabs>
      <w:spacing w:before="80"/>
      <w:outlineLvl w:val="1"/>
    </w:pPr>
  </w:style>
  <w:style w:type="character" w:customStyle="1" w:styleId="Textodst1slChar">
    <w:name w:val="Text odst.1čísl Char"/>
    <w:link w:val="Textodst1sl"/>
    <w:locked/>
    <w:rsid w:val="0058134D"/>
    <w:rPr>
      <w:rFonts w:ascii="Arial" w:eastAsia="Times New Roman" w:hAnsi="Arial" w:cs="Times New Roman"/>
      <w:szCs w:val="20"/>
      <w:lang w:eastAsia="cs-CZ"/>
    </w:rPr>
  </w:style>
  <w:style w:type="paragraph" w:customStyle="1" w:styleId="Textodst2slovan">
    <w:name w:val="Text odst.2 číslovaný"/>
    <w:basedOn w:val="Textodst1sl"/>
    <w:rsid w:val="0058134D"/>
    <w:pPr>
      <w:numPr>
        <w:ilvl w:val="2"/>
      </w:numPr>
      <w:tabs>
        <w:tab w:val="clear" w:pos="0"/>
        <w:tab w:val="clear" w:pos="284"/>
        <w:tab w:val="clear" w:pos="992"/>
        <w:tab w:val="num" w:pos="360"/>
        <w:tab w:val="num" w:pos="2160"/>
      </w:tabs>
      <w:spacing w:before="0"/>
      <w:ind w:left="2160" w:hanging="360"/>
      <w:outlineLvl w:val="2"/>
    </w:pPr>
  </w:style>
  <w:style w:type="paragraph" w:customStyle="1" w:styleId="Textodst3psmena">
    <w:name w:val="Text odst. 3 písmena"/>
    <w:basedOn w:val="Textodst1sl"/>
    <w:rsid w:val="0058134D"/>
    <w:pPr>
      <w:numPr>
        <w:ilvl w:val="3"/>
      </w:numPr>
      <w:tabs>
        <w:tab w:val="clear" w:pos="2778"/>
        <w:tab w:val="num" w:pos="360"/>
        <w:tab w:val="num" w:pos="2880"/>
      </w:tabs>
      <w:spacing w:before="0"/>
      <w:ind w:left="2880" w:hanging="360"/>
      <w:outlineLvl w:val="3"/>
    </w:pPr>
  </w:style>
  <w:style w:type="character" w:styleId="Hypertextovodkaz">
    <w:name w:val="Hyperlink"/>
    <w:basedOn w:val="Standardnpsmoodstavce"/>
    <w:uiPriority w:val="99"/>
    <w:unhideWhenUsed/>
    <w:rsid w:val="0058134D"/>
    <w:rPr>
      <w:rFonts w:ascii="Times New Roman" w:hAnsi="Times New Roman" w:cs="Times New Roman" w:hint="default"/>
      <w:color w:val="0000FF"/>
      <w:u w:val="single"/>
    </w:rPr>
  </w:style>
  <w:style w:type="paragraph" w:styleId="Bezmezer">
    <w:name w:val="No Spacing"/>
    <w:link w:val="BezmezerChar"/>
    <w:uiPriority w:val="1"/>
    <w:qFormat/>
    <w:rsid w:val="0058134D"/>
    <w:pPr>
      <w:spacing w:after="0" w:line="240" w:lineRule="auto"/>
      <w:jc w:val="both"/>
    </w:pPr>
    <w:rPr>
      <w:rFonts w:ascii="Times New Roman" w:eastAsia="Times New Roman" w:hAnsi="Times New Roman" w:cs="Times New Roman"/>
      <w:szCs w:val="24"/>
    </w:rPr>
  </w:style>
  <w:style w:type="character" w:customStyle="1" w:styleId="OdstavecseseznamemChar">
    <w:name w:val="Odstavec se seznamem Char"/>
    <w:aliases w:val="Odrážky Char,Heading Bullet Char"/>
    <w:link w:val="Odstavecseseznamem"/>
    <w:uiPriority w:val="34"/>
    <w:locked/>
    <w:rsid w:val="0058134D"/>
    <w:rPr>
      <w:rFonts w:ascii="Arial" w:eastAsia="Times New Roman" w:hAnsi="Arial" w:cs="Times New Roman"/>
      <w:szCs w:val="20"/>
      <w:lang w:eastAsia="cs-CZ"/>
    </w:rPr>
  </w:style>
  <w:style w:type="paragraph" w:customStyle="1" w:styleId="Clanek11">
    <w:name w:val="Clanek 1.1"/>
    <w:basedOn w:val="Nadpis2"/>
    <w:link w:val="Clanek11Char"/>
    <w:qFormat/>
    <w:rsid w:val="0058134D"/>
    <w:pPr>
      <w:keepNext w:val="0"/>
      <w:keepLines w:val="0"/>
      <w:widowControl w:val="0"/>
      <w:numPr>
        <w:ilvl w:val="1"/>
        <w:numId w:val="4"/>
      </w:numPr>
      <w:spacing w:before="120" w:after="120"/>
    </w:pPr>
    <w:rPr>
      <w:rFonts w:ascii="Arial" w:eastAsia="Times New Roman" w:hAnsi="Arial" w:cs="Arial"/>
      <w:bCs/>
      <w:iCs/>
      <w:color w:val="auto"/>
      <w:sz w:val="22"/>
      <w:szCs w:val="28"/>
      <w:lang w:eastAsia="en-US"/>
    </w:rPr>
  </w:style>
  <w:style w:type="paragraph" w:customStyle="1" w:styleId="Claneka">
    <w:name w:val="Clanek (a)"/>
    <w:basedOn w:val="Normln"/>
    <w:qFormat/>
    <w:rsid w:val="0058134D"/>
    <w:pPr>
      <w:keepLines/>
      <w:widowControl w:val="0"/>
      <w:numPr>
        <w:ilvl w:val="2"/>
        <w:numId w:val="4"/>
      </w:numPr>
      <w:spacing w:before="120" w:after="120"/>
    </w:pPr>
    <w:rPr>
      <w:szCs w:val="24"/>
      <w:lang w:eastAsia="en-US"/>
    </w:rPr>
  </w:style>
  <w:style w:type="paragraph" w:customStyle="1" w:styleId="Claneki">
    <w:name w:val="Clanek (i)"/>
    <w:basedOn w:val="Normln"/>
    <w:qFormat/>
    <w:rsid w:val="0058134D"/>
    <w:pPr>
      <w:keepNext/>
      <w:numPr>
        <w:ilvl w:val="3"/>
        <w:numId w:val="4"/>
      </w:numPr>
      <w:spacing w:before="120" w:after="120"/>
    </w:pPr>
    <w:rPr>
      <w:color w:val="000000"/>
      <w:szCs w:val="24"/>
      <w:lang w:eastAsia="en-US"/>
    </w:rPr>
  </w:style>
  <w:style w:type="character" w:customStyle="1" w:styleId="normaltextrun">
    <w:name w:val="normaltextrun"/>
    <w:basedOn w:val="Standardnpsmoodstavce"/>
    <w:rsid w:val="0058134D"/>
  </w:style>
  <w:style w:type="paragraph" w:customStyle="1" w:styleId="Text11">
    <w:name w:val="Text 1.1"/>
    <w:basedOn w:val="Normln"/>
    <w:qFormat/>
    <w:rsid w:val="0058134D"/>
    <w:pPr>
      <w:keepNext/>
      <w:spacing w:before="120" w:after="120"/>
      <w:ind w:left="561"/>
    </w:pPr>
    <w:rPr>
      <w:lang w:eastAsia="en-US"/>
    </w:rPr>
  </w:style>
  <w:style w:type="table" w:styleId="Mkatabulky">
    <w:name w:val="Table Grid"/>
    <w:basedOn w:val="Normlntabulka"/>
    <w:uiPriority w:val="39"/>
    <w:rsid w:val="0058134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11Char">
    <w:name w:val="Clanek 1.1 Char"/>
    <w:link w:val="Clanek11"/>
    <w:rsid w:val="0058134D"/>
    <w:rPr>
      <w:rFonts w:ascii="Arial" w:eastAsia="Times New Roman" w:hAnsi="Arial" w:cs="Arial"/>
      <w:bCs/>
      <w:iCs/>
      <w:szCs w:val="28"/>
    </w:rPr>
  </w:style>
  <w:style w:type="character" w:customStyle="1" w:styleId="BezmezerChar">
    <w:name w:val="Bez mezer Char"/>
    <w:basedOn w:val="Standardnpsmoodstavce"/>
    <w:link w:val="Bezmezer"/>
    <w:uiPriority w:val="1"/>
    <w:rsid w:val="0058134D"/>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58134D"/>
    <w:rPr>
      <w:rFonts w:asciiTheme="majorHAnsi" w:eastAsiaTheme="majorEastAsia" w:hAnsiTheme="majorHAnsi" w:cstheme="majorBidi"/>
      <w:color w:val="2F5496" w:themeColor="accent1" w:themeShade="BF"/>
      <w:sz w:val="26"/>
      <w:szCs w:val="26"/>
      <w:lang w:eastAsia="cs-CZ"/>
    </w:rPr>
  </w:style>
  <w:style w:type="paragraph" w:customStyle="1" w:styleId="Default">
    <w:name w:val="Default"/>
    <w:rsid w:val="00572EA7"/>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DA1DA7"/>
    <w:pPr>
      <w:spacing w:after="0" w:line="240" w:lineRule="auto"/>
    </w:pPr>
    <w:rPr>
      <w:rFonts w:ascii="Arial" w:eastAsia="Times New Roman" w:hAnsi="Arial" w:cs="Times New Roman"/>
      <w:szCs w:val="20"/>
      <w:lang w:eastAsia="cs-CZ"/>
    </w:rPr>
  </w:style>
  <w:style w:type="character" w:styleId="Zstupntext">
    <w:name w:val="Placeholder Text"/>
    <w:basedOn w:val="Standardnpsmoodstavce"/>
    <w:uiPriority w:val="99"/>
    <w:semiHidden/>
    <w:rsid w:val="007C19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6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sk-praha.cz/wps/portal/root/o-spolecnosti/o-spolecnosti-TSK-Prah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1C9CA7B8E349F1812A46FF2A4A2A4C"/>
        <w:category>
          <w:name w:val="Obecné"/>
          <w:gallery w:val="placeholder"/>
        </w:category>
        <w:types>
          <w:type w:val="bbPlcHdr"/>
        </w:types>
        <w:behaviors>
          <w:behavior w:val="content"/>
        </w:behaviors>
        <w:guid w:val="{E17E5495-FC36-4059-A8E3-FCFAA0EFA551}"/>
      </w:docPartPr>
      <w:docPartBody>
        <w:p w:rsidR="00812412" w:rsidRDefault="00FF5047" w:rsidP="00FF5047">
          <w:pPr>
            <w:pStyle w:val="7D1C9CA7B8E349F1812A46FF2A4A2A4C"/>
          </w:pPr>
          <w:r w:rsidRPr="00CB7F9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47"/>
    <w:rsid w:val="00812412"/>
    <w:rsid w:val="00DA5D8C"/>
    <w:rsid w:val="00FF5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F5047"/>
    <w:rPr>
      <w:color w:val="808080"/>
    </w:rPr>
  </w:style>
  <w:style w:type="paragraph" w:customStyle="1" w:styleId="7D1C9CA7B8E349F1812A46FF2A4A2A4C">
    <w:name w:val="7D1C9CA7B8E349F1812A46FF2A4A2A4C"/>
    <w:rsid w:val="00FF5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2503</Words>
  <Characters>14769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Zdeňková Martina</dc:creator>
  <cp:keywords/>
  <dc:description/>
  <cp:lastModifiedBy>Všetečková Tereza</cp:lastModifiedBy>
  <cp:revision>2</cp:revision>
  <cp:lastPrinted>2024-02-29T10:33:00Z</cp:lastPrinted>
  <dcterms:created xsi:type="dcterms:W3CDTF">2024-03-06T08:22:00Z</dcterms:created>
  <dcterms:modified xsi:type="dcterms:W3CDTF">2024-03-06T08:22:00Z</dcterms:modified>
</cp:coreProperties>
</file>