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7221300534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Uhlířov</w:t>
      </w:r>
    </w:p>
    <w:p>
      <w:pPr>
        <w:pStyle w:val="BodyText"/>
        <w:tabs>
          <w:tab w:pos="2982" w:val="left" w:leader="none"/>
        </w:tabs>
        <w:ind w:left="102" w:right="2287"/>
      </w:pPr>
      <w:r>
        <w:rPr/>
        <w:t>kontaktní adresa:</w:t>
        <w:tab/>
        <w:t>Obecní</w:t>
      </w:r>
      <w:r>
        <w:rPr>
          <w:spacing w:val="-5"/>
        </w:rPr>
        <w:t> </w:t>
      </w:r>
      <w:r>
        <w:rPr/>
        <w:t>úřad</w:t>
      </w:r>
      <w:r>
        <w:rPr>
          <w:spacing w:val="-5"/>
        </w:rPr>
        <w:t> </w:t>
      </w:r>
      <w:r>
        <w:rPr/>
        <w:t>Uhlířov,</w:t>
      </w:r>
      <w:r>
        <w:rPr>
          <w:spacing w:val="-5"/>
        </w:rPr>
        <w:t> </w:t>
      </w:r>
      <w:r>
        <w:rPr/>
        <w:t>Uhlířov</w:t>
      </w:r>
      <w:r>
        <w:rPr>
          <w:spacing w:val="-3"/>
        </w:rPr>
        <w:t> </w:t>
      </w:r>
      <w:r>
        <w:rPr/>
        <w:t>č.</w:t>
      </w:r>
      <w:r>
        <w:rPr>
          <w:spacing w:val="-5"/>
        </w:rPr>
        <w:t> </w:t>
      </w:r>
      <w:r>
        <w:rPr/>
        <w:t>p.</w:t>
      </w:r>
      <w:r>
        <w:rPr>
          <w:spacing w:val="-5"/>
        </w:rPr>
        <w:t> </w:t>
      </w:r>
      <w:r>
        <w:rPr/>
        <w:t>55,</w:t>
      </w:r>
      <w:r>
        <w:rPr>
          <w:spacing w:val="-5"/>
        </w:rPr>
        <w:t> </w:t>
      </w:r>
      <w:r>
        <w:rPr/>
        <w:t>747</w:t>
      </w:r>
      <w:r>
        <w:rPr>
          <w:spacing w:val="-3"/>
        </w:rPr>
        <w:t> </w:t>
      </w:r>
      <w:r>
        <w:rPr/>
        <w:t>84</w:t>
      </w:r>
      <w:r>
        <w:rPr>
          <w:spacing w:val="-4"/>
        </w:rPr>
        <w:t> </w:t>
      </w:r>
      <w:r>
        <w:rPr/>
        <w:t>Melč </w:t>
      </w:r>
      <w:r>
        <w:rPr>
          <w:spacing w:val="-4"/>
        </w:rPr>
        <w:t>IČO:</w:t>
      </w:r>
      <w:r>
        <w:rPr/>
        <w:tab/>
      </w:r>
      <w:r>
        <w:rPr>
          <w:spacing w:val="-2"/>
        </w:rPr>
        <w:t>00635421</w:t>
      </w:r>
    </w:p>
    <w:p>
      <w:pPr>
        <w:pStyle w:val="BodyText"/>
        <w:tabs>
          <w:tab w:pos="2982" w:val="left" w:leader="none"/>
        </w:tabs>
        <w:spacing w:line="265" w:lineRule="exact"/>
        <w:ind w:left="102"/>
      </w:pPr>
      <w:r>
        <w:rPr>
          <w:spacing w:val="-2"/>
        </w:rPr>
        <w:t>zastoupená:</w:t>
      </w:r>
      <w:r>
        <w:rPr/>
        <w:tab/>
        <w:t>Jiřím</w:t>
      </w:r>
      <w:r>
        <w:rPr>
          <w:spacing w:val="-4"/>
        </w:rPr>
        <w:t> </w:t>
      </w:r>
      <w:r>
        <w:rPr/>
        <w:t>Š</w:t>
      </w:r>
      <w:r>
        <w:rPr>
          <w:spacing w:val="-3"/>
        </w:rPr>
        <w:t> </w:t>
      </w:r>
      <w:r>
        <w:rPr/>
        <w:t>v</w:t>
      </w:r>
      <w:r>
        <w:rPr>
          <w:spacing w:val="-1"/>
        </w:rPr>
        <w:t> </w:t>
      </w:r>
      <w:r>
        <w:rPr/>
        <w:t>e</w:t>
      </w:r>
      <w:r>
        <w:rPr>
          <w:spacing w:val="-3"/>
        </w:rPr>
        <w:t> </w:t>
      </w:r>
      <w:r>
        <w:rPr/>
        <w:t>n</w:t>
      </w:r>
      <w:r>
        <w:rPr>
          <w:spacing w:val="-2"/>
        </w:rPr>
        <w:t> </w:t>
      </w:r>
      <w:r>
        <w:rPr/>
        <w:t>d</w:t>
      </w:r>
      <w:r>
        <w:rPr>
          <w:spacing w:val="-1"/>
        </w:rPr>
        <w:t> </w:t>
      </w:r>
      <w:r>
        <w:rPr/>
        <w:t>t 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186"/>
      </w:pPr>
      <w:r>
        <w:rPr/>
        <w:t>číslo účtu:</w:t>
        <w:tab/>
      </w:r>
      <w:r>
        <w:rPr>
          <w:spacing w:val="-2"/>
        </w:rPr>
        <w:t>94-419821/0710 </w:t>
      </w:r>
      <w:r>
        <w:rPr/>
        <w:t>(dále jen „příjemce podpory“)</w:t>
      </w:r>
    </w:p>
    <w:p>
      <w:pPr>
        <w:pStyle w:val="BodyText"/>
        <w:spacing w:before="1"/>
      </w:pPr>
    </w:p>
    <w:p>
      <w:pPr>
        <w:pStyle w:val="BodyText"/>
        <w:ind w:left="102"/>
      </w:pPr>
      <w:r>
        <w:rPr/>
        <w:t>se</w:t>
      </w:r>
      <w:r>
        <w:rPr>
          <w:spacing w:val="-6"/>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7221300534 o poskytnutí finančních prostředků ze Státního fondu životního prostředí ČR ze dne 23.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81"/>
        <w:jc w:val="both"/>
      </w:pPr>
      <w:r>
        <w:rPr/>
        <w:t>„Fotovoltaické</w:t>
      </w:r>
      <w:r>
        <w:rPr>
          <w:spacing w:val="-10"/>
        </w:rPr>
        <w:t> </w:t>
      </w:r>
      <w:r>
        <w:rPr/>
        <w:t>elektrárny</w:t>
      </w:r>
      <w:r>
        <w:rPr>
          <w:spacing w:val="-7"/>
        </w:rPr>
        <w:t> </w:t>
      </w:r>
      <w:r>
        <w:rPr/>
        <w:t>v</w:t>
      </w:r>
      <w:r>
        <w:rPr>
          <w:spacing w:val="-10"/>
        </w:rPr>
        <w:t> </w:t>
      </w:r>
      <w:r>
        <w:rPr/>
        <w:t>obci</w:t>
      </w:r>
      <w:r>
        <w:rPr>
          <w:spacing w:val="-8"/>
        </w:rPr>
        <w:t> </w:t>
      </w:r>
      <w:r>
        <w:rPr>
          <w:spacing w:val="-2"/>
        </w:rPr>
        <w:t>Uhlířov“</w:t>
      </w:r>
    </w:p>
    <w:p>
      <w:pPr>
        <w:pStyle w:val="BodyText"/>
        <w:spacing w:before="118"/>
        <w:ind w:left="385"/>
        <w:jc w:val="both"/>
      </w:pPr>
      <w:r>
        <w:rPr/>
        <w:t>(dále</w:t>
      </w:r>
      <w:r>
        <w:rPr>
          <w:spacing w:val="-7"/>
        </w:rPr>
        <w:t> </w:t>
      </w:r>
      <w:r>
        <w:rPr/>
        <w:t>jen</w:t>
      </w:r>
      <w:r>
        <w:rPr>
          <w:spacing w:val="-6"/>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3"/>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3"/>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9"/>
          <w:sz w:val="20"/>
        </w:rPr>
        <w:t> </w:t>
      </w:r>
      <w:r>
        <w:rPr>
          <w:sz w:val="20"/>
        </w:rPr>
        <w:t>dotace</w:t>
      </w:r>
      <w:r>
        <w:rPr>
          <w:spacing w:val="-10"/>
          <w:sz w:val="20"/>
        </w:rPr>
        <w:t> </w:t>
      </w:r>
      <w:r>
        <w:rPr>
          <w:sz w:val="20"/>
        </w:rPr>
        <w:t>ve</w:t>
      </w:r>
      <w:r>
        <w:rPr>
          <w:spacing w:val="-10"/>
          <w:sz w:val="20"/>
        </w:rPr>
        <w:t> </w:t>
      </w:r>
      <w:r>
        <w:rPr>
          <w:sz w:val="20"/>
        </w:rPr>
        <w:t>výši</w:t>
      </w:r>
      <w:r>
        <w:rPr>
          <w:spacing w:val="-9"/>
          <w:sz w:val="20"/>
        </w:rPr>
        <w:t> </w:t>
      </w:r>
      <w:r>
        <w:rPr>
          <w:b/>
          <w:sz w:val="20"/>
        </w:rPr>
        <w:t>1</w:t>
      </w:r>
      <w:r>
        <w:rPr>
          <w:b/>
          <w:spacing w:val="-2"/>
          <w:sz w:val="20"/>
        </w:rPr>
        <w:t> </w:t>
      </w:r>
      <w:r>
        <w:rPr>
          <w:b/>
          <w:sz w:val="20"/>
        </w:rPr>
        <w:t>262</w:t>
      </w:r>
      <w:r>
        <w:rPr>
          <w:b/>
          <w:spacing w:val="-2"/>
          <w:sz w:val="20"/>
        </w:rPr>
        <w:t> </w:t>
      </w:r>
      <w:r>
        <w:rPr>
          <w:b/>
          <w:sz w:val="20"/>
        </w:rPr>
        <w:t>315,62</w:t>
      </w:r>
      <w:r>
        <w:rPr>
          <w:b/>
          <w:spacing w:val="-9"/>
          <w:sz w:val="20"/>
        </w:rPr>
        <w:t> </w:t>
      </w:r>
      <w:r>
        <w:rPr>
          <w:b/>
          <w:sz w:val="20"/>
        </w:rPr>
        <w:t>Kč</w:t>
      </w:r>
      <w:r>
        <w:rPr>
          <w:b/>
          <w:spacing w:val="-9"/>
          <w:sz w:val="20"/>
        </w:rPr>
        <w:t> </w:t>
      </w:r>
      <w:r>
        <w:rPr>
          <w:sz w:val="20"/>
        </w:rPr>
        <w:t>(slovy:</w:t>
      </w:r>
      <w:r>
        <w:rPr>
          <w:spacing w:val="-7"/>
          <w:sz w:val="20"/>
        </w:rPr>
        <w:t> </w:t>
      </w:r>
      <w:r>
        <w:rPr>
          <w:sz w:val="20"/>
        </w:rPr>
        <w:t>jeden</w:t>
      </w:r>
      <w:r>
        <w:rPr>
          <w:spacing w:val="-8"/>
          <w:sz w:val="20"/>
        </w:rPr>
        <w:t> </w:t>
      </w:r>
      <w:r>
        <w:rPr>
          <w:sz w:val="20"/>
        </w:rPr>
        <w:t>milion</w:t>
      </w:r>
      <w:r>
        <w:rPr>
          <w:spacing w:val="-9"/>
          <w:sz w:val="20"/>
        </w:rPr>
        <w:t> </w:t>
      </w:r>
      <w:r>
        <w:rPr>
          <w:sz w:val="20"/>
        </w:rPr>
        <w:t>dvě</w:t>
      </w:r>
      <w:r>
        <w:rPr>
          <w:spacing w:val="-9"/>
          <w:sz w:val="20"/>
        </w:rPr>
        <w:t> </w:t>
      </w:r>
      <w:r>
        <w:rPr>
          <w:sz w:val="20"/>
        </w:rPr>
        <w:t>stě</w:t>
      </w:r>
      <w:r>
        <w:rPr>
          <w:spacing w:val="-9"/>
          <w:sz w:val="20"/>
        </w:rPr>
        <w:t> </w:t>
      </w:r>
      <w:r>
        <w:rPr>
          <w:sz w:val="20"/>
        </w:rPr>
        <w:t>šedesát</w:t>
      </w:r>
      <w:r>
        <w:rPr>
          <w:spacing w:val="-10"/>
          <w:sz w:val="20"/>
        </w:rPr>
        <w:t> </w:t>
      </w:r>
      <w:r>
        <w:rPr>
          <w:sz w:val="20"/>
        </w:rPr>
        <w:t>dva</w:t>
      </w:r>
      <w:r>
        <w:rPr>
          <w:spacing w:val="-10"/>
          <w:sz w:val="20"/>
        </w:rPr>
        <w:t> </w:t>
      </w:r>
      <w:r>
        <w:rPr>
          <w:sz w:val="20"/>
        </w:rPr>
        <w:t>tisíc</w:t>
      </w:r>
      <w:r>
        <w:rPr>
          <w:spacing w:val="-10"/>
          <w:sz w:val="20"/>
        </w:rPr>
        <w:t> </w:t>
      </w:r>
      <w:r>
        <w:rPr>
          <w:sz w:val="20"/>
        </w:rPr>
        <w:t>tři</w:t>
      </w:r>
      <w:r>
        <w:rPr>
          <w:spacing w:val="-9"/>
          <w:sz w:val="20"/>
        </w:rPr>
        <w:t> </w:t>
      </w:r>
      <w:r>
        <w:rPr>
          <w:sz w:val="20"/>
        </w:rPr>
        <w:t>sta</w:t>
      </w:r>
      <w:r>
        <w:rPr>
          <w:spacing w:val="-8"/>
          <w:sz w:val="20"/>
        </w:rPr>
        <w:t> </w:t>
      </w:r>
      <w:r>
        <w:rPr>
          <w:sz w:val="20"/>
        </w:rPr>
        <w:t>patnáct</w:t>
      </w:r>
      <w:r>
        <w:rPr>
          <w:spacing w:val="-8"/>
          <w:sz w:val="20"/>
        </w:rPr>
        <w:t> </w:t>
      </w:r>
      <w:r>
        <w:rPr>
          <w:sz w:val="20"/>
        </w:rPr>
        <w:t>korun českých a šedesát dva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1 729 996,00 Kč.</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0" w:hanging="284"/>
        <w:jc w:val="both"/>
        <w:rPr>
          <w:sz w:val="20"/>
        </w:rPr>
      </w:pPr>
      <w:r>
        <w:rPr>
          <w:sz w:val="20"/>
        </w:rPr>
        <w:t>V</w:t>
      </w:r>
      <w:r>
        <w:rPr>
          <w:spacing w:val="19"/>
          <w:sz w:val="20"/>
        </w:rPr>
        <w:t> </w:t>
      </w:r>
      <w:r>
        <w:rPr>
          <w:sz w:val="20"/>
        </w:rPr>
        <w:t>případě,</w:t>
      </w:r>
      <w:r>
        <w:rPr>
          <w:spacing w:val="19"/>
          <w:sz w:val="20"/>
        </w:rPr>
        <w:t> </w:t>
      </w:r>
      <w:r>
        <w:rPr>
          <w:sz w:val="20"/>
        </w:rPr>
        <w:t>že</w:t>
      </w:r>
      <w:r>
        <w:rPr>
          <w:spacing w:val="19"/>
          <w:sz w:val="20"/>
        </w:rPr>
        <w:t> </w:t>
      </w:r>
      <w:r>
        <w:rPr>
          <w:sz w:val="20"/>
        </w:rPr>
        <w:t>došlo</w:t>
      </w:r>
      <w:r>
        <w:rPr>
          <w:spacing w:val="20"/>
          <w:sz w:val="20"/>
        </w:rPr>
        <w:t> </w:t>
      </w:r>
      <w:r>
        <w:rPr>
          <w:sz w:val="20"/>
        </w:rPr>
        <w:t>k</w:t>
      </w:r>
      <w:r>
        <w:rPr>
          <w:spacing w:val="20"/>
          <w:sz w:val="20"/>
        </w:rPr>
        <w:t> </w:t>
      </w:r>
      <w:r>
        <w:rPr>
          <w:sz w:val="20"/>
        </w:rPr>
        <w:t>zápočtu</w:t>
      </w:r>
      <w:r>
        <w:rPr>
          <w:spacing w:val="19"/>
          <w:sz w:val="20"/>
        </w:rPr>
        <w:t> </w:t>
      </w:r>
      <w:r>
        <w:rPr>
          <w:sz w:val="20"/>
        </w:rPr>
        <w:t>pohledávek/závazků</w:t>
      </w:r>
      <w:r>
        <w:rPr>
          <w:spacing w:val="22"/>
          <w:sz w:val="20"/>
        </w:rPr>
        <w:t> </w:t>
      </w:r>
      <w:r>
        <w:rPr>
          <w:sz w:val="20"/>
        </w:rPr>
        <w:t>mezi</w:t>
      </w:r>
      <w:r>
        <w:rPr>
          <w:spacing w:val="19"/>
          <w:sz w:val="20"/>
        </w:rPr>
        <w:t> </w:t>
      </w:r>
      <w:r>
        <w:rPr>
          <w:sz w:val="20"/>
        </w:rPr>
        <w:t>příjemcem</w:t>
      </w:r>
      <w:r>
        <w:rPr>
          <w:spacing w:val="19"/>
          <w:sz w:val="20"/>
        </w:rPr>
        <w:t> </w:t>
      </w:r>
      <w:r>
        <w:rPr>
          <w:sz w:val="20"/>
        </w:rPr>
        <w:t>podpory</w:t>
      </w:r>
      <w:r>
        <w:rPr>
          <w:spacing w:val="19"/>
          <w:sz w:val="20"/>
        </w:rPr>
        <w:t> </w:t>
      </w:r>
      <w:r>
        <w:rPr>
          <w:sz w:val="20"/>
        </w:rPr>
        <w:t>a</w:t>
      </w:r>
      <w:r>
        <w:rPr>
          <w:spacing w:val="20"/>
          <w:sz w:val="20"/>
        </w:rPr>
        <w:t> </w:t>
      </w:r>
      <w:r>
        <w:rPr>
          <w:sz w:val="20"/>
        </w:rPr>
        <w:t>zhotovitelem</w:t>
      </w:r>
      <w:r>
        <w:rPr>
          <w:spacing w:val="19"/>
          <w:sz w:val="20"/>
        </w:rPr>
        <w:t> </w:t>
      </w:r>
      <w:r>
        <w:rPr>
          <w:spacing w:val="-2"/>
          <w:sz w:val="20"/>
        </w:rPr>
        <w:t>(úhrada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faktury není v plné výši doložena bankovním výpisem), je vždy nutno předložit písemnou 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2"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90"/>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8"/>
          <w:sz w:val="20"/>
        </w:rPr>
        <w:t> </w:t>
      </w:r>
      <w:r>
        <w:rPr>
          <w:sz w:val="20"/>
        </w:rPr>
        <w:t>účel</w:t>
      </w:r>
      <w:r>
        <w:rPr>
          <w:spacing w:val="30"/>
          <w:sz w:val="20"/>
        </w:rPr>
        <w:t> </w:t>
      </w:r>
      <w:r>
        <w:rPr>
          <w:sz w:val="20"/>
        </w:rPr>
        <w:t>akce</w:t>
      </w:r>
      <w:r>
        <w:rPr>
          <w:spacing w:val="27"/>
          <w:sz w:val="20"/>
        </w:rPr>
        <w:t> </w:t>
      </w:r>
      <w:r>
        <w:rPr>
          <w:sz w:val="20"/>
        </w:rPr>
        <w:t>„Fotovoltaické</w:t>
      </w:r>
      <w:r>
        <w:rPr>
          <w:spacing w:val="27"/>
          <w:sz w:val="20"/>
        </w:rPr>
        <w:t> </w:t>
      </w:r>
      <w:r>
        <w:rPr>
          <w:sz w:val="20"/>
        </w:rPr>
        <w:t>elektrárny</w:t>
      </w:r>
      <w:r>
        <w:rPr>
          <w:spacing w:val="28"/>
          <w:sz w:val="20"/>
        </w:rPr>
        <w:t> </w:t>
      </w:r>
      <w:r>
        <w:rPr>
          <w:sz w:val="20"/>
        </w:rPr>
        <w:t>v</w:t>
      </w:r>
      <w:r>
        <w:rPr>
          <w:spacing w:val="29"/>
          <w:sz w:val="20"/>
        </w:rPr>
        <w:t> </w:t>
      </w:r>
      <w:r>
        <w:rPr>
          <w:sz w:val="20"/>
        </w:rPr>
        <w:t>obci</w:t>
      </w:r>
      <w:r>
        <w:rPr>
          <w:spacing w:val="28"/>
          <w:sz w:val="20"/>
        </w:rPr>
        <w:t> </w:t>
      </w:r>
      <w:r>
        <w:rPr>
          <w:sz w:val="20"/>
        </w:rPr>
        <w:t>Uhlířov“</w:t>
      </w:r>
      <w:r>
        <w:rPr>
          <w:spacing w:val="27"/>
          <w:sz w:val="20"/>
        </w:rPr>
        <w:t> </w:t>
      </w:r>
      <w:r>
        <w:rPr>
          <w:sz w:val="20"/>
        </w:rPr>
        <w:t>tím,</w:t>
      </w:r>
      <w:r>
        <w:rPr>
          <w:spacing w:val="28"/>
          <w:sz w:val="20"/>
        </w:rPr>
        <w:t> </w:t>
      </w:r>
      <w:r>
        <w:rPr>
          <w:sz w:val="20"/>
        </w:rPr>
        <w:t>že</w:t>
      </w:r>
      <w:r>
        <w:rPr>
          <w:spacing w:val="27"/>
          <w:sz w:val="20"/>
        </w:rPr>
        <w:t> </w:t>
      </w:r>
      <w:r>
        <w:rPr>
          <w:sz w:val="20"/>
        </w:rPr>
        <w:t>akce</w:t>
      </w:r>
      <w:r>
        <w:rPr>
          <w:spacing w:val="27"/>
          <w:sz w:val="20"/>
        </w:rPr>
        <w:t> </w:t>
      </w:r>
      <w:r>
        <w:rPr>
          <w:sz w:val="20"/>
        </w:rPr>
        <w:t>bude</w:t>
      </w:r>
      <w:r>
        <w:rPr>
          <w:spacing w:val="29"/>
          <w:sz w:val="20"/>
        </w:rPr>
        <w:t> </w:t>
      </w:r>
      <w:r>
        <w:rPr>
          <w:sz w:val="20"/>
        </w:rPr>
        <w:t>provedena</w:t>
      </w:r>
      <w:r>
        <w:rPr>
          <w:spacing w:val="28"/>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 projektu dojde k</w:t>
      </w:r>
      <w:r>
        <w:rPr>
          <w:spacing w:val="-2"/>
          <w:sz w:val="20"/>
        </w:rPr>
        <w:t> </w:t>
      </w:r>
      <w:r>
        <w:rPr>
          <w:sz w:val="20"/>
        </w:rPr>
        <w:t>realizací projektu dojde k výstavbě nových fotovoltaických elektráren se střešní instalací s předpokládaným výkonem 34,4 kWp a instalací akumulace o kapacitě 21,32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0"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0" w:lineRule="atLeas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2"/>
              <w:ind w:left="388"/>
              <w:rPr>
                <w:sz w:val="20"/>
              </w:rPr>
            </w:pPr>
            <w:r>
              <w:rPr>
                <w:spacing w:val="-5"/>
                <w:sz w:val="20"/>
              </w:rPr>
              <w:t>kWh</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21.32</w:t>
            </w:r>
          </w:p>
        </w:tc>
      </w:tr>
      <w:tr>
        <w:trPr>
          <w:trHeight w:val="505" w:hRule="atLeast"/>
        </w:trPr>
        <w:tc>
          <w:tcPr>
            <w:tcW w:w="3771"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34.40</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27.24</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82.36</w:t>
            </w:r>
          </w:p>
        </w:tc>
      </w:tr>
      <w:tr>
        <w:trPr>
          <w:trHeight w:val="506"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32.83</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2"/>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3"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3"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6"/>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0"/>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0"/>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2024-03-04T13:03:09Z</dcterms:created>
  <dcterms:modified xsi:type="dcterms:W3CDTF">2024-03-04T13:03:09Z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2024-03-04T00:00:00Z</vt:filetime>
  </property>
</Properties>
</file>