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FB" w:rsidRDefault="00B03CFB" w:rsidP="00B03CF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</w:t>
      </w:r>
    </w:p>
    <w:p w:rsidR="00B03CFB" w:rsidRDefault="00B03CFB" w:rsidP="00B03CFB">
      <w:pPr>
        <w:pStyle w:val="Bezmezer"/>
        <w:rPr>
          <w:rFonts w:ascii="Times New Roman" w:hAnsi="Times New Roman"/>
          <w:sz w:val="24"/>
          <w:szCs w:val="24"/>
        </w:rPr>
      </w:pPr>
    </w:p>
    <w:p w:rsidR="00B03CFB" w:rsidRDefault="00B03CFB" w:rsidP="00B03CFB">
      <w:pPr>
        <w:rPr>
          <w:sz w:val="36"/>
          <w:szCs w:val="36"/>
        </w:rPr>
      </w:pPr>
      <w:r>
        <w:rPr>
          <w:sz w:val="36"/>
          <w:szCs w:val="36"/>
        </w:rPr>
        <w:t>Specifikace požadavků Objednatele</w:t>
      </w:r>
    </w:p>
    <w:p w:rsidR="00B03CFB" w:rsidRDefault="00B03CFB" w:rsidP="00B03CFB">
      <w:pPr>
        <w:pStyle w:val="Odstavecseseznamem"/>
        <w:numPr>
          <w:ilvl w:val="0"/>
          <w:numId w:val="1"/>
        </w:numPr>
        <w:suppressAutoHyphens w:val="0"/>
        <w:spacing w:before="120" w:after="120" w:line="254" w:lineRule="auto"/>
        <w:ind w:left="714" w:hanging="357"/>
        <w:contextualSpacing/>
        <w:rPr>
          <w:b/>
          <w:bCs/>
        </w:rPr>
      </w:pPr>
      <w:r>
        <w:rPr>
          <w:b/>
          <w:bCs/>
        </w:rPr>
        <w:t>Dvoutyčový označník s elektro výbavou</w:t>
      </w:r>
    </w:p>
    <w:p w:rsidR="00B03CFB" w:rsidRDefault="00B03CFB" w:rsidP="00B03CFB">
      <w:pPr>
        <w:pStyle w:val="Odstavecseseznamem"/>
        <w:numPr>
          <w:ilvl w:val="0"/>
          <w:numId w:val="2"/>
        </w:numPr>
        <w:suppressAutoHyphens w:val="0"/>
        <w:spacing w:after="160" w:line="254" w:lineRule="auto"/>
        <w:contextualSpacing/>
      </w:pPr>
      <w:r>
        <w:t>Napájení označníku trvalé</w:t>
      </w:r>
    </w:p>
    <w:p w:rsidR="00B03CFB" w:rsidRDefault="00B03CFB" w:rsidP="00B03CFB">
      <w:pPr>
        <w:pStyle w:val="Odstavecseseznamem"/>
        <w:numPr>
          <w:ilvl w:val="0"/>
          <w:numId w:val="2"/>
        </w:numPr>
        <w:suppressAutoHyphens w:val="0"/>
        <w:spacing w:after="160" w:line="254" w:lineRule="auto"/>
        <w:contextualSpacing/>
      </w:pPr>
      <w:r>
        <w:t>Do paty označníku bude přiveden napájecí 230 V kabel</w:t>
      </w:r>
    </w:p>
    <w:p w:rsidR="00B03CFB" w:rsidRDefault="00B03CFB" w:rsidP="00B03CFB">
      <w:pPr>
        <w:pStyle w:val="Odstavecseseznamem"/>
        <w:numPr>
          <w:ilvl w:val="0"/>
          <w:numId w:val="2"/>
        </w:numPr>
        <w:suppressAutoHyphens w:val="0"/>
        <w:spacing w:after="160" w:line="254" w:lineRule="auto"/>
        <w:contextualSpacing/>
      </w:pPr>
      <w:r>
        <w:t>Osvětlení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</w:pPr>
      <w:r>
        <w:t>Podsvícení hlavy označníku LED páskem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</w:pPr>
      <w:r>
        <w:t>Osvícení vitrín pro jízdní řády LED pásky</w:t>
      </w:r>
    </w:p>
    <w:p w:rsidR="00B03CFB" w:rsidRDefault="00B03CFB" w:rsidP="00B03CFB">
      <w:pPr>
        <w:pStyle w:val="Odstavecseseznamem"/>
        <w:numPr>
          <w:ilvl w:val="2"/>
          <w:numId w:val="2"/>
        </w:numPr>
        <w:suppressAutoHyphens w:val="0"/>
        <w:spacing w:after="160" w:line="254" w:lineRule="auto"/>
        <w:contextualSpacing/>
      </w:pPr>
      <w:r>
        <w:t>LED pásky budou po obvodu dvířek vitrín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</w:pPr>
      <w:r>
        <w:t xml:space="preserve">Barva LED teplá bílá 3000 K </w:t>
      </w:r>
      <w:r>
        <w:rPr>
          <w:rFonts w:cstheme="minorHAnsi"/>
        </w:rPr>
        <w:t>±</w:t>
      </w:r>
      <w:r>
        <w:t xml:space="preserve"> 500 K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</w:pPr>
      <w:r>
        <w:t>Spínání LED na základě astronomických hodin nebo ekvivalentní metody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</w:pPr>
      <w:r>
        <w:t>Podsvícení hlavy musí být rovnoměrné po ploše krycího skla, jas je definován ČSN EN 12899-1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</w:pPr>
      <w:r>
        <w:t>Osvětlení vitrín musí být difuzní</w:t>
      </w:r>
    </w:p>
    <w:p w:rsidR="00B03CFB" w:rsidRDefault="00B03CFB" w:rsidP="00B03CFB">
      <w:pPr>
        <w:pStyle w:val="Odstavecseseznamem"/>
        <w:numPr>
          <w:ilvl w:val="0"/>
          <w:numId w:val="2"/>
        </w:numPr>
        <w:suppressAutoHyphens w:val="0"/>
        <w:spacing w:after="160" w:line="254" w:lineRule="auto"/>
        <w:contextualSpacing/>
      </w:pPr>
      <w:r>
        <w:t>Odjezdový LED panel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</w:pPr>
      <w:r>
        <w:t>Provoz 24 hodin / 7 dní v týdnu. 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</w:pPr>
      <w:r>
        <w:t>Zobrazovač bude umístěn v horní (pootočené) části označníku na jedné straně za krycím sklem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</w:pPr>
      <w:r>
        <w:t>Barva zobrazeného textu: bílá. Preferují se teplé bílé LED, přípustné je i použití RGB diod pro zobrazení bílé barvy.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</w:pPr>
      <w:r>
        <w:t>Regulace jasu LED podle okolního osvětlení.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</w:pPr>
      <w:r>
        <w:t>Horní úroveň plošného jasu nejméně 2500 cd/m</w:t>
      </w:r>
      <w:r>
        <w:rPr>
          <w:vertAlign w:val="superscript"/>
        </w:rPr>
        <w:t>2</w:t>
      </w:r>
      <w:r>
        <w:t>.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</w:pPr>
      <w:r>
        <w:t>Rozteč LED ≤ 2 mm.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</w:pPr>
      <w:r>
        <w:t>Šířka LED matice co nejširší, aby vyplnila dostupnou šířku označníku, minimálně však 380 mm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</w:pPr>
      <w:r>
        <w:t>Výška LED matice minimálně 200 mm, maximálně 400 mm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</w:pPr>
      <w:r>
        <w:t>Konektivita přes LTE nebo LTE/5G modem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</w:pPr>
      <w:r>
        <w:t xml:space="preserve">Zdroj dat </w:t>
      </w:r>
      <w:proofErr w:type="spellStart"/>
      <w:r>
        <w:t>Golemio</w:t>
      </w:r>
      <w:proofErr w:type="spellEnd"/>
      <w:r>
        <w:t xml:space="preserve"> API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</w:pPr>
      <w:r>
        <w:t>Zařízení bude poskytovat informace o svém stavu do dohledového centra objednatele v periodě nejvýše jedné minuty.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  <w:rPr>
          <w:rFonts w:asciiTheme="minorHAnsi" w:hAnsiTheme="minorHAnsi" w:cstheme="minorBidi"/>
        </w:rPr>
      </w:pPr>
      <w:r>
        <w:t>Stavová zpráva musí obsahovat:</w:t>
      </w:r>
    </w:p>
    <w:p w:rsidR="00B03CFB" w:rsidRDefault="00B03CFB" w:rsidP="00B03CFB">
      <w:pPr>
        <w:pStyle w:val="Odstavecseseznamem"/>
        <w:numPr>
          <w:ilvl w:val="2"/>
          <w:numId w:val="2"/>
        </w:numPr>
        <w:suppressAutoHyphens w:val="0"/>
        <w:spacing w:after="160" w:line="254" w:lineRule="auto"/>
        <w:contextualSpacing/>
      </w:pPr>
      <w:r>
        <w:t>Jednoznačný identifikátor zařízení (UID, MAC, apod.) </w:t>
      </w:r>
    </w:p>
    <w:p w:rsidR="00B03CFB" w:rsidRDefault="00B03CFB" w:rsidP="00B03CFB">
      <w:pPr>
        <w:pStyle w:val="Odstavecseseznamem"/>
        <w:numPr>
          <w:ilvl w:val="2"/>
          <w:numId w:val="2"/>
        </w:numPr>
        <w:suppressAutoHyphens w:val="0"/>
        <w:spacing w:after="160" w:line="254" w:lineRule="auto"/>
        <w:contextualSpacing/>
      </w:pPr>
      <w:r>
        <w:t>Čas poslední přijaté datové zprávy </w:t>
      </w:r>
    </w:p>
    <w:p w:rsidR="00B03CFB" w:rsidRDefault="00B03CFB" w:rsidP="00B03CFB">
      <w:pPr>
        <w:pStyle w:val="Odstavecseseznamem"/>
        <w:numPr>
          <w:ilvl w:val="2"/>
          <w:numId w:val="2"/>
        </w:numPr>
        <w:suppressAutoHyphens w:val="0"/>
        <w:spacing w:after="160" w:line="254" w:lineRule="auto"/>
        <w:contextualSpacing/>
      </w:pPr>
      <w:r>
        <w:t>Zobrazovaný obsah (bitmapa) </w:t>
      </w:r>
    </w:p>
    <w:p w:rsidR="00B03CFB" w:rsidRDefault="00B03CFB" w:rsidP="00B03CFB">
      <w:pPr>
        <w:pStyle w:val="Odstavecseseznamem"/>
        <w:numPr>
          <w:ilvl w:val="2"/>
          <w:numId w:val="2"/>
        </w:numPr>
        <w:suppressAutoHyphens w:val="0"/>
        <w:spacing w:after="160" w:line="254" w:lineRule="auto"/>
        <w:contextualSpacing/>
      </w:pPr>
      <w:r>
        <w:t>Detekované chyby komunikace, chybové stavy HTTP, selhání hardware </w:t>
      </w:r>
    </w:p>
    <w:p w:rsidR="00B03CFB" w:rsidRDefault="00B03CFB" w:rsidP="00B03CFB">
      <w:pPr>
        <w:pStyle w:val="Odstavecseseznamem"/>
        <w:numPr>
          <w:ilvl w:val="2"/>
          <w:numId w:val="2"/>
        </w:numPr>
        <w:suppressAutoHyphens w:val="0"/>
        <w:spacing w:after="160" w:line="254" w:lineRule="auto"/>
        <w:contextualSpacing/>
      </w:pPr>
      <w:r>
        <w:t>Počet aktivací čtečky pro nevidomé od poslední stavové zprávy 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</w:pPr>
      <w:r>
        <w:t>Aplikační rozhraní pro komunikaci s informačními panely předpokládá využití protokolů JSON/REST/HTTPS s kompresí. 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</w:pPr>
      <w:r>
        <w:t>Použitý formát nebude zatížen licenčními omezeními. 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</w:pPr>
      <w:r>
        <w:t>Zařízení bude vybavené povelovým přijímačem pro nevidomé v pásmu 86,790 MHz. Ovládání musí splňovat požadavky § 9 odst. 1 vyhlášky č. 398/2009 Sb., s důrazem na dostatečnou aktivační vzdálenost (15 m). Zařízení bude provozováno v souladu se všeobecným oprávněním ČTÚ č. VO-R/10/01.2019-1. 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</w:pPr>
      <w:r>
        <w:t>Vybavení čtecím zařízením (převod textu na řeč). Čtení bude vyvoláno na základě povelu vysílačky nevidomého. 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</w:pPr>
      <w:r>
        <w:lastRenderedPageBreak/>
        <w:t>Výkon reproduktoru co nejsilnější (min. 15 W), hlasitost musí být automaticky regulovatelná podle hluku okolního prostředí a maximální hlasitost snížena v období nočního klidu.</w:t>
      </w:r>
    </w:p>
    <w:p w:rsidR="00B03CFB" w:rsidRDefault="00B03CFB" w:rsidP="00B03CFB">
      <w:pPr>
        <w:pStyle w:val="Odstavecseseznamem"/>
        <w:numPr>
          <w:ilvl w:val="1"/>
          <w:numId w:val="2"/>
        </w:numPr>
        <w:suppressAutoHyphens w:val="0"/>
        <w:spacing w:after="160" w:line="254" w:lineRule="auto"/>
        <w:contextualSpacing/>
      </w:pPr>
      <w:r>
        <w:t>Chování čtečky (logika ovládání a posloupnost čtení texu) dle požadavků SONS: https://www.sons.cz/Informacni-system-pro-nevidome-infotabule-a-ovladani-P4002833.html</w:t>
      </w:r>
    </w:p>
    <w:p w:rsidR="00B03CFB" w:rsidRDefault="00B03CFB" w:rsidP="00B03CFB">
      <w:pPr>
        <w:pStyle w:val="Odstavecseseznamem"/>
        <w:numPr>
          <w:ilvl w:val="0"/>
          <w:numId w:val="1"/>
        </w:numPr>
        <w:suppressAutoHyphens w:val="0"/>
        <w:spacing w:after="160" w:line="254" w:lineRule="auto"/>
        <w:contextualSpacing/>
        <w:rPr>
          <w:b/>
          <w:bCs/>
        </w:rPr>
      </w:pPr>
      <w:r>
        <w:rPr>
          <w:b/>
          <w:bCs/>
        </w:rPr>
        <w:t>Jednotyčový označník</w:t>
      </w:r>
    </w:p>
    <w:p w:rsidR="00B03CFB" w:rsidRDefault="00B03CFB" w:rsidP="00B03CFB">
      <w:pPr>
        <w:pStyle w:val="Odstavecseseznamem"/>
        <w:numPr>
          <w:ilvl w:val="0"/>
          <w:numId w:val="3"/>
        </w:numPr>
        <w:suppressAutoHyphens w:val="0"/>
        <w:spacing w:after="160" w:line="254" w:lineRule="auto"/>
        <w:contextualSpacing/>
        <w:rPr>
          <w:rFonts w:cstheme="minorHAnsi"/>
        </w:rPr>
      </w:pPr>
      <w:r>
        <w:rPr>
          <w:rFonts w:cstheme="minorHAnsi"/>
        </w:rPr>
        <w:t>Jednotyčový bez elektro výbavy, součástí je A2 vitrína. Klasická varianta přímo dle technické dokumentace</w:t>
      </w:r>
    </w:p>
    <w:p w:rsidR="00B03CFB" w:rsidRDefault="00B03CFB" w:rsidP="00B03CFB">
      <w:pPr>
        <w:pStyle w:val="Odstavecseseznamem"/>
        <w:numPr>
          <w:ilvl w:val="0"/>
          <w:numId w:val="1"/>
        </w:numPr>
        <w:suppressAutoHyphens w:val="0"/>
        <w:spacing w:before="120" w:after="120" w:line="254" w:lineRule="auto"/>
        <w:ind w:left="714" w:hanging="357"/>
        <w:contextualSpacing/>
        <w:rPr>
          <w:b/>
          <w:bCs/>
        </w:rPr>
      </w:pPr>
      <w:r>
        <w:rPr>
          <w:b/>
          <w:bCs/>
        </w:rPr>
        <w:t>Přenosný označník</w:t>
      </w:r>
    </w:p>
    <w:p w:rsidR="00B03CFB" w:rsidRDefault="00B03CFB" w:rsidP="00B03CFB">
      <w:pPr>
        <w:pStyle w:val="Odstavecseseznamem"/>
        <w:numPr>
          <w:ilvl w:val="0"/>
          <w:numId w:val="4"/>
        </w:numPr>
        <w:suppressAutoHyphens w:val="0"/>
        <w:spacing w:after="160" w:line="254" w:lineRule="auto"/>
        <w:contextualSpacing/>
        <w:rPr>
          <w:rFonts w:cstheme="minorHAnsi"/>
        </w:rPr>
      </w:pPr>
      <w:r>
        <w:rPr>
          <w:rFonts w:cstheme="minorHAnsi"/>
        </w:rPr>
        <w:t>Bez elektro výbavy; přímo dle technické dokumentace.</w:t>
      </w:r>
    </w:p>
    <w:p w:rsidR="00B1235B" w:rsidRDefault="00B03CFB">
      <w:bookmarkStart w:id="0" w:name="_GoBack"/>
      <w:bookmarkEnd w:id="0"/>
    </w:p>
    <w:sectPr w:rsidR="00B1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0459"/>
    <w:multiLevelType w:val="hybridMultilevel"/>
    <w:tmpl w:val="9B78E0D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A606F0"/>
    <w:multiLevelType w:val="hybridMultilevel"/>
    <w:tmpl w:val="3820AF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27BA9"/>
    <w:multiLevelType w:val="hybridMultilevel"/>
    <w:tmpl w:val="6212A9E4"/>
    <w:lvl w:ilvl="0" w:tplc="795E86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FC0F4B"/>
    <w:multiLevelType w:val="hybridMultilevel"/>
    <w:tmpl w:val="9B78E0D8"/>
    <w:lvl w:ilvl="0" w:tplc="3C7E36A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FB"/>
    <w:rsid w:val="0023053A"/>
    <w:rsid w:val="00950CB7"/>
    <w:rsid w:val="00B0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DC761-965F-4071-B502-763329B6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C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B03CF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03CFB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ROPID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Michaela</dc:creator>
  <cp:keywords/>
  <dc:description/>
  <cp:lastModifiedBy>Černá Michaela</cp:lastModifiedBy>
  <cp:revision>1</cp:revision>
  <dcterms:created xsi:type="dcterms:W3CDTF">2024-01-12T10:41:00Z</dcterms:created>
  <dcterms:modified xsi:type="dcterms:W3CDTF">2024-01-12T10:42:00Z</dcterms:modified>
</cp:coreProperties>
</file>