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Kalkulace nákladů a výnosů - terminály</w:t>
      </w:r>
    </w:p>
    <w:tbl>
      <w:tblPr>
        <w:tblOverlap w:val="never"/>
        <w:jc w:val="center"/>
        <w:tblLayout w:type="fixed"/>
      </w:tblPr>
      <w:tblGrid>
        <w:gridCol w:w="648"/>
        <w:gridCol w:w="4151"/>
        <w:gridCol w:w="1652"/>
      </w:tblGrid>
      <w:tr>
        <w:trPr>
          <w:trHeight w:val="3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98979E"/>
            <w:textDirection w:val="btLr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4"/>
                <w:szCs w:val="44"/>
              </w:rPr>
            </w:pPr>
            <w:r>
              <w:rPr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cs-CZ" w:eastAsia="cs-CZ" w:bidi="cs-CZ"/>
              </w:rPr>
              <w:t>Náklady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 a energie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 (Dopravní podnik)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80 000 Kč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Energie - elektřina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100 000 Kč</w:t>
            </w:r>
          </w:p>
        </w:tc>
      </w:tr>
      <w:tr>
        <w:trPr>
          <w:trHeight w:val="295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Energie - voda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 Kč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Stočné srážková voda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240 000 Kč</w:t>
            </w:r>
          </w:p>
        </w:tc>
      </w:tr>
      <w:tr>
        <w:trPr>
          <w:trHeight w:val="88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637" w:val="left"/>
              </w:tabs>
              <w:bidi w:val="0"/>
              <w:spacing w:before="0" w:after="30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 a energie celkem</w:t>
              <w:tab/>
              <w:t>440 000 Kč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Služby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Údržba a úklid (DPmP)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údržba vodního prvku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85 000 Kč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údržba (ostatní)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160 000 Kč</w:t>
            </w:r>
          </w:p>
        </w:tc>
      </w:tr>
      <w:tr>
        <w:trPr>
          <w:trHeight w:val="295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- sociální zařízení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96 000 Kč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- přístřešky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74 300 Kč</w:t>
            </w:r>
          </w:p>
        </w:tc>
      </w:tr>
      <w:tr>
        <w:trPr>
          <w:trHeight w:val="295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Údržba a úklid (SmP)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údržba zeleně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120 000 Kč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(zimní + letní)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700 000 Kč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vysypávání odpadkových košů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170 000 Kč</w:t>
            </w:r>
          </w:p>
        </w:tc>
      </w:tr>
      <w:tr>
        <w:trPr>
          <w:trHeight w:val="889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493" w:val="left"/>
              </w:tabs>
              <w:bidi w:val="0"/>
              <w:spacing w:before="0" w:after="30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Služby celkem</w:t>
              <w:tab/>
              <w:t>1 405 300 Kč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Mzdy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Mzdy správa a řízení provozu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dispečink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411 000 Kč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správa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300 000 Kč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Mzdy provoz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řízení a správa informačních tabulí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180 000 Kč</w:t>
            </w:r>
          </w:p>
        </w:tc>
      </w:tr>
      <w:tr>
        <w:trPr>
          <w:trHeight w:val="299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grafické oddělení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40 000 Kč</w:t>
            </w:r>
          </w:p>
        </w:tc>
      </w:tr>
      <w:tr>
        <w:trPr>
          <w:trHeight w:val="1465" w:hRule="exact"/>
        </w:trPr>
        <w:tc>
          <w:tcPr>
            <w:vMerge/>
            <w:tcBorders>
              <w:left w:val="single" w:sz="4"/>
            </w:tcBorders>
            <w:shd w:val="clear" w:color="auto" w:fill="98979E"/>
            <w:textDirection w:val="btLr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648" w:val="left"/>
              </w:tabs>
              <w:bidi w:val="0"/>
              <w:spacing w:before="0" w:after="30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mzdy</w:t>
              <w:tab/>
              <w:t>931000 Kč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76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režie</w:t>
              <w:tab/>
              <w:t>70 000 Kč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586" w:val="left"/>
              </w:tabs>
              <w:bidi w:val="0"/>
              <w:spacing w:before="0" w:after="16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Odpisy informačního systému</w:t>
              <w:tab/>
              <w:t>967 000 Kč</w:t>
            </w:r>
          </w:p>
        </w:tc>
      </w:tr>
      <w:tr>
        <w:trPr>
          <w:trHeight w:val="313" w:hRule="exact"/>
        </w:trPr>
        <w:tc>
          <w:tcPr>
            <w:tcBorders/>
            <w:shd w:val="clear" w:color="auto" w:fill="98979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98979E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4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náklady</w:t>
              <w:tab/>
              <w:t>3 813 300 Kč</w:t>
            </w: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637"/>
        <w:gridCol w:w="4158"/>
        <w:gridCol w:w="1642"/>
      </w:tblGrid>
      <w:tr>
        <w:trPr>
          <w:trHeight w:val="302" w:hRule="exact"/>
        </w:trPr>
        <w:tc>
          <w:tcPr>
            <w:tcBorders/>
            <w:shd w:val="clear" w:color="auto" w:fill="98979E"/>
            <w:vAlign w:val="top"/>
          </w:tcPr>
          <w:p>
            <w:pPr>
              <w:framePr w:w="6437" w:h="2066" w:vSpace="583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Tržby</w:t>
            </w:r>
          </w:p>
        </w:tc>
      </w:tr>
      <w:tr>
        <w:trPr>
          <w:trHeight w:val="292" w:hRule="exact"/>
        </w:trPr>
        <w:tc>
          <w:tcPr>
            <w:tcBorders>
              <w:left w:val="single" w:sz="4"/>
            </w:tcBorders>
            <w:shd w:val="clear" w:color="auto" w:fill="98979E"/>
            <w:vAlign w:val="top"/>
          </w:tcPr>
          <w:p>
            <w:pPr>
              <w:framePr w:w="6437" w:h="2066" w:vSpace="583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Vjezdy - terminál 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3 600 000 Kč</w:t>
            </w:r>
          </w:p>
        </w:tc>
      </w:tr>
      <w:tr>
        <w:trPr>
          <w:trHeight w:val="295" w:hRule="exact"/>
        </w:trPr>
        <w:tc>
          <w:tcPr>
            <w:vMerge w:val="restart"/>
            <w:tcBorders>
              <w:left w:val="single" w:sz="4"/>
            </w:tcBorders>
            <w:shd w:val="clear" w:color="auto" w:fill="98979E"/>
            <w:vAlign w:val="bottom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170" w:lineRule="auto"/>
              <w:ind w:left="0" w:right="140" w:firstLine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U) O 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Výlep jízdních řádů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 Kč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98979E"/>
            <w:vAlign w:val="bottom"/>
          </w:tcPr>
          <w:p>
            <w:pPr>
              <w:framePr w:w="6437" w:h="2066" w:vSpace="583" w:wrap="notBeside" w:vAnchor="text" w:hAnchor="text" w:x="8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Reklama CityLitght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 Kč</w:t>
            </w: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98979E"/>
            <w:vAlign w:val="top"/>
          </w:tcPr>
          <w:p>
            <w:pPr>
              <w:framePr w:w="6437" w:h="2066" w:vSpace="583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Tržby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3 620 000 Kč</w:t>
            </w:r>
          </w:p>
        </w:tc>
      </w:tr>
      <w:tr>
        <w:trPr>
          <w:trHeight w:val="29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98979E"/>
            <w:vAlign w:val="top"/>
          </w:tcPr>
          <w:p>
            <w:pPr>
              <w:framePr w:w="6437" w:h="2066" w:vSpace="583" w:wrap="notBeside" w:vAnchor="text" w:hAnchor="text" w:x="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98979E"/>
            <w:vAlign w:val="bottom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výnosy</w:t>
            </w:r>
          </w:p>
        </w:tc>
        <w:tc>
          <w:tcPr>
            <w:tcBorders>
              <w:bottom w:val="single" w:sz="4"/>
            </w:tcBorders>
            <w:shd w:val="clear" w:color="auto" w:fill="98979E"/>
            <w:vAlign w:val="bottom"/>
          </w:tcPr>
          <w:p>
            <w:pPr>
              <w:pStyle w:val="Style6"/>
              <w:keepNext w:val="0"/>
              <w:keepLines w:val="0"/>
              <w:framePr w:w="6437" w:h="2066" w:vSpace="583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3 620 000 Kč</w:t>
            </w:r>
          </w:p>
        </w:tc>
      </w:tr>
    </w:tbl>
    <w:p>
      <w:pPr>
        <w:pStyle w:val="Style11"/>
        <w:keepNext w:val="0"/>
        <w:keepLines w:val="0"/>
        <w:framePr w:w="922" w:h="292" w:hSpace="7" w:wrap="notBeside" w:vAnchor="text" w:hAnchor="text" w:x="5433" w:y="2352"/>
        <w:widowControl w:val="0"/>
        <w:pBdr>
          <w:top w:val="single" w:sz="0" w:space="0" w:color="95949B"/>
          <w:left w:val="single" w:sz="0" w:space="1" w:color="95949B"/>
          <w:bottom w:val="single" w:sz="0" w:space="0" w:color="95949B"/>
          <w:right w:val="single" w:sz="0" w:space="1" w:color="95949B"/>
        </w:pBdr>
        <w:shd w:val="clear" w:color="auto" w:fill="95949B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19 067 Kč</w:t>
      </w:r>
    </w:p>
    <w:p>
      <w:pPr>
        <w:pStyle w:val="Style11"/>
        <w:keepNext w:val="0"/>
        <w:keepLines w:val="0"/>
        <w:framePr w:w="2988" w:h="292" w:hSpace="7" w:wrap="notBeside" w:vAnchor="text" w:hAnchor="text" w:x="26" w:y="2359"/>
        <w:widowControl w:val="0"/>
        <w:pBdr>
          <w:top w:val="single" w:sz="0" w:space="0" w:color="95949B"/>
          <w:left w:val="single" w:sz="0" w:space="1" w:color="95949B"/>
          <w:bottom w:val="single" w:sz="0" w:space="0" w:color="95949B"/>
          <w:right w:val="single" w:sz="0" w:space="1" w:color="95949B"/>
        </w:pBdr>
        <w:shd w:val="clear" w:color="auto" w:fill="95949B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Přiměřený zisk (0,5 % z nákladů)</w:t>
      </w:r>
    </w:p>
    <w:p>
      <w:pPr>
        <w:widowControl w:val="0"/>
        <w:spacing w:line="1" w:lineRule="exact"/>
      </w:pP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4031615</wp:posOffset>
                </wp:positionH>
                <wp:positionV relativeFrom="paragraph">
                  <wp:posOffset>12700</wp:posOffset>
                </wp:positionV>
                <wp:extent cx="658495" cy="18542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8495" cy="185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212 367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7.44999999999999pt;margin-top:1.pt;width:51.850000000000001pt;height:14.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212 367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Vyrovnávací platba</w:t>
      </w:r>
    </w:p>
    <w:sectPr>
      <w:footnotePr>
        <w:pos w:val="pageBottom"/>
        <w:numFmt w:val="decimal"/>
        <w:numRestart w:val="continuous"/>
      </w:footnotePr>
      <w:pgSz w:w="11900" w:h="16840"/>
      <w:pgMar w:top="1187" w:right="4421" w:bottom="1187" w:left="1028" w:header="759" w:footer="75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Jiné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after="140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8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Jiné"/>
    <w:basedOn w:val="Normal"/>
    <w:link w:val="CharStyle7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/>
  <cp:keywords/>
</cp:coreProperties>
</file>