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2F314" w14:textId="77777777" w:rsidR="00E4110A" w:rsidRDefault="005C507D" w:rsidP="005C507D">
      <w:pPr>
        <w:spacing w:after="120" w:line="240" w:lineRule="auto"/>
        <w:jc w:val="both"/>
        <w:rPr>
          <w:rFonts w:cs="Arial"/>
          <w:b/>
        </w:rPr>
      </w:pPr>
      <w:bookmarkStart w:id="0" w:name="_GoBack"/>
      <w:bookmarkEnd w:id="0"/>
      <w:r w:rsidRPr="005C507D">
        <w:rPr>
          <w:rFonts w:cs="Arial"/>
          <w:b/>
        </w:rPr>
        <w:t>Příloha právního aktu o pos</w:t>
      </w:r>
      <w:r w:rsidR="003962B8">
        <w:rPr>
          <w:rFonts w:cs="Arial"/>
          <w:b/>
        </w:rPr>
        <w:t>kytnutí/</w:t>
      </w:r>
      <w:r w:rsidR="00385994">
        <w:rPr>
          <w:rFonts w:cs="Arial"/>
          <w:b/>
        </w:rPr>
        <w:t>převodu podpory č. 1</w:t>
      </w:r>
    </w:p>
    <w:p w14:paraId="7A1E6415" w14:textId="42440521" w:rsidR="005C507D" w:rsidRPr="002D41EE" w:rsidRDefault="00E4110A" w:rsidP="005C507D">
      <w:pPr>
        <w:spacing w:after="120" w:line="240" w:lineRule="auto"/>
        <w:jc w:val="both"/>
        <w:rPr>
          <w:rFonts w:cs="Arial"/>
          <w:b/>
        </w:rPr>
      </w:pPr>
      <w:r>
        <w:rPr>
          <w:b/>
        </w:rPr>
        <w:t>S</w:t>
      </w:r>
      <w:r w:rsidR="002D41EE" w:rsidRPr="002D41EE">
        <w:rPr>
          <w:b/>
        </w:rPr>
        <w:t>nížené odvody za porušení rozpočtové kázně v důsledku nedodržení povinností při zadávání zakázek</w:t>
      </w:r>
    </w:p>
    <w:p w14:paraId="430AB432" w14:textId="77777777" w:rsidR="005C507D" w:rsidRPr="005C507D" w:rsidRDefault="005C507D" w:rsidP="005C507D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="Arial"/>
          <w:b/>
        </w:rPr>
      </w:pPr>
      <w:r w:rsidRPr="005C507D">
        <w:rPr>
          <w:rFonts w:cs="Arial"/>
          <w:b/>
        </w:rPr>
        <w:t>Obecná ustanovení</w:t>
      </w:r>
    </w:p>
    <w:p w14:paraId="0CAFB7D0" w14:textId="4B9006B4" w:rsidR="005C507D" w:rsidRPr="00BD38CD" w:rsidRDefault="00C82DEC" w:rsidP="00C82DEC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="Arial"/>
        </w:rPr>
      </w:pPr>
      <w:r w:rsidRPr="00F41BA9">
        <w:rPr>
          <w:rFonts w:cs="Arial"/>
        </w:rPr>
        <w:t xml:space="preserve">Podle této přílohy </w:t>
      </w:r>
      <w:r w:rsidR="008079E0">
        <w:rPr>
          <w:rFonts w:cs="Arial"/>
        </w:rPr>
        <w:t>se v souladu s § </w:t>
      </w:r>
      <w:r w:rsidRPr="00F41BA9">
        <w:rPr>
          <w:rFonts w:cs="Arial"/>
        </w:rPr>
        <w:t xml:space="preserve">14 odst. 6 rozpočtových pravidel </w:t>
      </w:r>
      <w:r w:rsidR="008079E0">
        <w:rPr>
          <w:rFonts w:cs="Arial"/>
        </w:rPr>
        <w:t>stanovuje</w:t>
      </w:r>
      <w:r w:rsidR="008079E0" w:rsidRPr="00F41BA9">
        <w:rPr>
          <w:rFonts w:cs="Arial"/>
        </w:rPr>
        <w:t xml:space="preserve"> výše odvodu za porušení</w:t>
      </w:r>
      <w:r w:rsidR="008079E0">
        <w:rPr>
          <w:rFonts w:cs="Arial"/>
        </w:rPr>
        <w:t xml:space="preserve"> rozpočtové kázně </w:t>
      </w:r>
      <w:r w:rsidR="005C507D" w:rsidRPr="00F41BA9">
        <w:rPr>
          <w:rFonts w:cs="Arial"/>
        </w:rPr>
        <w:t>v případě pochybení</w:t>
      </w:r>
      <w:r w:rsidR="00B96038">
        <w:rPr>
          <w:rFonts w:cs="Arial"/>
        </w:rPr>
        <w:t>, které </w:t>
      </w:r>
      <w:r w:rsidRPr="00F41BA9">
        <w:rPr>
          <w:rFonts w:cs="Arial"/>
        </w:rPr>
        <w:t>spočív</w:t>
      </w:r>
      <w:r w:rsidR="00B96038">
        <w:rPr>
          <w:rFonts w:cs="Arial"/>
        </w:rPr>
        <w:t>á</w:t>
      </w:r>
      <w:r w:rsidRPr="00F41BA9">
        <w:rPr>
          <w:rFonts w:cs="Arial"/>
        </w:rPr>
        <w:t xml:space="preserve"> v</w:t>
      </w:r>
      <w:r w:rsidR="005C507D" w:rsidRPr="00F41BA9">
        <w:rPr>
          <w:rFonts w:cs="Arial"/>
        </w:rPr>
        <w:t xml:space="preserve"> porušení povinností stanovených v</w:t>
      </w:r>
      <w:r w:rsidR="0008608E">
        <w:rPr>
          <w:rFonts w:cs="Arial"/>
        </w:rPr>
        <w:t> </w:t>
      </w:r>
      <w:r w:rsidR="00203D12" w:rsidRPr="00203D12">
        <w:rPr>
          <w:rFonts w:cs="Arial"/>
        </w:rPr>
        <w:t xml:space="preserve">části </w:t>
      </w:r>
      <w:r w:rsidR="00F76332">
        <w:rPr>
          <w:rFonts w:cs="Arial"/>
        </w:rPr>
        <w:t>II</w:t>
      </w:r>
      <w:r w:rsidR="00203D12" w:rsidRPr="00203D12">
        <w:rPr>
          <w:rFonts w:cs="Arial"/>
        </w:rPr>
        <w:t xml:space="preserve">, bodu </w:t>
      </w:r>
      <w:r w:rsidR="00F76332">
        <w:rPr>
          <w:rFonts w:cs="Arial"/>
        </w:rPr>
        <w:t>8</w:t>
      </w:r>
      <w:r w:rsidR="00203D12" w:rsidRPr="00203D12">
        <w:rPr>
          <w:rFonts w:cs="Arial"/>
        </w:rPr>
        <w:t xml:space="preserve"> </w:t>
      </w:r>
      <w:r w:rsidR="005C507D" w:rsidRPr="00F41BA9">
        <w:rPr>
          <w:rFonts w:cs="Arial"/>
        </w:rPr>
        <w:t xml:space="preserve">tohoto právního aktu o poskytnutí/převodu podpory při </w:t>
      </w:r>
      <w:r w:rsidR="005C507D" w:rsidRPr="00BD38CD">
        <w:rPr>
          <w:rFonts w:cs="Arial"/>
        </w:rPr>
        <w:t>zadávání zakázek, zejména v nedodržení postupu podle zákona č. 137/2006 Sb., o veřejných zakázkách, ve znění pozdějších před</w:t>
      </w:r>
      <w:r w:rsidR="008876FC" w:rsidRPr="00BD38CD">
        <w:rPr>
          <w:rFonts w:cs="Arial"/>
        </w:rPr>
        <w:t>pisů nebo zákona č. 134/2016, o </w:t>
      </w:r>
      <w:r w:rsidR="005C507D" w:rsidRPr="00BD38CD">
        <w:rPr>
          <w:rFonts w:cs="Arial"/>
        </w:rPr>
        <w:t xml:space="preserve">zadávání veřejných zakázek, ve znění pozdějších předpisů (dále souhrnně jen „zákon“) nebo nedodržení </w:t>
      </w:r>
      <w:r w:rsidR="00047DD3" w:rsidRPr="00BD38CD">
        <w:rPr>
          <w:rFonts w:cs="Arial"/>
        </w:rPr>
        <w:t xml:space="preserve">postupu podle </w:t>
      </w:r>
      <w:r w:rsidR="005C507D" w:rsidRPr="00BD38CD">
        <w:rPr>
          <w:rFonts w:cs="Arial"/>
        </w:rPr>
        <w:t>pravidel pr</w:t>
      </w:r>
      <w:r w:rsidR="008079E0" w:rsidRPr="00BD38CD">
        <w:rPr>
          <w:rFonts w:cs="Arial"/>
        </w:rPr>
        <w:t>o výběr dodavatelů upravených v </w:t>
      </w:r>
      <w:r w:rsidR="005C507D" w:rsidRPr="00BD38CD">
        <w:rPr>
          <w:rFonts w:cs="Arial"/>
        </w:rPr>
        <w:t>kapitole 12 Pravidel pro žadatele a příjemce (dále jen „P</w:t>
      </w:r>
      <w:r w:rsidR="00466080" w:rsidRPr="00BD38CD">
        <w:rPr>
          <w:rFonts w:cs="Arial"/>
        </w:rPr>
        <w:t>pŽP</w:t>
      </w:r>
      <w:r w:rsidR="005C507D" w:rsidRPr="00BD38CD">
        <w:rPr>
          <w:rFonts w:cs="Arial"/>
        </w:rPr>
        <w:t>“).</w:t>
      </w:r>
    </w:p>
    <w:p w14:paraId="308E588F" w14:textId="49DC261D" w:rsidR="00C82DEC" w:rsidRDefault="00C82DEC" w:rsidP="005C507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="Arial"/>
        </w:rPr>
      </w:pPr>
      <w:r w:rsidRPr="00F41BA9">
        <w:rPr>
          <w:rFonts w:cs="Arial"/>
        </w:rPr>
        <w:t xml:space="preserve">Výše </w:t>
      </w:r>
      <w:r w:rsidR="006A673E">
        <w:rPr>
          <w:rFonts w:cs="Arial"/>
        </w:rPr>
        <w:t xml:space="preserve">sníženého </w:t>
      </w:r>
      <w:r w:rsidRPr="00F41BA9">
        <w:rPr>
          <w:rFonts w:cs="Arial"/>
        </w:rPr>
        <w:t>odvodu bude stanovena dle níže uvedených pravidel</w:t>
      </w:r>
      <w:r w:rsidR="00D20F97">
        <w:rPr>
          <w:rFonts w:cs="Arial"/>
        </w:rPr>
        <w:t xml:space="preserve"> </w:t>
      </w:r>
      <w:r w:rsidR="00754B0D">
        <w:rPr>
          <w:rFonts w:cs="Arial"/>
        </w:rPr>
        <w:t>a sazeb</w:t>
      </w:r>
      <w:r w:rsidRPr="00F41BA9">
        <w:rPr>
          <w:rFonts w:cs="Arial"/>
        </w:rPr>
        <w:t>.</w:t>
      </w:r>
    </w:p>
    <w:p w14:paraId="333F60B3" w14:textId="78AF31CF" w:rsidR="00B96038" w:rsidRPr="00F41BA9" w:rsidRDefault="00594875" w:rsidP="00F97BC4">
      <w:pPr>
        <w:numPr>
          <w:ilvl w:val="0"/>
          <w:numId w:val="15"/>
        </w:numPr>
        <w:spacing w:after="120" w:line="240" w:lineRule="auto"/>
        <w:ind w:left="284" w:hanging="284"/>
        <w:jc w:val="both"/>
      </w:pPr>
      <w:r>
        <w:t>Sazba sníženého odvodu se stanovuje z částky posky</w:t>
      </w:r>
      <w:r w:rsidR="00C80CC3">
        <w:t>tnutých prostředků použitých na </w:t>
      </w:r>
      <w:r>
        <w:t xml:space="preserve">financování dané veřejné zakázky nebo částky nárokované k proplacení </w:t>
      </w:r>
      <w:r w:rsidR="00C80CC3">
        <w:t xml:space="preserve">v souvislosti s danou veřejnou zakázkou </w:t>
      </w:r>
      <w:r>
        <w:t>v případě ex-post financování.</w:t>
      </w:r>
      <w:r w:rsidR="00F97BC4" w:rsidRPr="00F41BA9">
        <w:t xml:space="preserve"> </w:t>
      </w:r>
    </w:p>
    <w:p w14:paraId="55E215D9" w14:textId="2263A135" w:rsidR="005C507D" w:rsidRDefault="005C507D" w:rsidP="005C507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="Arial"/>
        </w:rPr>
      </w:pPr>
      <w:r w:rsidRPr="005C507D">
        <w:rPr>
          <w:rFonts w:cs="Arial"/>
        </w:rPr>
        <w:t xml:space="preserve">V případě, že </w:t>
      </w:r>
      <w:r w:rsidR="00754B0D" w:rsidRPr="005C507D">
        <w:rPr>
          <w:rFonts w:cs="Arial"/>
        </w:rPr>
        <w:t xml:space="preserve">bude </w:t>
      </w:r>
      <w:r w:rsidRPr="005C507D">
        <w:rPr>
          <w:rFonts w:cs="Arial"/>
        </w:rPr>
        <w:t xml:space="preserve">u zakázky identifikováno více pochybení, výše </w:t>
      </w:r>
      <w:r w:rsidR="00594875">
        <w:rPr>
          <w:rFonts w:cs="Arial"/>
        </w:rPr>
        <w:t>snížených odvodů</w:t>
      </w:r>
      <w:r w:rsidRPr="005C507D">
        <w:rPr>
          <w:rFonts w:cs="Arial"/>
        </w:rPr>
        <w:t xml:space="preserve"> stanovených za jednotlivá pochybení se nesčítají a </w:t>
      </w:r>
      <w:r w:rsidR="00C82DEC" w:rsidRPr="00F41BA9">
        <w:rPr>
          <w:rFonts w:cs="Arial"/>
        </w:rPr>
        <w:t>výsledn</w:t>
      </w:r>
      <w:r w:rsidR="00594875">
        <w:rPr>
          <w:rFonts w:cs="Arial"/>
        </w:rPr>
        <w:t>ý</w:t>
      </w:r>
      <w:r w:rsidR="00C82DEC" w:rsidRPr="00F41BA9">
        <w:rPr>
          <w:rFonts w:cs="Arial"/>
        </w:rPr>
        <w:t xml:space="preserve"> </w:t>
      </w:r>
      <w:r w:rsidR="00D20F97">
        <w:rPr>
          <w:rFonts w:cs="Arial"/>
        </w:rPr>
        <w:t xml:space="preserve">snížený </w:t>
      </w:r>
      <w:r w:rsidR="00594875">
        <w:rPr>
          <w:rFonts w:cs="Arial"/>
        </w:rPr>
        <w:t>odvod</w:t>
      </w:r>
      <w:r w:rsidRPr="005C507D">
        <w:rPr>
          <w:rFonts w:cs="Arial"/>
        </w:rPr>
        <w:t xml:space="preserve"> je stanoven s ohledem na nejzávažnější pochybení.</w:t>
      </w:r>
    </w:p>
    <w:p w14:paraId="0A4E86D8" w14:textId="77777777" w:rsidR="00682EFF" w:rsidRDefault="005C507D" w:rsidP="00F97BC4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="Arial"/>
        </w:rPr>
      </w:pPr>
      <w:r w:rsidRPr="005C507D">
        <w:rPr>
          <w:rFonts w:cs="Arial"/>
        </w:rPr>
        <w:t xml:space="preserve">Závažnost pochybení je posuzována zejména z hlediska </w:t>
      </w:r>
      <w:r w:rsidR="008079E0">
        <w:rPr>
          <w:rFonts w:cs="Arial"/>
        </w:rPr>
        <w:t xml:space="preserve">jeho </w:t>
      </w:r>
      <w:r w:rsidRPr="005C507D">
        <w:rPr>
          <w:rFonts w:cs="Arial"/>
        </w:rPr>
        <w:t>skutečného nebo možného vlivu</w:t>
      </w:r>
      <w:r w:rsidR="00C82DEC" w:rsidRPr="00F41BA9">
        <w:rPr>
          <w:rFonts w:cs="Arial"/>
        </w:rPr>
        <w:t xml:space="preserve"> </w:t>
      </w:r>
      <w:r w:rsidR="00047DD3">
        <w:rPr>
          <w:rFonts w:cs="Arial"/>
        </w:rPr>
        <w:t xml:space="preserve">na </w:t>
      </w:r>
      <w:r w:rsidRPr="005C507D">
        <w:rPr>
          <w:rFonts w:cs="Arial"/>
        </w:rPr>
        <w:t xml:space="preserve">výsledek zadávacího nebo výběrového řízení, z hlediska míry </w:t>
      </w:r>
      <w:r w:rsidR="00C82DEC" w:rsidRPr="00F41BA9">
        <w:rPr>
          <w:rFonts w:cs="Arial"/>
        </w:rPr>
        <w:t>porušení</w:t>
      </w:r>
      <w:r w:rsidRPr="005C507D">
        <w:rPr>
          <w:rFonts w:cs="Arial"/>
        </w:rPr>
        <w:t xml:space="preserve"> základních zásad zadávání zakázek a z hlediska míry </w:t>
      </w:r>
      <w:r w:rsidR="00C82DEC" w:rsidRPr="00F41BA9">
        <w:rPr>
          <w:rFonts w:cs="Arial"/>
        </w:rPr>
        <w:t>porušení</w:t>
      </w:r>
      <w:r w:rsidRPr="005C507D">
        <w:rPr>
          <w:rFonts w:cs="Arial"/>
        </w:rPr>
        <w:t xml:space="preserve"> principů hospodárnosti, efektivity a účelnosti při vynakládání veřejných prostředků.</w:t>
      </w:r>
    </w:p>
    <w:p w14:paraId="3DB82BB2" w14:textId="323EA02F" w:rsidR="005C507D" w:rsidRPr="00682EFF" w:rsidRDefault="007232DC" w:rsidP="00682EFF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Je-li </w:t>
      </w:r>
      <w:r w:rsidR="00682EFF" w:rsidRPr="00682EFF">
        <w:rPr>
          <w:rFonts w:cs="Arial"/>
        </w:rPr>
        <w:t xml:space="preserve">možné vyčíslit přesný finanční dopad </w:t>
      </w:r>
      <w:r w:rsidR="00682EFF">
        <w:rPr>
          <w:rFonts w:cs="Arial"/>
        </w:rPr>
        <w:t>pochybení</w:t>
      </w:r>
      <w:r w:rsidR="00D20F97">
        <w:rPr>
          <w:rFonts w:cs="Arial"/>
        </w:rPr>
        <w:t>,</w:t>
      </w:r>
      <w:r w:rsidR="00682EFF" w:rsidRPr="00682EFF">
        <w:rPr>
          <w:rFonts w:cs="Arial"/>
        </w:rPr>
        <w:t xml:space="preserve"> </w:t>
      </w:r>
      <w:r w:rsidR="00D20F97">
        <w:rPr>
          <w:rFonts w:cs="Arial"/>
        </w:rPr>
        <w:t>výše sníženého</w:t>
      </w:r>
      <w:r w:rsidR="00D20F97" w:rsidRPr="00682EFF">
        <w:rPr>
          <w:rFonts w:cs="Arial"/>
        </w:rPr>
        <w:t xml:space="preserve"> odvod</w:t>
      </w:r>
      <w:r w:rsidR="00D20F97">
        <w:rPr>
          <w:rFonts w:cs="Arial"/>
        </w:rPr>
        <w:t>u se rovná výši vyčísleného finančního dopadu. V takovém případě se</w:t>
      </w:r>
      <w:r w:rsidR="00D20F97" w:rsidRPr="00682EFF">
        <w:rPr>
          <w:rFonts w:cs="Arial"/>
        </w:rPr>
        <w:t xml:space="preserve"> </w:t>
      </w:r>
      <w:r w:rsidR="00682EFF" w:rsidRPr="00682EFF">
        <w:rPr>
          <w:rFonts w:cs="Arial"/>
        </w:rPr>
        <w:t xml:space="preserve">ustanovení </w:t>
      </w:r>
      <w:r w:rsidR="00D20F97">
        <w:rPr>
          <w:rFonts w:cs="Arial"/>
        </w:rPr>
        <w:t xml:space="preserve">čl. II </w:t>
      </w:r>
      <w:r w:rsidR="00682EFF">
        <w:rPr>
          <w:rFonts w:cs="Arial"/>
        </w:rPr>
        <w:t>nepoužijí</w:t>
      </w:r>
      <w:r w:rsidR="00D20F97">
        <w:rPr>
          <w:rFonts w:cs="Arial"/>
        </w:rPr>
        <w:t>.</w:t>
      </w:r>
      <w:r w:rsidR="005C507D" w:rsidRPr="00682EFF">
        <w:rPr>
          <w:rFonts w:cs="Arial"/>
        </w:rPr>
        <w:br w:type="page"/>
      </w:r>
    </w:p>
    <w:p w14:paraId="5D7114CB" w14:textId="3383DA81" w:rsidR="005C507D" w:rsidRPr="005C507D" w:rsidRDefault="005C507D" w:rsidP="005C507D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="Arial"/>
          <w:b/>
        </w:rPr>
      </w:pPr>
      <w:r w:rsidRPr="005C507D">
        <w:rPr>
          <w:rFonts w:cs="Arial"/>
          <w:b/>
        </w:rPr>
        <w:lastRenderedPageBreak/>
        <w:t xml:space="preserve">Druhy pochybení a sazby </w:t>
      </w:r>
      <w:r w:rsidR="00D20F97">
        <w:rPr>
          <w:rFonts w:cs="Arial"/>
          <w:b/>
        </w:rPr>
        <w:t xml:space="preserve">snížených </w:t>
      </w:r>
      <w:r w:rsidR="000E6421">
        <w:rPr>
          <w:rFonts w:cs="Arial"/>
          <w:b/>
        </w:rPr>
        <w:t>odvodů za porušení rozpočtové kázně</w:t>
      </w:r>
    </w:p>
    <w:tbl>
      <w:tblPr>
        <w:tblStyle w:val="Mkatabulky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662"/>
        <w:gridCol w:w="2874"/>
        <w:gridCol w:w="2876"/>
        <w:gridCol w:w="2876"/>
      </w:tblGrid>
      <w:tr w:rsidR="009D5953" w:rsidRPr="00047DD3" w14:paraId="2440214C" w14:textId="77777777" w:rsidTr="009D5953">
        <w:trPr>
          <w:tblHeader/>
        </w:trPr>
        <w:tc>
          <w:tcPr>
            <w:tcW w:w="356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6379460" w14:textId="77777777" w:rsidR="005C507D" w:rsidRPr="00047DD3" w:rsidRDefault="005C507D" w:rsidP="009D59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47DD3">
              <w:rPr>
                <w:rFonts w:ascii="Arial" w:hAnsi="Arial" w:cs="Arial"/>
                <w:b/>
              </w:rPr>
              <w:t>Bod</w:t>
            </w: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D43FE8B" w14:textId="77777777" w:rsidR="005C507D" w:rsidRPr="00047DD3" w:rsidRDefault="005C507D" w:rsidP="009D59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47DD3">
              <w:rPr>
                <w:rFonts w:ascii="Arial" w:hAnsi="Arial" w:cs="Arial"/>
                <w:b/>
              </w:rPr>
              <w:t>Typ pochybení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2488E1E8" w14:textId="77777777" w:rsidR="005C507D" w:rsidRPr="00047DD3" w:rsidRDefault="005C507D" w:rsidP="009D595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47DD3">
              <w:rPr>
                <w:rFonts w:ascii="Arial" w:hAnsi="Arial" w:cs="Arial"/>
                <w:b/>
              </w:rPr>
              <w:t>Popis pochybení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324F38BB" w14:textId="28DD652F" w:rsidR="005C507D" w:rsidRPr="00047DD3" w:rsidRDefault="005C507D" w:rsidP="00D20F97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047DD3">
              <w:rPr>
                <w:rFonts w:ascii="Arial" w:hAnsi="Arial" w:cs="Arial"/>
                <w:b/>
              </w:rPr>
              <w:t>Sazba</w:t>
            </w:r>
            <w:r w:rsidR="00D20F97">
              <w:rPr>
                <w:rFonts w:ascii="Arial" w:hAnsi="Arial" w:cs="Arial"/>
                <w:b/>
              </w:rPr>
              <w:t xml:space="preserve"> sníženého odvodu</w:t>
            </w:r>
          </w:p>
        </w:tc>
      </w:tr>
      <w:tr w:rsidR="005C507D" w:rsidRPr="008079E0" w14:paraId="6C829760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B4A1F66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5A36E22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Nedodržení požadovaného způsobu zahájení řízení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9C505A4" w14:textId="7FBBF905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 zadal zakázku, aniž by zahájil zadávací řízení v souladu se zákonem nebo výběrové řízení v souladu s </w:t>
            </w:r>
            <w:r w:rsidR="00466080">
              <w:rPr>
                <w:rFonts w:ascii="Arial" w:hAnsi="Arial" w:cs="Arial"/>
              </w:rPr>
              <w:t>PPŽP</w:t>
            </w:r>
            <w:r w:rsidRPr="005C507D">
              <w:rPr>
                <w:rFonts w:ascii="Arial" w:hAnsi="Arial" w:cs="Arial"/>
              </w:rPr>
              <w:t>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6761EA6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100 %</w:t>
            </w:r>
          </w:p>
        </w:tc>
      </w:tr>
      <w:tr w:rsidR="00FD4B02" w:rsidRPr="008079E0" w14:paraId="6A9B1F68" w14:textId="77777777" w:rsidTr="00FD4B02">
        <w:trPr>
          <w:trHeight w:val="20"/>
        </w:trPr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8F62C3E" w14:textId="77777777" w:rsidR="00FD4B02" w:rsidRPr="005C507D" w:rsidRDefault="00FD4B02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70C35CB" w14:textId="77777777" w:rsidR="00FD4B02" w:rsidRPr="005C507D" w:rsidRDefault="00FD4B02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A787C78" w14:textId="77777777" w:rsidR="00FD4B02" w:rsidRPr="005C507D" w:rsidRDefault="00FD4B02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3B4BEBA0" w14:textId="6CB9F180" w:rsidR="00FD4B02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  <w:r w:rsidR="00FD4B02" w:rsidRPr="005C507D">
              <w:rPr>
                <w:rFonts w:ascii="Arial" w:hAnsi="Arial" w:cs="Arial"/>
              </w:rPr>
              <w:t xml:space="preserve">, pokud byla dodržena určitá míra uveřejnění, která umožnila </w:t>
            </w:r>
            <w:r w:rsidR="00FD4B02" w:rsidRPr="008079E0">
              <w:rPr>
                <w:rFonts w:ascii="Arial" w:hAnsi="Arial" w:cs="Arial"/>
              </w:rPr>
              <w:t>potenciálním</w:t>
            </w:r>
            <w:r w:rsidR="00FD4B02" w:rsidRPr="005C507D">
              <w:rPr>
                <w:rFonts w:ascii="Arial" w:hAnsi="Arial" w:cs="Arial"/>
              </w:rPr>
              <w:t xml:space="preserve"> dodavatelům přístup k zadávané zakázce</w:t>
            </w:r>
          </w:p>
        </w:tc>
      </w:tr>
      <w:tr w:rsidR="005C507D" w:rsidRPr="008079E0" w14:paraId="45B30DBA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008ECA0F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00EA47BE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Neoprávněné rozdělení předmětu zakázky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36CEF088" w14:textId="502EC70D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 rozdělil předmět zakázky tak, že tím došlo ke snížení předpokládané hodnoty pod finanční limity stanovené v zákoně nebo v </w:t>
            </w:r>
            <w:r w:rsidR="00466080">
              <w:rPr>
                <w:rFonts w:ascii="Arial" w:hAnsi="Arial" w:cs="Arial"/>
              </w:rPr>
              <w:t>PPŽP</w:t>
            </w:r>
            <w:r w:rsidRPr="005C507D">
              <w:rPr>
                <w:rFonts w:ascii="Arial" w:hAnsi="Arial" w:cs="Arial"/>
              </w:rPr>
              <w:t>.</w:t>
            </w:r>
          </w:p>
        </w:tc>
        <w:tc>
          <w:tcPr>
            <w:tcW w:w="1548" w:type="pc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3BEE72B3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100 %</w:t>
            </w:r>
          </w:p>
        </w:tc>
      </w:tr>
      <w:tr w:rsidR="00FD4B02" w:rsidRPr="008079E0" w14:paraId="52D48221" w14:textId="77777777" w:rsidTr="00FD4B02">
        <w:trPr>
          <w:trHeight w:val="20"/>
        </w:trPr>
        <w:tc>
          <w:tcPr>
            <w:tcW w:w="356" w:type="pct"/>
            <w:vMerge/>
            <w:tcMar>
              <w:top w:w="113" w:type="dxa"/>
              <w:bottom w:w="113" w:type="dxa"/>
            </w:tcMar>
          </w:tcPr>
          <w:p w14:paraId="0122641A" w14:textId="77777777" w:rsidR="00FD4B02" w:rsidRPr="005C507D" w:rsidRDefault="00FD4B02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Mar>
              <w:top w:w="113" w:type="dxa"/>
              <w:bottom w:w="113" w:type="dxa"/>
            </w:tcMar>
          </w:tcPr>
          <w:p w14:paraId="1F66F085" w14:textId="77777777" w:rsidR="00FD4B02" w:rsidRPr="005C507D" w:rsidRDefault="00FD4B02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Mar>
              <w:top w:w="113" w:type="dxa"/>
              <w:bottom w:w="113" w:type="dxa"/>
            </w:tcMar>
          </w:tcPr>
          <w:p w14:paraId="4B25E533" w14:textId="77777777" w:rsidR="00FD4B02" w:rsidRPr="005C507D" w:rsidRDefault="00FD4B02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Mar>
              <w:top w:w="113" w:type="dxa"/>
              <w:bottom w:w="113" w:type="dxa"/>
            </w:tcMar>
          </w:tcPr>
          <w:p w14:paraId="07D6B46E" w14:textId="2C47EBCD" w:rsidR="00FD4B02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  <w:r w:rsidR="00FD4B02" w:rsidRPr="005C507D">
              <w:rPr>
                <w:rFonts w:ascii="Arial" w:hAnsi="Arial" w:cs="Arial"/>
              </w:rPr>
              <w:t>, pokud byla dodržena určitá míra uveřejnění, která umožnila možným dodavatelům přístup k zadávané zakázce</w:t>
            </w:r>
          </w:p>
        </w:tc>
      </w:tr>
      <w:tr w:rsidR="005C507D" w:rsidRPr="008079E0" w14:paraId="5752D3B6" w14:textId="77777777" w:rsidTr="009D5953">
        <w:trPr>
          <w:trHeight w:val="759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21D7465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F071CA3" w14:textId="564F915A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Nedodržení minimální délky lhůty pro p</w:t>
            </w:r>
            <w:r w:rsidR="00F41BA9" w:rsidRPr="008079E0">
              <w:rPr>
                <w:rFonts w:ascii="Arial" w:hAnsi="Arial" w:cs="Arial"/>
              </w:rPr>
              <w:t>odání nabídek</w:t>
            </w:r>
            <w:r w:rsidR="008079E0">
              <w:rPr>
                <w:rFonts w:ascii="Arial" w:hAnsi="Arial" w:cs="Arial"/>
              </w:rPr>
              <w:t>, předběžných nabídek</w:t>
            </w:r>
            <w:r w:rsidR="00F41BA9" w:rsidRPr="008079E0">
              <w:rPr>
                <w:rFonts w:ascii="Arial" w:hAnsi="Arial" w:cs="Arial"/>
              </w:rPr>
              <w:t xml:space="preserve"> nebo žádostí o </w:t>
            </w:r>
            <w:r w:rsidRPr="005C507D">
              <w:rPr>
                <w:rFonts w:ascii="Arial" w:hAnsi="Arial" w:cs="Arial"/>
              </w:rPr>
              <w:t>účast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EE259CE" w14:textId="18D45C76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 stanovil lhůtu pro podání nabídek</w:t>
            </w:r>
            <w:r w:rsidR="008079E0">
              <w:rPr>
                <w:rFonts w:ascii="Arial" w:hAnsi="Arial" w:cs="Arial"/>
              </w:rPr>
              <w:t>, předběžných nabídek</w:t>
            </w:r>
            <w:r w:rsidRPr="005C507D">
              <w:rPr>
                <w:rFonts w:ascii="Arial" w:hAnsi="Arial" w:cs="Arial"/>
              </w:rPr>
              <w:t xml:space="preserve"> nebo žádostí o účast tak, že jejich délka nedosahovala minimálních lhůt stanovených v zákoně nebo v </w:t>
            </w:r>
            <w:r w:rsidR="00466080">
              <w:rPr>
                <w:rFonts w:ascii="Arial" w:hAnsi="Arial" w:cs="Arial"/>
              </w:rPr>
              <w:t>PPŽP</w:t>
            </w:r>
            <w:r w:rsidRPr="005C507D">
              <w:rPr>
                <w:rFonts w:ascii="Arial" w:hAnsi="Arial" w:cs="Arial"/>
              </w:rPr>
              <w:t>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C9BFD58" w14:textId="2039A225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  <w:r w:rsidR="005C507D" w:rsidRPr="005C507D">
              <w:rPr>
                <w:rFonts w:ascii="Arial" w:hAnsi="Arial" w:cs="Arial"/>
              </w:rPr>
              <w:t>, pokud je zkrácení vyšší nebo rovno 50 % délky minimální lhůty</w:t>
            </w:r>
          </w:p>
        </w:tc>
      </w:tr>
      <w:tr w:rsidR="005C507D" w:rsidRPr="008079E0" w14:paraId="59624C78" w14:textId="77777777" w:rsidTr="009D5953">
        <w:trPr>
          <w:trHeight w:val="757"/>
        </w:trPr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F90D68B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2835BC7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464AD7E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560B090" w14:textId="1F293A00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10 %, pokud je zkrácení vyšší nebo rovno 30 % délky minimální lhůty</w:t>
            </w:r>
          </w:p>
        </w:tc>
      </w:tr>
      <w:tr w:rsidR="00EA5546" w:rsidRPr="008079E0" w14:paraId="01CE1532" w14:textId="77777777" w:rsidTr="00EA5546">
        <w:trPr>
          <w:trHeight w:val="252"/>
        </w:trPr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B1C6E5D" w14:textId="77777777" w:rsidR="00EA5546" w:rsidRPr="005C507D" w:rsidRDefault="00EA5546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CC2A64C" w14:textId="77777777" w:rsidR="00EA5546" w:rsidRPr="005C507D" w:rsidRDefault="00EA5546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2729A82" w14:textId="77777777" w:rsidR="00EA5546" w:rsidRPr="005C507D" w:rsidRDefault="00EA5546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119E5275" w14:textId="1E2F6C68" w:rsidR="00EA5546" w:rsidRPr="005C507D" w:rsidRDefault="00EA5546" w:rsidP="00507DD0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% </w:t>
            </w:r>
            <w:r w:rsidR="00507DD0">
              <w:rPr>
                <w:rFonts w:ascii="Arial" w:hAnsi="Arial" w:cs="Arial"/>
              </w:rPr>
              <w:t>až 5 % dle závažnosti pochybení v případě jiného zkrácení</w:t>
            </w:r>
          </w:p>
        </w:tc>
      </w:tr>
      <w:tr w:rsidR="005C507D" w:rsidRPr="008079E0" w14:paraId="388C2860" w14:textId="77777777" w:rsidTr="00047DD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6B2D1B5C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3C7F85AB" w14:textId="119A06CD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Neuveřejnění prodloužení lhůty pro podání nabídek</w:t>
            </w:r>
            <w:r w:rsidR="008079E0">
              <w:rPr>
                <w:rFonts w:ascii="Arial" w:hAnsi="Arial" w:cs="Arial"/>
              </w:rPr>
              <w:t>, předběžných nabídek</w:t>
            </w:r>
            <w:r w:rsidRPr="005C507D">
              <w:rPr>
                <w:rFonts w:ascii="Arial" w:hAnsi="Arial" w:cs="Arial"/>
              </w:rPr>
              <w:t xml:space="preserve"> nebo žádostí o účast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0D809BE8" w14:textId="63A82882" w:rsidR="00EA5546" w:rsidRPr="005C507D" w:rsidRDefault="005C507D" w:rsidP="008079E0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</w:t>
            </w:r>
            <w:r w:rsidR="008079E0">
              <w:rPr>
                <w:rFonts w:ascii="Arial" w:hAnsi="Arial" w:cs="Arial"/>
              </w:rPr>
              <w:t xml:space="preserve"> v průběhu zadávacího nebo výběrového řízení </w:t>
            </w:r>
            <w:r w:rsidRPr="005C507D">
              <w:rPr>
                <w:rFonts w:ascii="Arial" w:hAnsi="Arial" w:cs="Arial"/>
              </w:rPr>
              <w:t>prodloužil lhůtu pro podání nabídek nebo žádostí o</w:t>
            </w:r>
            <w:r w:rsidR="008079E0">
              <w:rPr>
                <w:rFonts w:ascii="Arial" w:hAnsi="Arial" w:cs="Arial"/>
              </w:rPr>
              <w:t> </w:t>
            </w:r>
            <w:r w:rsidRPr="005C507D">
              <w:rPr>
                <w:rFonts w:ascii="Arial" w:hAnsi="Arial" w:cs="Arial"/>
              </w:rPr>
              <w:t>účast, aniž by tuto skutečnost uveřejnil způsobem stanoveným v</w:t>
            </w:r>
            <w:r w:rsidR="008079E0">
              <w:rPr>
                <w:rFonts w:ascii="Arial" w:hAnsi="Arial" w:cs="Arial"/>
              </w:rPr>
              <w:t> </w:t>
            </w:r>
            <w:r w:rsidR="00047DD3">
              <w:rPr>
                <w:rFonts w:ascii="Arial" w:hAnsi="Arial" w:cs="Arial"/>
              </w:rPr>
              <w:t xml:space="preserve">zákoně nebo </w:t>
            </w:r>
            <w:r w:rsidR="00466080">
              <w:rPr>
                <w:rFonts w:ascii="Arial" w:hAnsi="Arial" w:cs="Arial"/>
              </w:rPr>
              <w:t>PPŽP</w:t>
            </w:r>
            <w:r w:rsidR="00047DD3">
              <w:rPr>
                <w:rFonts w:ascii="Arial" w:hAnsi="Arial" w:cs="Arial"/>
              </w:rPr>
              <w:t>, resp. </w:t>
            </w:r>
            <w:r w:rsidRPr="005C507D">
              <w:rPr>
                <w:rFonts w:ascii="Arial" w:hAnsi="Arial" w:cs="Arial"/>
              </w:rPr>
              <w:t>způsobem, jakým bylo zahájeno zadávací nebo výběrové řízení.</w:t>
            </w:r>
          </w:p>
        </w:tc>
        <w:tc>
          <w:tcPr>
            <w:tcW w:w="1548" w:type="pc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19E9C736" w14:textId="72199BE9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10 %</w:t>
            </w:r>
          </w:p>
        </w:tc>
      </w:tr>
      <w:tr w:rsidR="005C507D" w:rsidRPr="008079E0" w14:paraId="2354384A" w14:textId="77777777" w:rsidTr="009D5953">
        <w:trPr>
          <w:trHeight w:val="1140"/>
        </w:trPr>
        <w:tc>
          <w:tcPr>
            <w:tcW w:w="356" w:type="pct"/>
            <w:vMerge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73F5C8D5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37268B0A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CB0DB9E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7E62633" w14:textId="1C5E8B7B" w:rsidR="009D5953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  <w:tr w:rsidR="005C507D" w:rsidRPr="008079E0" w14:paraId="63980EFE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100267A" w14:textId="4944D36C" w:rsidR="005C507D" w:rsidRPr="005C507D" w:rsidRDefault="00EA5546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DD10DFB" w14:textId="7513901C" w:rsidR="005C507D" w:rsidRPr="005C507D" w:rsidRDefault="005C507D" w:rsidP="00896AD8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Nedostatečné vymezení </w:t>
            </w:r>
            <w:r w:rsidR="00896AD8" w:rsidRPr="008079E0">
              <w:rPr>
                <w:rFonts w:ascii="Arial" w:hAnsi="Arial" w:cs="Arial"/>
              </w:rPr>
              <w:lastRenderedPageBreak/>
              <w:t>požadavků na kvalifikaci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812332B" w14:textId="50E467C9" w:rsidR="005C507D" w:rsidRPr="005C507D" w:rsidRDefault="005C507D" w:rsidP="00DB7357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lastRenderedPageBreak/>
              <w:t xml:space="preserve">Zadavatel neuvedl </w:t>
            </w:r>
            <w:r w:rsidRPr="005C507D">
              <w:rPr>
                <w:rFonts w:ascii="Arial" w:hAnsi="Arial" w:cs="Arial"/>
              </w:rPr>
              <w:lastRenderedPageBreak/>
              <w:t xml:space="preserve">v oznámení o zahájení zadávacího nebo výběrového řízení požadavky na </w:t>
            </w:r>
            <w:r w:rsidR="00896AD8" w:rsidRPr="008079E0">
              <w:rPr>
                <w:rFonts w:ascii="Arial" w:hAnsi="Arial" w:cs="Arial"/>
              </w:rPr>
              <w:t>kvalifikaci</w:t>
            </w:r>
            <w:r w:rsidRPr="005C507D">
              <w:rPr>
                <w:rFonts w:ascii="Arial" w:hAnsi="Arial" w:cs="Arial"/>
              </w:rPr>
              <w:t xml:space="preserve">, případně tyto požadavky nevymezil </w:t>
            </w:r>
            <w:r w:rsidR="00DB7357">
              <w:rPr>
                <w:rFonts w:ascii="Arial" w:hAnsi="Arial" w:cs="Arial"/>
              </w:rPr>
              <w:t>dostatečně určitě</w:t>
            </w:r>
            <w:r w:rsidRPr="005C507D">
              <w:rPr>
                <w:rFonts w:ascii="Arial" w:hAnsi="Arial" w:cs="Arial"/>
              </w:rPr>
              <w:t>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D41E26B" w14:textId="630065F0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25 %</w:t>
            </w:r>
          </w:p>
        </w:tc>
      </w:tr>
      <w:tr w:rsidR="005C507D" w:rsidRPr="008079E0" w14:paraId="30760DE9" w14:textId="77777777" w:rsidTr="009D5953">
        <w:trPr>
          <w:trHeight w:val="1140"/>
        </w:trPr>
        <w:tc>
          <w:tcPr>
            <w:tcW w:w="356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B84044F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72A622F6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6A983685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6C706F98" w14:textId="4B907AF1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  <w:tr w:rsidR="005C507D" w:rsidRPr="008079E0" w14:paraId="1CCEF57D" w14:textId="77777777" w:rsidTr="009D5953">
        <w:trPr>
          <w:trHeight w:val="50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C006881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6B5F3ED" w14:textId="357ECCFD" w:rsidR="005C507D" w:rsidRPr="005C507D" w:rsidRDefault="005C507D" w:rsidP="00E152DC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Nedostatečné vymezení </w:t>
            </w:r>
            <w:r w:rsidR="00E152DC" w:rsidRPr="008079E0">
              <w:rPr>
                <w:rFonts w:ascii="Arial" w:hAnsi="Arial" w:cs="Arial"/>
              </w:rPr>
              <w:t>pravidel pro hodnocení nabídek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D5BCDD9" w14:textId="36B1750E" w:rsidR="005C507D" w:rsidRPr="005C507D" w:rsidRDefault="005C507D" w:rsidP="00DB7357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 neuvedl v oznámení o zahájení zadávacího nebo výběrového říze</w:t>
            </w:r>
            <w:r w:rsidR="00E152DC" w:rsidRPr="008079E0">
              <w:rPr>
                <w:rFonts w:ascii="Arial" w:hAnsi="Arial" w:cs="Arial"/>
              </w:rPr>
              <w:t>ní nebo v zadávací dokumentaci pravidla pro hodnocení nabídek</w:t>
            </w:r>
            <w:r w:rsidRPr="005C507D">
              <w:rPr>
                <w:rFonts w:ascii="Arial" w:hAnsi="Arial" w:cs="Arial"/>
              </w:rPr>
              <w:t xml:space="preserve">, případně </w:t>
            </w:r>
            <w:r w:rsidR="008079E0">
              <w:rPr>
                <w:rFonts w:ascii="Arial" w:hAnsi="Arial" w:cs="Arial"/>
              </w:rPr>
              <w:t>pravidla pro hodnocení</w:t>
            </w:r>
            <w:r w:rsidR="00047DD3">
              <w:rPr>
                <w:rFonts w:ascii="Arial" w:hAnsi="Arial" w:cs="Arial"/>
              </w:rPr>
              <w:t xml:space="preserve"> nabídek nevymezil </w:t>
            </w:r>
            <w:r w:rsidR="00DB7357">
              <w:rPr>
                <w:rFonts w:ascii="Arial" w:hAnsi="Arial" w:cs="Arial"/>
              </w:rPr>
              <w:t>dostatečně určitě</w:t>
            </w:r>
            <w:r w:rsidRPr="005C507D">
              <w:rPr>
                <w:rFonts w:ascii="Arial" w:hAnsi="Arial" w:cs="Arial"/>
              </w:rPr>
              <w:t>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5F4D654" w14:textId="20D77CDB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</w:tr>
      <w:tr w:rsidR="005C507D" w:rsidRPr="008079E0" w14:paraId="24DE5544" w14:textId="77777777" w:rsidTr="009D5953">
        <w:trPr>
          <w:trHeight w:val="1267"/>
        </w:trPr>
        <w:tc>
          <w:tcPr>
            <w:tcW w:w="356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4AAC6CE3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3DA2E4F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742F717A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B213AEC" w14:textId="433FA7F3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  <w:tr w:rsidR="005C507D" w:rsidRPr="008079E0" w14:paraId="322097B7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079C9E7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B435F3C" w14:textId="0165AB0C" w:rsidR="005C507D" w:rsidRPr="005C507D" w:rsidRDefault="005C507D" w:rsidP="00896AD8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Stanovení </w:t>
            </w:r>
            <w:r w:rsidR="00047DD3">
              <w:rPr>
                <w:rFonts w:ascii="Arial" w:hAnsi="Arial" w:cs="Arial"/>
              </w:rPr>
              <w:t>požadavků na </w:t>
            </w:r>
            <w:r w:rsidR="00896AD8" w:rsidRPr="008079E0">
              <w:rPr>
                <w:rFonts w:ascii="Arial" w:hAnsi="Arial" w:cs="Arial"/>
              </w:rPr>
              <w:t>kvalifikaci</w:t>
            </w:r>
            <w:r w:rsidRPr="005C507D">
              <w:rPr>
                <w:rFonts w:ascii="Arial" w:hAnsi="Arial" w:cs="Arial"/>
              </w:rPr>
              <w:t xml:space="preserve"> v rozporu se zákonem nebo </w:t>
            </w:r>
            <w:r w:rsidR="00466080">
              <w:rPr>
                <w:rFonts w:ascii="Arial" w:hAnsi="Arial" w:cs="Arial"/>
              </w:rPr>
              <w:t>PPŽP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2A9631B" w14:textId="590D88AB" w:rsidR="005C507D" w:rsidRPr="005C507D" w:rsidRDefault="005C507D" w:rsidP="00DB7357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Zadavatel stanovil diskriminační nebo jiné protiprávní požadavky na </w:t>
            </w:r>
            <w:r w:rsidR="00896AD8" w:rsidRPr="008079E0">
              <w:rPr>
                <w:rFonts w:ascii="Arial" w:hAnsi="Arial" w:cs="Arial"/>
              </w:rPr>
              <w:t>kvalifikaci</w:t>
            </w:r>
            <w:r w:rsidRPr="005C507D">
              <w:rPr>
                <w:rFonts w:ascii="Arial" w:hAnsi="Arial" w:cs="Arial"/>
              </w:rPr>
              <w:t>, včetně případů, kdy tyto požadavky bezprostředně nesouvis</w:t>
            </w:r>
            <w:r w:rsidR="00DB7357">
              <w:rPr>
                <w:rFonts w:ascii="Arial" w:hAnsi="Arial" w:cs="Arial"/>
              </w:rPr>
              <w:t>ely</w:t>
            </w:r>
            <w:r w:rsidRPr="005C507D">
              <w:rPr>
                <w:rFonts w:ascii="Arial" w:hAnsi="Arial" w:cs="Arial"/>
              </w:rPr>
              <w:t xml:space="preserve"> s předmětem zakázky.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74BCDBC" w14:textId="23FD0ACF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</w:tr>
      <w:tr w:rsidR="005C507D" w:rsidRPr="008079E0" w14:paraId="19351280" w14:textId="77777777" w:rsidTr="009D5953">
        <w:trPr>
          <w:trHeight w:val="1140"/>
        </w:trPr>
        <w:tc>
          <w:tcPr>
            <w:tcW w:w="356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2769090B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38CC25E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4A093BAE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2015C0C" w14:textId="3293152C" w:rsidR="005C507D" w:rsidRPr="005C507D" w:rsidRDefault="005C507D" w:rsidP="00896AD8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  <w:tr w:rsidR="005C507D" w:rsidRPr="008079E0" w14:paraId="201E4DD9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4137FAF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B16257B" w14:textId="52BF3087" w:rsidR="005C507D" w:rsidRPr="005C507D" w:rsidRDefault="005C507D" w:rsidP="00E152DC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Stanovení </w:t>
            </w:r>
            <w:r w:rsidR="00E152DC" w:rsidRPr="008079E0">
              <w:rPr>
                <w:rFonts w:ascii="Arial" w:hAnsi="Arial" w:cs="Arial"/>
              </w:rPr>
              <w:t xml:space="preserve">pravidel pro hodnocení nabídek </w:t>
            </w:r>
            <w:r w:rsidRPr="005C507D">
              <w:rPr>
                <w:rFonts w:ascii="Arial" w:hAnsi="Arial" w:cs="Arial"/>
              </w:rPr>
              <w:t xml:space="preserve">v rozporu se zákonem nebo </w:t>
            </w:r>
            <w:r w:rsidR="00466080">
              <w:rPr>
                <w:rFonts w:ascii="Arial" w:hAnsi="Arial" w:cs="Arial"/>
              </w:rPr>
              <w:t>PPŽP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BA8AF68" w14:textId="56C219E7" w:rsidR="005C507D" w:rsidRPr="005C507D" w:rsidRDefault="005C507D" w:rsidP="00E152DC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Zadavatel stanovil diskriminační nebo jiná protiprávní </w:t>
            </w:r>
            <w:r w:rsidR="00E152DC" w:rsidRPr="008079E0">
              <w:rPr>
                <w:rFonts w:ascii="Arial" w:hAnsi="Arial" w:cs="Arial"/>
              </w:rPr>
              <w:t>pravidla pro hodnocení nabídek</w:t>
            </w:r>
            <w:r w:rsidRPr="005C507D">
              <w:rPr>
                <w:rFonts w:ascii="Arial" w:hAnsi="Arial" w:cs="Arial"/>
              </w:rPr>
              <w:t>, včetně případů, kdy hodnotící kritéria nevyjadřují vztah užitné hodnoty a ceny, resp. kvalitativní, environmentální nebo sociální hlediska spojená s předmětem zakázky.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15E0CCF" w14:textId="02446F8C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</w:tr>
      <w:tr w:rsidR="005C507D" w:rsidRPr="008079E0" w14:paraId="73C38EED" w14:textId="77777777" w:rsidTr="009D5953">
        <w:trPr>
          <w:trHeight w:val="1395"/>
        </w:trPr>
        <w:tc>
          <w:tcPr>
            <w:tcW w:w="356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459D3FD8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3CA71C48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71F4D5B0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8B6B17B" w14:textId="46F428E2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  <w:tr w:rsidR="005C507D" w:rsidRPr="008079E0" w14:paraId="75C16AB2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04F12BC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8E7ADB" w14:textId="4ED886BD" w:rsidR="005C507D" w:rsidRPr="005C507D" w:rsidRDefault="008079E0" w:rsidP="008079E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Stanovení</w:t>
            </w:r>
            <w:r w:rsidR="005C507D" w:rsidRPr="005C50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technických podmínek </w:t>
            </w:r>
            <w:r w:rsidR="00880BFD" w:rsidRPr="008079E0">
              <w:rPr>
                <w:rFonts w:ascii="Arial" w:hAnsi="Arial" w:cs="Arial"/>
              </w:rPr>
              <w:t>nebo</w:t>
            </w:r>
            <w:r w:rsidR="005C507D" w:rsidRPr="005C50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jiných</w:t>
            </w:r>
            <w:r w:rsidR="005C507D" w:rsidRPr="005C507D">
              <w:rPr>
                <w:rFonts w:ascii="Arial" w:hAnsi="Arial" w:cs="Arial"/>
              </w:rPr>
              <w:t xml:space="preserve"> podmínek </w:t>
            </w:r>
            <w:r>
              <w:rPr>
                <w:rFonts w:ascii="Arial" w:hAnsi="Arial" w:cs="Arial"/>
              </w:rPr>
              <w:t xml:space="preserve">účasti </w:t>
            </w:r>
            <w:r w:rsidR="001575FD">
              <w:rPr>
                <w:rFonts w:ascii="Arial" w:hAnsi="Arial" w:cs="Arial"/>
              </w:rPr>
              <w:t xml:space="preserve">v řízení </w:t>
            </w:r>
            <w:r w:rsidR="005C507D" w:rsidRPr="005C507D">
              <w:rPr>
                <w:rFonts w:ascii="Arial" w:hAnsi="Arial" w:cs="Arial"/>
              </w:rPr>
              <w:t xml:space="preserve">v rozporu se zákonem nebo </w:t>
            </w:r>
            <w:r w:rsidR="00466080">
              <w:rPr>
                <w:rFonts w:ascii="Arial" w:hAnsi="Arial" w:cs="Arial"/>
              </w:rPr>
              <w:t>PPŽP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90C051D" w14:textId="5321AB72" w:rsidR="005C507D" w:rsidRPr="005C507D" w:rsidRDefault="005C507D" w:rsidP="008079E0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Zadavatel </w:t>
            </w:r>
            <w:r w:rsidR="008079E0">
              <w:rPr>
                <w:rFonts w:ascii="Arial" w:hAnsi="Arial" w:cs="Arial"/>
              </w:rPr>
              <w:t xml:space="preserve">stanovil podmínky účasti, zejména technické podmínky, </w:t>
            </w:r>
            <w:r w:rsidRPr="005C507D">
              <w:rPr>
                <w:rFonts w:ascii="Arial" w:hAnsi="Arial" w:cs="Arial"/>
              </w:rPr>
              <w:t xml:space="preserve">obchodní podmínky </w:t>
            </w:r>
            <w:r w:rsidR="008079E0">
              <w:rPr>
                <w:rFonts w:ascii="Arial" w:hAnsi="Arial" w:cs="Arial"/>
              </w:rPr>
              <w:t xml:space="preserve">nebo jiné </w:t>
            </w:r>
            <w:r w:rsidR="00047DD3">
              <w:rPr>
                <w:rFonts w:ascii="Arial" w:hAnsi="Arial" w:cs="Arial"/>
              </w:rPr>
              <w:t xml:space="preserve">výše neuvedené </w:t>
            </w:r>
            <w:r w:rsidR="008079E0">
              <w:rPr>
                <w:rFonts w:ascii="Arial" w:hAnsi="Arial" w:cs="Arial"/>
              </w:rPr>
              <w:t xml:space="preserve">podmínky účasti </w:t>
            </w:r>
            <w:r w:rsidR="008079E0">
              <w:rPr>
                <w:rFonts w:ascii="Arial" w:hAnsi="Arial" w:cs="Arial"/>
              </w:rPr>
              <w:lastRenderedPageBreak/>
              <w:t xml:space="preserve">v zadávacím </w:t>
            </w:r>
            <w:r w:rsidR="001575FD">
              <w:rPr>
                <w:rFonts w:ascii="Arial" w:hAnsi="Arial" w:cs="Arial"/>
              </w:rPr>
              <w:t xml:space="preserve">nebo výběrovém </w:t>
            </w:r>
            <w:r w:rsidR="008079E0">
              <w:rPr>
                <w:rFonts w:ascii="Arial" w:hAnsi="Arial" w:cs="Arial"/>
              </w:rPr>
              <w:t xml:space="preserve">řízení </w:t>
            </w:r>
            <w:r w:rsidRPr="005C507D">
              <w:rPr>
                <w:rFonts w:ascii="Arial" w:hAnsi="Arial" w:cs="Arial"/>
              </w:rPr>
              <w:t xml:space="preserve">diskriminačním </w:t>
            </w:r>
            <w:r w:rsidR="00F41BA9" w:rsidRPr="008079E0">
              <w:rPr>
                <w:rFonts w:ascii="Arial" w:hAnsi="Arial" w:cs="Arial"/>
              </w:rPr>
              <w:t xml:space="preserve">způsobem </w:t>
            </w:r>
            <w:r w:rsidRPr="005C507D">
              <w:rPr>
                <w:rFonts w:ascii="Arial" w:hAnsi="Arial" w:cs="Arial"/>
              </w:rPr>
              <w:t xml:space="preserve">nebo jiným způsobem v rozporu se </w:t>
            </w:r>
            <w:r w:rsidR="00896AD8" w:rsidRPr="008079E0">
              <w:rPr>
                <w:rFonts w:ascii="Arial" w:hAnsi="Arial" w:cs="Arial"/>
              </w:rPr>
              <w:t>zákonem</w:t>
            </w:r>
            <w:r w:rsidRPr="005C507D">
              <w:rPr>
                <w:rFonts w:ascii="Arial" w:hAnsi="Arial" w:cs="Arial"/>
              </w:rPr>
              <w:t xml:space="preserve"> nebo </w:t>
            </w:r>
            <w:r w:rsidR="00466080">
              <w:rPr>
                <w:rFonts w:ascii="Arial" w:hAnsi="Arial" w:cs="Arial"/>
              </w:rPr>
              <w:t>PPŽP</w:t>
            </w:r>
            <w:r w:rsidRPr="005C507D">
              <w:rPr>
                <w:rFonts w:ascii="Arial" w:hAnsi="Arial" w:cs="Arial"/>
              </w:rPr>
              <w:t>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D2D1667" w14:textId="12850CB1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25 %</w:t>
            </w:r>
          </w:p>
        </w:tc>
      </w:tr>
      <w:tr w:rsidR="005C507D" w:rsidRPr="008079E0" w14:paraId="4AB9540E" w14:textId="77777777" w:rsidTr="009D5953">
        <w:trPr>
          <w:trHeight w:val="125"/>
        </w:trPr>
        <w:tc>
          <w:tcPr>
            <w:tcW w:w="356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1827237B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3088E00E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E083FAC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6D7F6101" w14:textId="379AA8BA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  <w:tr w:rsidR="005C507D" w:rsidRPr="008079E0" w14:paraId="22F9849D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2DA7E1E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325275A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Nedostatečné vymezení předmětu zakázky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3639B75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 nevymezil předmět zakázky v podrobnostech nezbytných pro zpracování nabídky.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F4FC9B2" w14:textId="0230109C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</w:tr>
      <w:tr w:rsidR="00DB7357" w:rsidRPr="008079E0" w14:paraId="0EC2D781" w14:textId="77777777" w:rsidTr="00DB7357">
        <w:trPr>
          <w:trHeight w:val="20"/>
        </w:trPr>
        <w:tc>
          <w:tcPr>
            <w:tcW w:w="356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961316F" w14:textId="77777777" w:rsidR="00DB7357" w:rsidRPr="005C507D" w:rsidRDefault="00DB7357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0B24439" w14:textId="77777777" w:rsidR="00DB7357" w:rsidRPr="005C507D" w:rsidRDefault="00DB7357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1EFEA77" w14:textId="77777777" w:rsidR="00DB7357" w:rsidRPr="005C507D" w:rsidRDefault="00DB7357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7C02B410" w14:textId="30FC4007" w:rsidR="00DB7357" w:rsidRPr="005C507D" w:rsidRDefault="00DB7357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>
              <w:rPr>
                <w:rFonts w:ascii="Arial" w:hAnsi="Arial" w:cs="Arial"/>
              </w:rPr>
              <w:t>v případě menší závažnosti pochybení</w:t>
            </w:r>
          </w:p>
        </w:tc>
      </w:tr>
      <w:tr w:rsidR="005C507D" w:rsidRPr="008079E0" w14:paraId="6BC59831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80D6158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45C520D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Použití jednacího řízení s uveřejněním v rozporu se zákonem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4C47179" w14:textId="2AE9ECD9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 zadal zakázku</w:t>
            </w:r>
          </w:p>
          <w:p w14:paraId="6F420400" w14:textId="6BFCCCE6" w:rsidR="005C507D" w:rsidRPr="005C507D" w:rsidRDefault="005C507D" w:rsidP="001575FD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v jednacím řízení s uveřejněním, aniž by byly splněny zákonné podmínky pro takový postup, nebo v průběhu jednacího řízení </w:t>
            </w:r>
            <w:r w:rsidR="001575FD">
              <w:rPr>
                <w:rFonts w:ascii="Arial" w:hAnsi="Arial" w:cs="Arial"/>
              </w:rPr>
              <w:t>s </w:t>
            </w:r>
            <w:r w:rsidRPr="005C507D">
              <w:rPr>
                <w:rFonts w:ascii="Arial" w:hAnsi="Arial" w:cs="Arial"/>
              </w:rPr>
              <w:t>uveřejnění</w:t>
            </w:r>
            <w:r w:rsidR="001575FD">
              <w:rPr>
                <w:rFonts w:ascii="Arial" w:hAnsi="Arial" w:cs="Arial"/>
              </w:rPr>
              <w:t>m</w:t>
            </w:r>
            <w:r w:rsidRPr="005C507D">
              <w:rPr>
                <w:rFonts w:ascii="Arial" w:hAnsi="Arial" w:cs="Arial"/>
              </w:rPr>
              <w:t xml:space="preserve"> podstatně změnil zadávací podmínky.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2A0540F" w14:textId="73B86E3D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</w:tr>
      <w:tr w:rsidR="005C507D" w:rsidRPr="008079E0" w14:paraId="408BC548" w14:textId="77777777" w:rsidTr="009D5953">
        <w:trPr>
          <w:trHeight w:val="960"/>
        </w:trPr>
        <w:tc>
          <w:tcPr>
            <w:tcW w:w="356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166C7A5A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A9E8D8F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FA99001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77061CCC" w14:textId="6E55A965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  <w:tr w:rsidR="005C507D" w:rsidRPr="008079E0" w14:paraId="3604335E" w14:textId="77777777" w:rsidTr="009D5953">
        <w:trPr>
          <w:trHeight w:val="279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D1C28B5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C528184" w14:textId="0EC21049" w:rsidR="005C507D" w:rsidRPr="005C507D" w:rsidRDefault="00826BCF" w:rsidP="00826BCF">
            <w:pPr>
              <w:widowControl w:val="0"/>
              <w:rPr>
                <w:rFonts w:ascii="Arial" w:hAnsi="Arial" w:cs="Arial"/>
              </w:rPr>
            </w:pPr>
            <w:r w:rsidRPr="008079E0">
              <w:rPr>
                <w:rFonts w:ascii="Arial" w:hAnsi="Arial" w:cs="Arial"/>
              </w:rPr>
              <w:t>Nedodržení zadávacích podmínek při zadávání zakázky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43F9606" w14:textId="2F32B548" w:rsidR="005C507D" w:rsidRPr="005C507D" w:rsidRDefault="005C507D" w:rsidP="00EE6288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Zadavatel </w:t>
            </w:r>
            <w:r w:rsidR="00826BCF" w:rsidRPr="008079E0">
              <w:rPr>
                <w:rFonts w:ascii="Arial" w:hAnsi="Arial" w:cs="Arial"/>
              </w:rPr>
              <w:t>při zadávání zakázky nedodržel stanovené zadávací podmínky</w:t>
            </w:r>
            <w:r w:rsidRPr="005C507D">
              <w:rPr>
                <w:rFonts w:ascii="Arial" w:hAnsi="Arial" w:cs="Arial"/>
              </w:rPr>
              <w:t>, zejména technick</w:t>
            </w:r>
            <w:r w:rsidR="00826BCF" w:rsidRPr="008079E0">
              <w:rPr>
                <w:rFonts w:ascii="Arial" w:hAnsi="Arial" w:cs="Arial"/>
              </w:rPr>
              <w:t xml:space="preserve">é </w:t>
            </w:r>
            <w:r w:rsidRPr="005C507D">
              <w:rPr>
                <w:rFonts w:ascii="Arial" w:hAnsi="Arial" w:cs="Arial"/>
              </w:rPr>
              <w:t>podmínk</w:t>
            </w:r>
            <w:r w:rsidR="00826BCF" w:rsidRPr="008079E0">
              <w:rPr>
                <w:rFonts w:ascii="Arial" w:hAnsi="Arial" w:cs="Arial"/>
              </w:rPr>
              <w:t>y</w:t>
            </w:r>
            <w:r w:rsidRPr="005C507D">
              <w:rPr>
                <w:rFonts w:ascii="Arial" w:hAnsi="Arial" w:cs="Arial"/>
              </w:rPr>
              <w:t>,</w:t>
            </w:r>
            <w:r w:rsidR="00826BCF" w:rsidRPr="008079E0">
              <w:rPr>
                <w:rFonts w:ascii="Arial" w:hAnsi="Arial" w:cs="Arial"/>
              </w:rPr>
              <w:t xml:space="preserve"> požadavky na kvalifikaci,</w:t>
            </w:r>
            <w:r w:rsidR="00D04726">
              <w:rPr>
                <w:rFonts w:ascii="Arial" w:hAnsi="Arial" w:cs="Arial"/>
              </w:rPr>
              <w:t xml:space="preserve"> pravidla pro hodnocení,</w:t>
            </w:r>
            <w:r w:rsidR="00826BCF" w:rsidRPr="008079E0">
              <w:rPr>
                <w:rFonts w:ascii="Arial" w:hAnsi="Arial" w:cs="Arial"/>
              </w:rPr>
              <w:t xml:space="preserve"> </w:t>
            </w:r>
            <w:r w:rsidRPr="005C507D">
              <w:rPr>
                <w:rFonts w:ascii="Arial" w:hAnsi="Arial" w:cs="Arial"/>
              </w:rPr>
              <w:t>obchodní</w:t>
            </w:r>
            <w:r w:rsidR="00826BCF" w:rsidRPr="008079E0">
              <w:rPr>
                <w:rFonts w:ascii="Arial" w:hAnsi="Arial" w:cs="Arial"/>
              </w:rPr>
              <w:t xml:space="preserve"> podmínky nebo jiné </w:t>
            </w:r>
            <w:r w:rsidR="00DB7357">
              <w:rPr>
                <w:rFonts w:ascii="Arial" w:hAnsi="Arial" w:cs="Arial"/>
              </w:rPr>
              <w:t xml:space="preserve">podmínky účasti v zadávacím nebo výběrovém řízení nebo </w:t>
            </w:r>
            <w:r w:rsidR="00826BCF" w:rsidRPr="008079E0">
              <w:rPr>
                <w:rFonts w:ascii="Arial" w:hAnsi="Arial" w:cs="Arial"/>
              </w:rPr>
              <w:t>podmínky průběhu zadávacího nebo</w:t>
            </w:r>
            <w:r w:rsidR="00DB7357">
              <w:rPr>
                <w:rFonts w:ascii="Arial" w:hAnsi="Arial" w:cs="Arial"/>
              </w:rPr>
              <w:t xml:space="preserve"> výběrového řízení.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66B1B53" w14:textId="4F995917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</w:tr>
      <w:tr w:rsidR="005C507D" w:rsidRPr="008079E0" w14:paraId="68C1B639" w14:textId="77777777" w:rsidTr="009D5953">
        <w:trPr>
          <w:trHeight w:val="20"/>
        </w:trPr>
        <w:tc>
          <w:tcPr>
            <w:tcW w:w="356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A336C6C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1D34BD2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22106FF0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6BA309F4" w14:textId="15AE42A2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  <w:tr w:rsidR="005C507D" w:rsidRPr="008079E0" w14:paraId="10B81AD4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A7887CA" w14:textId="1A68782F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CFE3D7B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Nedodržení základních zásad zadávání zakázek při posouzení nebo hodnocení nabídek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0895D25" w14:textId="1E6ECAA5" w:rsidR="005C507D" w:rsidRPr="005C507D" w:rsidRDefault="005C507D" w:rsidP="00896AD8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Zadavatel porušil základní zásady zadávání zakázek při posouzení nebo hodnocení nabídek, včetně případů, kdy v rozporu se </w:t>
            </w:r>
            <w:r w:rsidR="00896AD8" w:rsidRPr="008079E0">
              <w:rPr>
                <w:rFonts w:ascii="Arial" w:hAnsi="Arial" w:cs="Arial"/>
              </w:rPr>
              <w:t>zákonem</w:t>
            </w:r>
            <w:r w:rsidRPr="005C507D">
              <w:rPr>
                <w:rFonts w:ascii="Arial" w:hAnsi="Arial" w:cs="Arial"/>
              </w:rPr>
              <w:t xml:space="preserve"> či </w:t>
            </w:r>
            <w:r w:rsidR="00466080">
              <w:rPr>
                <w:rFonts w:ascii="Arial" w:hAnsi="Arial" w:cs="Arial"/>
              </w:rPr>
              <w:t>PPŽP</w:t>
            </w:r>
            <w:r w:rsidRPr="005C507D">
              <w:rPr>
                <w:rFonts w:ascii="Arial" w:hAnsi="Arial" w:cs="Arial"/>
              </w:rPr>
              <w:t xml:space="preserve"> jednal o nabídce, umožnil </w:t>
            </w:r>
            <w:r w:rsidRPr="005C507D">
              <w:rPr>
                <w:rFonts w:ascii="Arial" w:hAnsi="Arial" w:cs="Arial"/>
              </w:rPr>
              <w:lastRenderedPageBreak/>
              <w:t>dodatečné změny nabídky nebo nezajistil nezbytnou auditní stopu posouzení nebo hodnocení nabídek.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0C71688" w14:textId="791324F2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25 %</w:t>
            </w:r>
          </w:p>
        </w:tc>
      </w:tr>
      <w:tr w:rsidR="005C507D" w:rsidRPr="008079E0" w14:paraId="3B0938C0" w14:textId="77777777" w:rsidTr="009D5953">
        <w:trPr>
          <w:trHeight w:val="337"/>
        </w:trPr>
        <w:tc>
          <w:tcPr>
            <w:tcW w:w="356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1E9EC12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61212BC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7E655F82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120DEB51" w14:textId="613E1485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  <w:tr w:rsidR="009D5953" w:rsidRPr="008079E0" w14:paraId="3FEED858" w14:textId="77777777" w:rsidTr="002A1F06">
        <w:tc>
          <w:tcPr>
            <w:tcW w:w="356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6BD2EBAC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15A82218" w14:textId="56EC18B3" w:rsidR="005C507D" w:rsidRPr="005C507D" w:rsidRDefault="005C507D" w:rsidP="00826BCF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Neoprávněné vy</w:t>
            </w:r>
            <w:r w:rsidR="00826BCF" w:rsidRPr="008079E0">
              <w:rPr>
                <w:rFonts w:ascii="Arial" w:hAnsi="Arial" w:cs="Arial"/>
              </w:rPr>
              <w:t>řazení</w:t>
            </w:r>
            <w:r w:rsidR="00047DD3">
              <w:rPr>
                <w:rFonts w:ascii="Arial" w:hAnsi="Arial" w:cs="Arial"/>
              </w:rPr>
              <w:t xml:space="preserve"> nabídky z důvodu </w:t>
            </w:r>
            <w:r w:rsidRPr="005C507D">
              <w:rPr>
                <w:rFonts w:ascii="Arial" w:hAnsi="Arial" w:cs="Arial"/>
              </w:rPr>
              <w:t>mimořádně nízké nabídkové cen</w:t>
            </w:r>
            <w:r w:rsidR="00826BCF" w:rsidRPr="008079E0">
              <w:rPr>
                <w:rFonts w:ascii="Arial" w:hAnsi="Arial" w:cs="Arial"/>
              </w:rPr>
              <w:t>y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6E30A8E4" w14:textId="476150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 vyřadil nabídku z důvodu mimořádně nízké nabídkové ce</w:t>
            </w:r>
            <w:r w:rsidR="00047DD3">
              <w:rPr>
                <w:rFonts w:ascii="Arial" w:hAnsi="Arial" w:cs="Arial"/>
              </w:rPr>
              <w:t xml:space="preserve">ny, aniž by požádal účastníka </w:t>
            </w:r>
            <w:r w:rsidR="00DB7357">
              <w:rPr>
                <w:rFonts w:ascii="Arial" w:hAnsi="Arial" w:cs="Arial"/>
              </w:rPr>
              <w:t xml:space="preserve">zadávacího nebo výběrového řízení </w:t>
            </w:r>
            <w:r w:rsidR="00047DD3">
              <w:rPr>
                <w:rFonts w:ascii="Arial" w:hAnsi="Arial" w:cs="Arial"/>
              </w:rPr>
              <w:t>o </w:t>
            </w:r>
            <w:r w:rsidRPr="005C507D">
              <w:rPr>
                <w:rFonts w:ascii="Arial" w:hAnsi="Arial" w:cs="Arial"/>
              </w:rPr>
              <w:t>odpovídající zdůvodnění.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BCC192E" w14:textId="566B8E18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</w:tr>
      <w:tr w:rsidR="002A1F06" w:rsidRPr="002A1F06" w14:paraId="63BF04A5" w14:textId="77777777" w:rsidTr="00DB7357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336A5042" w14:textId="77777777" w:rsidR="002A1F06" w:rsidRPr="002A1F06" w:rsidRDefault="002A1F06" w:rsidP="002A1F06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1095D23D" w14:textId="5F5A067D" w:rsidR="002A1F06" w:rsidRPr="002A1F06" w:rsidRDefault="002A1F06" w:rsidP="002A1F0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Zvýhodnění určitého dodavatele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14:paraId="5EAF34F7" w14:textId="16C0C60D" w:rsidR="002A1F06" w:rsidRPr="002A1F06" w:rsidRDefault="002A1F06" w:rsidP="002A1F0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Zadavatel v</w:t>
            </w:r>
            <w:r w:rsidRPr="002A1F06">
              <w:rPr>
                <w:rFonts w:ascii="Arial" w:hAnsi="Arial" w:cs="Arial"/>
              </w:rPr>
              <w:t xml:space="preserve"> průběhu lhůty pro podání nabídek</w:t>
            </w:r>
            <w:r>
              <w:rPr>
                <w:rFonts w:ascii="Arial" w:hAnsi="Arial" w:cs="Arial"/>
              </w:rPr>
              <w:t xml:space="preserve"> nebo žádosti pro účast </w:t>
            </w:r>
            <w:r w:rsidRPr="002A1F06">
              <w:rPr>
                <w:rFonts w:ascii="Arial" w:hAnsi="Arial" w:cs="Arial"/>
              </w:rPr>
              <w:t xml:space="preserve">nebo při jednání s dodavateli </w:t>
            </w:r>
            <w:r>
              <w:rPr>
                <w:rFonts w:ascii="Arial" w:hAnsi="Arial" w:cs="Arial"/>
              </w:rPr>
              <w:t xml:space="preserve">poskytl </w:t>
            </w:r>
            <w:r w:rsidRPr="002A1F06">
              <w:rPr>
                <w:rFonts w:ascii="Arial" w:hAnsi="Arial" w:cs="Arial"/>
              </w:rPr>
              <w:t>některému dodavateli nebo některým</w:t>
            </w:r>
            <w:r>
              <w:rPr>
                <w:rFonts w:ascii="Arial" w:hAnsi="Arial" w:cs="Arial"/>
              </w:rPr>
              <w:t xml:space="preserve"> </w:t>
            </w:r>
            <w:r w:rsidRPr="002A1F06">
              <w:rPr>
                <w:rFonts w:ascii="Arial" w:hAnsi="Arial" w:cs="Arial"/>
              </w:rPr>
              <w:t>dodavatelům informace,</w:t>
            </w:r>
            <w:r>
              <w:rPr>
                <w:rFonts w:ascii="Arial" w:hAnsi="Arial" w:cs="Arial"/>
              </w:rPr>
              <w:t xml:space="preserve"> </w:t>
            </w:r>
            <w:r w:rsidRPr="002A1F06">
              <w:rPr>
                <w:rFonts w:ascii="Arial" w:hAnsi="Arial" w:cs="Arial"/>
              </w:rPr>
              <w:t xml:space="preserve">které </w:t>
            </w:r>
            <w:r>
              <w:rPr>
                <w:rFonts w:ascii="Arial" w:hAnsi="Arial" w:cs="Arial"/>
              </w:rPr>
              <w:t>neposkytl ostatním dodavatelům</w:t>
            </w:r>
            <w:r w:rsidRPr="002A1F0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nebo zvýhodnil některého </w:t>
            </w:r>
            <w:r w:rsidRPr="002A1F06">
              <w:rPr>
                <w:rFonts w:ascii="Arial" w:hAnsi="Arial" w:cs="Arial"/>
              </w:rPr>
              <w:t>dodavatel</w:t>
            </w:r>
            <w:r>
              <w:rPr>
                <w:rFonts w:ascii="Arial" w:hAnsi="Arial" w:cs="Arial"/>
              </w:rPr>
              <w:t>e</w:t>
            </w:r>
            <w:r w:rsidRPr="002A1F06">
              <w:rPr>
                <w:rFonts w:ascii="Arial" w:hAnsi="Arial" w:cs="Arial"/>
              </w:rPr>
              <w:t xml:space="preserve"> nebo někte</w:t>
            </w:r>
            <w:r>
              <w:rPr>
                <w:rFonts w:ascii="Arial" w:hAnsi="Arial" w:cs="Arial"/>
              </w:rPr>
              <w:t xml:space="preserve">ré </w:t>
            </w:r>
            <w:r w:rsidRPr="002A1F06">
              <w:rPr>
                <w:rFonts w:ascii="Arial" w:hAnsi="Arial" w:cs="Arial"/>
              </w:rPr>
              <w:t xml:space="preserve">dodavatelé jiným </w:t>
            </w:r>
            <w:r>
              <w:rPr>
                <w:rFonts w:ascii="Arial" w:hAnsi="Arial" w:cs="Arial"/>
              </w:rPr>
              <w:t xml:space="preserve">než </w:t>
            </w:r>
            <w:r w:rsidR="00DB7357">
              <w:rPr>
                <w:rFonts w:ascii="Arial" w:hAnsi="Arial" w:cs="Arial"/>
              </w:rPr>
              <w:t xml:space="preserve">výše </w:t>
            </w:r>
            <w:r>
              <w:rPr>
                <w:rFonts w:ascii="Arial" w:hAnsi="Arial" w:cs="Arial"/>
              </w:rPr>
              <w:t>uvedeným</w:t>
            </w:r>
            <w:r w:rsidR="00DB7357">
              <w:rPr>
                <w:rFonts w:ascii="Arial" w:hAnsi="Arial" w:cs="Arial"/>
              </w:rPr>
              <w:t xml:space="preserve"> způsobem</w:t>
            </w:r>
            <w:r>
              <w:rPr>
                <w:rFonts w:ascii="Arial" w:hAnsi="Arial" w:cs="Arial"/>
              </w:rPr>
              <w:t>, přičemž tento postup měl nebo mohl mít vliv</w:t>
            </w:r>
            <w:r w:rsidRPr="002A1F06">
              <w:rPr>
                <w:rFonts w:ascii="Arial" w:hAnsi="Arial" w:cs="Arial"/>
              </w:rPr>
              <w:t xml:space="preserve"> na výběr</w:t>
            </w:r>
            <w:r>
              <w:rPr>
                <w:rFonts w:ascii="Arial" w:hAnsi="Arial" w:cs="Arial"/>
              </w:rPr>
              <w:t xml:space="preserve"> </w:t>
            </w:r>
            <w:r w:rsidRPr="002A1F06">
              <w:rPr>
                <w:rFonts w:ascii="Arial" w:hAnsi="Arial" w:cs="Arial"/>
              </w:rPr>
              <w:t>nejvhodnější nabídky.</w:t>
            </w:r>
          </w:p>
        </w:tc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28FDA86" w14:textId="179A8D3E" w:rsidR="002A1F06" w:rsidRPr="002A1F06" w:rsidRDefault="00507DD0" w:rsidP="002A1F0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</w:tr>
      <w:tr w:rsidR="002A1F06" w:rsidRPr="002A1F06" w14:paraId="3DCBE3CA" w14:textId="77777777" w:rsidTr="00047DD3">
        <w:trPr>
          <w:trHeight w:val="861"/>
        </w:trPr>
        <w:tc>
          <w:tcPr>
            <w:tcW w:w="356" w:type="pct"/>
            <w:vMerge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3C13357" w14:textId="77777777" w:rsidR="002A1F06" w:rsidRPr="002A1F06" w:rsidRDefault="002A1F06" w:rsidP="002A1F06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cs="Arial"/>
              </w:rPr>
            </w:pPr>
          </w:p>
        </w:tc>
        <w:tc>
          <w:tcPr>
            <w:tcW w:w="1547" w:type="pct"/>
            <w:vMerge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25DB4E59" w14:textId="77777777" w:rsidR="002A1F06" w:rsidRDefault="002A1F06" w:rsidP="002A1F06">
            <w:pPr>
              <w:widowControl w:val="0"/>
              <w:rPr>
                <w:rFonts w:cs="Arial"/>
              </w:rPr>
            </w:pPr>
          </w:p>
        </w:tc>
        <w:tc>
          <w:tcPr>
            <w:tcW w:w="1548" w:type="pct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14:paraId="69597995" w14:textId="77777777" w:rsidR="002A1F06" w:rsidRDefault="002A1F06" w:rsidP="002A1F06">
            <w:pPr>
              <w:widowControl w:val="0"/>
              <w:rPr>
                <w:rFonts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289A2D62" w14:textId="68BD78AC" w:rsidR="002A1F06" w:rsidRPr="002A1F06" w:rsidRDefault="002A1F06" w:rsidP="002A1F06">
            <w:pPr>
              <w:widowControl w:val="0"/>
              <w:rPr>
                <w:rFonts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>
              <w:rPr>
                <w:rFonts w:ascii="Arial" w:hAnsi="Arial" w:cs="Arial"/>
              </w:rPr>
              <w:t>v případě menší závažnosti pochybení</w:t>
            </w:r>
          </w:p>
        </w:tc>
      </w:tr>
      <w:tr w:rsidR="009D5953" w:rsidRPr="008079E0" w14:paraId="21382B8F" w14:textId="77777777" w:rsidTr="009D5953">
        <w:tc>
          <w:tcPr>
            <w:tcW w:w="356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48EE919E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3553896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Střet zájmů 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77689254" w14:textId="2F35DB87" w:rsidR="005C507D" w:rsidRPr="005C507D" w:rsidRDefault="00047DD3" w:rsidP="00047DD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Příslušný s</w:t>
            </w:r>
            <w:r w:rsidR="005C507D" w:rsidRPr="005C507D">
              <w:rPr>
                <w:rFonts w:ascii="Arial" w:hAnsi="Arial" w:cs="Arial"/>
              </w:rPr>
              <w:t xml:space="preserve">oud nebo jiný orgán pravomocně </w:t>
            </w:r>
            <w:r w:rsidR="00896AD8" w:rsidRPr="008079E0">
              <w:rPr>
                <w:rFonts w:ascii="Arial" w:hAnsi="Arial" w:cs="Arial"/>
              </w:rPr>
              <w:t>rozhodl</w:t>
            </w:r>
            <w:r w:rsidR="005C507D" w:rsidRPr="005C507D">
              <w:rPr>
                <w:rFonts w:ascii="Arial" w:hAnsi="Arial" w:cs="Arial"/>
              </w:rPr>
              <w:t>, že při zadávání zakázky došlo ke střetu zájmů, včetně případů, kdy příslušný soud pravomocně rozhod</w:t>
            </w:r>
            <w:r w:rsidR="00896AD8" w:rsidRPr="008079E0">
              <w:rPr>
                <w:rFonts w:ascii="Arial" w:hAnsi="Arial" w:cs="Arial"/>
              </w:rPr>
              <w:t>l</w:t>
            </w:r>
            <w:r w:rsidR="005C507D" w:rsidRPr="005C507D">
              <w:rPr>
                <w:rFonts w:ascii="Arial" w:hAnsi="Arial" w:cs="Arial"/>
              </w:rPr>
              <w:t>, že byl při zadávání zakázky spáchán trestný čin.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1C2976F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100 %</w:t>
            </w:r>
          </w:p>
        </w:tc>
      </w:tr>
    </w:tbl>
    <w:p w14:paraId="4AF10F11" w14:textId="77777777" w:rsidR="00EA5546" w:rsidRDefault="00EA5546">
      <w:r>
        <w:br w:type="page"/>
      </w:r>
    </w:p>
    <w:tbl>
      <w:tblPr>
        <w:tblStyle w:val="Mkatabulky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662"/>
        <w:gridCol w:w="2874"/>
        <w:gridCol w:w="2876"/>
        <w:gridCol w:w="2876"/>
      </w:tblGrid>
      <w:tr w:rsidR="009D5953" w:rsidRPr="008079E0" w14:paraId="699581F0" w14:textId="77777777" w:rsidTr="009D5953">
        <w:tc>
          <w:tcPr>
            <w:tcW w:w="356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2EBC334" w14:textId="648E877F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29AC597D" w14:textId="5399CB12" w:rsidR="005C507D" w:rsidRPr="005C507D" w:rsidRDefault="005C507D" w:rsidP="004B66E0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Podstatná změna </w:t>
            </w:r>
            <w:r w:rsidR="004B66E0" w:rsidRPr="008079E0">
              <w:rPr>
                <w:rFonts w:ascii="Arial" w:hAnsi="Arial" w:cs="Arial"/>
              </w:rPr>
              <w:t>závazku ze smlouvy</w:t>
            </w:r>
            <w:r w:rsidRPr="005C50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3F1E1B5" w14:textId="70F2D4A3" w:rsidR="005C507D" w:rsidRPr="005C507D" w:rsidRDefault="005C507D" w:rsidP="004B66E0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</w:t>
            </w:r>
            <w:r w:rsidR="004B66E0" w:rsidRPr="008079E0">
              <w:rPr>
                <w:rFonts w:ascii="Arial" w:hAnsi="Arial" w:cs="Arial"/>
              </w:rPr>
              <w:t xml:space="preserve"> umožnil </w:t>
            </w:r>
            <w:r w:rsidR="00896AD8" w:rsidRPr="008079E0">
              <w:rPr>
                <w:rFonts w:ascii="Arial" w:hAnsi="Arial" w:cs="Arial"/>
              </w:rPr>
              <w:t xml:space="preserve">podstatnou změnu </w:t>
            </w:r>
            <w:r w:rsidR="00DB7357">
              <w:rPr>
                <w:rFonts w:ascii="Arial" w:hAnsi="Arial" w:cs="Arial"/>
              </w:rPr>
              <w:t xml:space="preserve">závazku </w:t>
            </w:r>
            <w:r w:rsidR="004B66E0" w:rsidRPr="008079E0">
              <w:rPr>
                <w:rFonts w:ascii="Arial" w:hAnsi="Arial" w:cs="Arial"/>
              </w:rPr>
              <w:t>ze smlouvy</w:t>
            </w:r>
            <w:r w:rsidRPr="005C507D">
              <w:rPr>
                <w:rFonts w:ascii="Arial" w:hAnsi="Arial" w:cs="Arial"/>
              </w:rPr>
              <w:t xml:space="preserve"> </w:t>
            </w:r>
            <w:r w:rsidR="004B66E0" w:rsidRPr="008079E0">
              <w:rPr>
                <w:rFonts w:ascii="Arial" w:hAnsi="Arial" w:cs="Arial"/>
              </w:rPr>
              <w:t xml:space="preserve">na zakázku </w:t>
            </w:r>
            <w:r w:rsidR="00DB7357">
              <w:rPr>
                <w:rFonts w:ascii="Arial" w:hAnsi="Arial" w:cs="Arial"/>
              </w:rPr>
              <w:t xml:space="preserve">nebo práv a povinností vyplývajících ze smlouvy na zakázku </w:t>
            </w:r>
            <w:r w:rsidRPr="005C507D">
              <w:rPr>
                <w:rFonts w:ascii="Arial" w:hAnsi="Arial" w:cs="Arial"/>
              </w:rPr>
              <w:t xml:space="preserve">v rozporu se zákonem nebo </w:t>
            </w:r>
            <w:r w:rsidR="00466080">
              <w:rPr>
                <w:rFonts w:ascii="Arial" w:hAnsi="Arial" w:cs="Arial"/>
              </w:rPr>
              <w:t>PPŽP</w:t>
            </w:r>
            <w:r w:rsidRPr="005C507D">
              <w:rPr>
                <w:rFonts w:ascii="Arial" w:hAnsi="Arial" w:cs="Arial"/>
              </w:rPr>
              <w:t>, včetně podstatného zúžení rozsahu plnění zakázky, které by mohlo ovlivnit výběr nejvhodnější nabídky.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016CD0AC" w14:textId="595F7DE9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  <w:p w14:paraId="468E09E3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  <w:p w14:paraId="521E142B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a dále</w:t>
            </w:r>
          </w:p>
          <w:p w14:paraId="66F89E98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  <w:p w14:paraId="0B80DC71" w14:textId="7DCCE2DC" w:rsidR="005C507D" w:rsidRPr="005C507D" w:rsidRDefault="005C507D" w:rsidP="00896AD8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100 % částky, o kterou byla případně zvýšena cena zakázky</w:t>
            </w:r>
          </w:p>
        </w:tc>
      </w:tr>
      <w:tr w:rsidR="005C507D" w:rsidRPr="008079E0" w14:paraId="152223B5" w14:textId="77777777" w:rsidTr="004B66E0">
        <w:trPr>
          <w:trHeight w:val="772"/>
        </w:trPr>
        <w:tc>
          <w:tcPr>
            <w:tcW w:w="356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7A6B872" w14:textId="69F28A78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1FEA23D" w14:textId="30381C7C" w:rsidR="005C507D" w:rsidRPr="005C507D" w:rsidRDefault="005C507D" w:rsidP="004B66E0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Neoprávněné zadání dodatečných </w:t>
            </w:r>
            <w:r w:rsidR="004B66E0" w:rsidRPr="008079E0">
              <w:rPr>
                <w:rFonts w:ascii="Arial" w:hAnsi="Arial" w:cs="Arial"/>
              </w:rPr>
              <w:t>stavebních prací, dodávek nebo služeb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0A2DA2C" w14:textId="2577B9FC" w:rsidR="005C507D" w:rsidRPr="005C507D" w:rsidRDefault="005C507D" w:rsidP="004B66E0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 zadal zakázku</w:t>
            </w:r>
            <w:r w:rsidR="004B66E0" w:rsidRPr="008079E0">
              <w:rPr>
                <w:rFonts w:ascii="Arial" w:hAnsi="Arial" w:cs="Arial"/>
              </w:rPr>
              <w:t xml:space="preserve">, jejímž předmětem byly </w:t>
            </w:r>
            <w:r w:rsidR="004B66E0" w:rsidRPr="005C507D">
              <w:rPr>
                <w:rFonts w:ascii="Arial" w:hAnsi="Arial" w:cs="Arial"/>
              </w:rPr>
              <w:t>dodatečné stavební práce, služby nebo dodávky,</w:t>
            </w:r>
            <w:r w:rsidRPr="005C507D">
              <w:rPr>
                <w:rFonts w:ascii="Arial" w:hAnsi="Arial" w:cs="Arial"/>
              </w:rPr>
              <w:t xml:space="preserve"> </w:t>
            </w:r>
            <w:r w:rsidR="004B66E0" w:rsidRPr="008079E0">
              <w:rPr>
                <w:rFonts w:ascii="Arial" w:hAnsi="Arial" w:cs="Arial"/>
              </w:rPr>
              <w:t xml:space="preserve">nebo umožnil podstatnou změnu závazku ze smlouvy na zakázku vedoucí k provedení </w:t>
            </w:r>
            <w:r w:rsidRPr="005C507D">
              <w:rPr>
                <w:rFonts w:ascii="Arial" w:hAnsi="Arial" w:cs="Arial"/>
              </w:rPr>
              <w:t>dodatečn</w:t>
            </w:r>
            <w:r w:rsidR="004B66E0" w:rsidRPr="008079E0">
              <w:rPr>
                <w:rFonts w:ascii="Arial" w:hAnsi="Arial" w:cs="Arial"/>
              </w:rPr>
              <w:t>ých</w:t>
            </w:r>
            <w:r w:rsidRPr="005C507D">
              <w:rPr>
                <w:rFonts w:ascii="Arial" w:hAnsi="Arial" w:cs="Arial"/>
              </w:rPr>
              <w:t xml:space="preserve"> stavební práce, služ</w:t>
            </w:r>
            <w:r w:rsidR="004B66E0" w:rsidRPr="008079E0">
              <w:rPr>
                <w:rFonts w:ascii="Arial" w:hAnsi="Arial" w:cs="Arial"/>
              </w:rPr>
              <w:t>eb</w:t>
            </w:r>
            <w:r w:rsidRPr="005C507D">
              <w:rPr>
                <w:rFonts w:ascii="Arial" w:hAnsi="Arial" w:cs="Arial"/>
              </w:rPr>
              <w:t xml:space="preserve"> nebo dodá</w:t>
            </w:r>
            <w:r w:rsidR="004B66E0" w:rsidRPr="008079E0">
              <w:rPr>
                <w:rFonts w:ascii="Arial" w:hAnsi="Arial" w:cs="Arial"/>
              </w:rPr>
              <w:t>vek</w:t>
            </w:r>
            <w:r w:rsidRPr="005C507D">
              <w:rPr>
                <w:rFonts w:ascii="Arial" w:hAnsi="Arial" w:cs="Arial"/>
              </w:rPr>
              <w:t xml:space="preserve">, aniž by pro to byly splněny podmínky dle </w:t>
            </w:r>
            <w:r w:rsidR="00896AD8" w:rsidRPr="008079E0">
              <w:rPr>
                <w:rFonts w:ascii="Arial" w:hAnsi="Arial" w:cs="Arial"/>
              </w:rPr>
              <w:t>zákona</w:t>
            </w:r>
            <w:r w:rsidRPr="005C507D">
              <w:rPr>
                <w:rFonts w:ascii="Arial" w:hAnsi="Arial" w:cs="Arial"/>
              </w:rPr>
              <w:t xml:space="preserve"> nebo </w:t>
            </w:r>
            <w:r w:rsidR="00466080">
              <w:rPr>
                <w:rFonts w:ascii="Arial" w:hAnsi="Arial" w:cs="Arial"/>
              </w:rPr>
              <w:t>PPŽP</w:t>
            </w:r>
            <w:r w:rsidRPr="005C507D">
              <w:rPr>
                <w:rFonts w:ascii="Arial" w:hAnsi="Arial" w:cs="Arial"/>
              </w:rPr>
              <w:t>.</w:t>
            </w:r>
          </w:p>
        </w:tc>
        <w:tc>
          <w:tcPr>
            <w:tcW w:w="1548" w:type="pct"/>
            <w:tcBorders>
              <w:top w:val="single" w:sz="12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298A5EB" w14:textId="715144D2" w:rsidR="005C507D" w:rsidRPr="005C507D" w:rsidRDefault="005C507D" w:rsidP="004B66E0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100 % hodnoty dodatečných </w:t>
            </w:r>
            <w:r w:rsidR="004B66E0" w:rsidRPr="008079E0">
              <w:rPr>
                <w:rFonts w:ascii="Arial" w:hAnsi="Arial" w:cs="Arial"/>
              </w:rPr>
              <w:t>stavebních prací, dodávek nebo služeb</w:t>
            </w:r>
          </w:p>
        </w:tc>
      </w:tr>
      <w:tr w:rsidR="005C507D" w:rsidRPr="008079E0" w14:paraId="08BA7C54" w14:textId="77777777" w:rsidTr="009D5953">
        <w:trPr>
          <w:trHeight w:val="1012"/>
        </w:trPr>
        <w:tc>
          <w:tcPr>
            <w:tcW w:w="356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59C0897B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4A670C66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6E53814A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1493E4BA" w14:textId="154FDF89" w:rsidR="005C507D" w:rsidRPr="005C507D" w:rsidRDefault="00507DD0" w:rsidP="00CF4F1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  <w:r w:rsidR="005C507D" w:rsidRPr="005C507D">
              <w:rPr>
                <w:rFonts w:ascii="Arial" w:hAnsi="Arial" w:cs="Arial"/>
              </w:rPr>
              <w:t xml:space="preserve"> hodnoty dodatečných zakázek, pokud jejich </w:t>
            </w:r>
            <w:r w:rsidR="004B66E0" w:rsidRPr="008079E0">
              <w:rPr>
                <w:rFonts w:ascii="Arial" w:hAnsi="Arial" w:cs="Arial"/>
              </w:rPr>
              <w:t xml:space="preserve">celková </w:t>
            </w:r>
            <w:r w:rsidR="005C507D" w:rsidRPr="005C507D">
              <w:rPr>
                <w:rFonts w:ascii="Arial" w:hAnsi="Arial" w:cs="Arial"/>
              </w:rPr>
              <w:t>hodnota nepřesahuje 50 % hodnoty původní zakázky</w:t>
            </w:r>
            <w:r w:rsidR="00362696">
              <w:rPr>
                <w:rFonts w:ascii="Arial" w:hAnsi="Arial" w:cs="Arial"/>
              </w:rPr>
              <w:t xml:space="preserve"> </w:t>
            </w:r>
            <w:r w:rsidR="00CF4F19" w:rsidRPr="00CF4F19">
              <w:rPr>
                <w:rFonts w:ascii="Arial" w:hAnsi="Arial" w:cs="Arial"/>
              </w:rPr>
              <w:t>a</w:t>
            </w:r>
            <w:r w:rsidR="00CF4F19">
              <w:rPr>
                <w:rFonts w:ascii="Arial" w:hAnsi="Arial" w:cs="Arial"/>
              </w:rPr>
              <w:t> </w:t>
            </w:r>
            <w:r w:rsidR="00CF4F19" w:rsidRPr="00CF4F19">
              <w:rPr>
                <w:rFonts w:ascii="Arial" w:hAnsi="Arial" w:cs="Arial"/>
              </w:rPr>
              <w:t>zároveň</w:t>
            </w:r>
            <w:r w:rsidR="00CF4F19">
              <w:rPr>
                <w:rFonts w:ascii="Arial" w:hAnsi="Arial" w:cs="Arial"/>
              </w:rPr>
              <w:t xml:space="preserve"> nedosahuje</w:t>
            </w:r>
            <w:r w:rsidR="00362696">
              <w:rPr>
                <w:rFonts w:ascii="Arial" w:hAnsi="Arial" w:cs="Arial"/>
              </w:rPr>
              <w:t xml:space="preserve"> finanční</w:t>
            </w:r>
            <w:r w:rsidR="00CF4F19">
              <w:rPr>
                <w:rFonts w:ascii="Arial" w:hAnsi="Arial" w:cs="Arial"/>
              </w:rPr>
              <w:t>ch</w:t>
            </w:r>
            <w:r w:rsidR="00362696">
              <w:rPr>
                <w:rFonts w:ascii="Arial" w:hAnsi="Arial" w:cs="Arial"/>
              </w:rPr>
              <w:t xml:space="preserve"> limit</w:t>
            </w:r>
            <w:r w:rsidR="00CF4F19">
              <w:rPr>
                <w:rFonts w:ascii="Arial" w:hAnsi="Arial" w:cs="Arial"/>
              </w:rPr>
              <w:t>ů stanovených</w:t>
            </w:r>
            <w:r w:rsidR="00362696">
              <w:rPr>
                <w:rFonts w:ascii="Arial" w:hAnsi="Arial" w:cs="Arial"/>
              </w:rPr>
              <w:t xml:space="preserve"> ve směrnici </w:t>
            </w:r>
            <w:r w:rsidR="00362696" w:rsidRPr="00362696">
              <w:rPr>
                <w:rFonts w:ascii="Arial" w:hAnsi="Arial" w:cs="Arial"/>
              </w:rPr>
              <w:t>2014/24/EU</w:t>
            </w:r>
          </w:p>
        </w:tc>
      </w:tr>
      <w:tr w:rsidR="005C507D" w:rsidRPr="008079E0" w14:paraId="2B7ACE6F" w14:textId="77777777" w:rsidTr="009D5953">
        <w:trPr>
          <w:trHeight w:val="20"/>
        </w:trPr>
        <w:tc>
          <w:tcPr>
            <w:tcW w:w="356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7540644D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4254CA3F" w14:textId="64FC4074" w:rsidR="005C507D" w:rsidRPr="005C507D" w:rsidRDefault="005C507D" w:rsidP="00FD4B02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Jiné </w:t>
            </w:r>
            <w:r w:rsidR="004B66E0" w:rsidRPr="008079E0">
              <w:rPr>
                <w:rFonts w:ascii="Arial" w:hAnsi="Arial" w:cs="Arial"/>
              </w:rPr>
              <w:t>pochybení</w:t>
            </w:r>
          </w:p>
        </w:tc>
        <w:tc>
          <w:tcPr>
            <w:tcW w:w="1548" w:type="pct"/>
            <w:vMerge w:val="restar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49DF987F" w14:textId="7AD24A67" w:rsidR="005C507D" w:rsidRPr="005C507D" w:rsidRDefault="005C507D" w:rsidP="00FD4B02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>Zadavatel se dopustil jiného než výše uvedeného pochybení, které mělo nebo mohlo mít vli</w:t>
            </w:r>
            <w:r w:rsidR="00BF60DF">
              <w:rPr>
                <w:rFonts w:ascii="Arial" w:hAnsi="Arial" w:cs="Arial"/>
              </w:rPr>
              <w:t>v na výběr nejvhodnější nabídky, nebo které znemožnilo</w:t>
            </w:r>
            <w:r w:rsidR="00CF4F19">
              <w:rPr>
                <w:rFonts w:ascii="Arial" w:hAnsi="Arial" w:cs="Arial"/>
              </w:rPr>
              <w:t xml:space="preserve"> ověření souladu jeho postupu s </w:t>
            </w:r>
            <w:r w:rsidR="00BF60DF" w:rsidRPr="00BF60DF">
              <w:rPr>
                <w:rFonts w:ascii="Arial" w:hAnsi="Arial" w:cs="Arial"/>
              </w:rPr>
              <w:t>části II, bodu 10</w:t>
            </w:r>
            <w:r w:rsidR="00BF60DF">
              <w:rPr>
                <w:rFonts w:ascii="Arial" w:hAnsi="Arial" w:cs="Arial"/>
              </w:rPr>
              <w:t xml:space="preserve"> tohoto</w:t>
            </w:r>
            <w:r w:rsidR="00BF60DF">
              <w:t xml:space="preserve"> </w:t>
            </w:r>
            <w:r w:rsidR="00CF4F19">
              <w:rPr>
                <w:rFonts w:ascii="Arial" w:hAnsi="Arial" w:cs="Arial"/>
              </w:rPr>
              <w:t>právního aktu o </w:t>
            </w:r>
            <w:r w:rsidR="00BF60DF" w:rsidRPr="00BF60DF">
              <w:rPr>
                <w:rFonts w:ascii="Arial" w:hAnsi="Arial" w:cs="Arial"/>
              </w:rPr>
              <w:t>poskytnutí/převodu podpory</w:t>
            </w:r>
            <w:r w:rsidR="00BF60DF">
              <w:rPr>
                <w:rFonts w:ascii="Arial" w:hAnsi="Arial" w:cs="Arial"/>
              </w:rPr>
              <w:t xml:space="preserve">, včetně neuchování dokumentace o zakázce nebo nezajištění </w:t>
            </w:r>
            <w:r w:rsidR="00FD4B02">
              <w:rPr>
                <w:rFonts w:ascii="Arial" w:hAnsi="Arial" w:cs="Arial"/>
              </w:rPr>
              <w:t>nezbytné</w:t>
            </w:r>
            <w:r w:rsidR="00BF60DF">
              <w:rPr>
                <w:rFonts w:ascii="Arial" w:hAnsi="Arial" w:cs="Arial"/>
              </w:rPr>
              <w:t xml:space="preserve"> auditní stopy.</w:t>
            </w:r>
          </w:p>
        </w:tc>
        <w:tc>
          <w:tcPr>
            <w:tcW w:w="1548" w:type="pct"/>
            <w:tcBorders>
              <w:top w:val="single" w:sz="12" w:space="0" w:color="auto"/>
            </w:tcBorders>
            <w:tcMar>
              <w:top w:w="113" w:type="dxa"/>
              <w:bottom w:w="113" w:type="dxa"/>
            </w:tcMar>
          </w:tcPr>
          <w:p w14:paraId="21EA102A" w14:textId="01B73F15" w:rsidR="005C507D" w:rsidRPr="005C507D" w:rsidRDefault="00507DD0" w:rsidP="009D595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</w:tc>
      </w:tr>
      <w:tr w:rsidR="005C507D" w:rsidRPr="008079E0" w14:paraId="6C0E5D6C" w14:textId="77777777" w:rsidTr="009D5953">
        <w:trPr>
          <w:trHeight w:val="757"/>
        </w:trPr>
        <w:tc>
          <w:tcPr>
            <w:tcW w:w="356" w:type="pct"/>
            <w:vMerge/>
            <w:tcMar>
              <w:top w:w="113" w:type="dxa"/>
              <w:bottom w:w="113" w:type="dxa"/>
            </w:tcMar>
          </w:tcPr>
          <w:p w14:paraId="214E547D" w14:textId="77777777" w:rsidR="005C507D" w:rsidRPr="005C507D" w:rsidRDefault="005C507D" w:rsidP="009D5953">
            <w:pPr>
              <w:widowControl w:val="0"/>
              <w:numPr>
                <w:ilvl w:val="0"/>
                <w:numId w:val="17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pct"/>
            <w:vMerge/>
            <w:tcMar>
              <w:top w:w="113" w:type="dxa"/>
              <w:bottom w:w="113" w:type="dxa"/>
            </w:tcMar>
          </w:tcPr>
          <w:p w14:paraId="550C02EB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vMerge/>
            <w:tcMar>
              <w:top w:w="113" w:type="dxa"/>
              <w:bottom w:w="113" w:type="dxa"/>
            </w:tcMar>
          </w:tcPr>
          <w:p w14:paraId="48D8E476" w14:textId="77777777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48" w:type="pct"/>
            <w:tcMar>
              <w:top w:w="113" w:type="dxa"/>
              <w:bottom w:w="113" w:type="dxa"/>
            </w:tcMar>
          </w:tcPr>
          <w:p w14:paraId="43C15CB5" w14:textId="7012F658" w:rsidR="005C507D" w:rsidRPr="005C507D" w:rsidRDefault="005C507D" w:rsidP="009D5953">
            <w:pPr>
              <w:widowControl w:val="0"/>
              <w:rPr>
                <w:rFonts w:ascii="Arial" w:hAnsi="Arial" w:cs="Arial"/>
              </w:rPr>
            </w:pPr>
            <w:r w:rsidRPr="005C507D">
              <w:rPr>
                <w:rFonts w:ascii="Arial" w:hAnsi="Arial" w:cs="Arial"/>
              </w:rPr>
              <w:t xml:space="preserve">10 % nebo 5 % </w:t>
            </w:r>
            <w:r w:rsidR="00FD4B02">
              <w:rPr>
                <w:rFonts w:ascii="Arial" w:hAnsi="Arial" w:cs="Arial"/>
              </w:rPr>
              <w:t>v případě menší závažnosti pochybení</w:t>
            </w:r>
          </w:p>
        </w:tc>
      </w:tr>
    </w:tbl>
    <w:p w14:paraId="197E50C6" w14:textId="77777777" w:rsidR="005C507D" w:rsidRPr="00F41BA9" w:rsidRDefault="005C507D" w:rsidP="005C507D">
      <w:pPr>
        <w:rPr>
          <w:rFonts w:cs="Arial"/>
        </w:rPr>
      </w:pPr>
    </w:p>
    <w:sectPr w:rsidR="005C507D" w:rsidRPr="00F41BA9" w:rsidSect="009D5953">
      <w:headerReference w:type="default" r:id="rId14"/>
      <w:footerReference w:type="default" r:id="rId15"/>
      <w:pgSz w:w="11906" w:h="16838"/>
      <w:pgMar w:top="1985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AC8AC" w14:textId="77777777" w:rsidR="006E3D2A" w:rsidRDefault="006E3D2A" w:rsidP="003E5669">
      <w:pPr>
        <w:spacing w:after="0" w:line="240" w:lineRule="auto"/>
      </w:pPr>
      <w:r>
        <w:separator/>
      </w:r>
    </w:p>
  </w:endnote>
  <w:endnote w:type="continuationSeparator" w:id="0">
    <w:p w14:paraId="6E580A86" w14:textId="77777777" w:rsidR="006E3D2A" w:rsidRDefault="006E3D2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777812"/>
      <w:docPartObj>
        <w:docPartGallery w:val="Page Numbers (Bottom of Page)"/>
        <w:docPartUnique/>
      </w:docPartObj>
    </w:sdtPr>
    <w:sdtEndPr/>
    <w:sdtContent>
      <w:p w14:paraId="53C12356" w14:textId="07A5EF82" w:rsidR="0051344E" w:rsidRPr="0051344E" w:rsidRDefault="0051344E" w:rsidP="0051344E">
        <w:pPr>
          <w:tabs>
            <w:tab w:val="center" w:pos="4550"/>
            <w:tab w:val="left" w:pos="5818"/>
          </w:tabs>
          <w:ind w:right="260"/>
          <w:jc w:val="right"/>
          <w:rPr>
            <w:color w:val="222A35" w:themeColor="text2" w:themeShade="80"/>
            <w:sz w:val="20"/>
            <w:szCs w:val="20"/>
          </w:rPr>
        </w:pPr>
        <w:r>
          <w:rPr>
            <w:noProof/>
            <w:lang w:eastAsia="cs-CZ"/>
          </w:rPr>
          <w:drawing>
            <wp:inline distT="0" distB="0" distL="0" distR="0" wp14:anchorId="0F7A6ECA" wp14:editId="66F8E5B7">
              <wp:extent cx="4610100" cy="609600"/>
              <wp:effectExtent l="0" t="0" r="0" b="0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AA_logolink_MSMT_VVV_hor_barva_cz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413" t="12037" r="413" b="28704"/>
                      <a:stretch/>
                    </pic:blipFill>
                    <pic:spPr bwMode="auto">
                      <a:xfrm>
                        <a:off x="0" y="0"/>
                        <a:ext cx="461010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51344E">
          <w:rPr>
            <w:color w:val="323E4F" w:themeColor="text2" w:themeShade="BF"/>
            <w:sz w:val="20"/>
            <w:szCs w:val="20"/>
          </w:rPr>
          <w:fldChar w:fldCharType="begin"/>
        </w:r>
        <w:r w:rsidRPr="0051344E">
          <w:rPr>
            <w:color w:val="323E4F" w:themeColor="text2" w:themeShade="BF"/>
            <w:sz w:val="20"/>
            <w:szCs w:val="20"/>
          </w:rPr>
          <w:instrText>PAGE   \* MERGEFORMAT</w:instrText>
        </w:r>
        <w:r w:rsidRPr="0051344E">
          <w:rPr>
            <w:color w:val="323E4F" w:themeColor="text2" w:themeShade="BF"/>
            <w:sz w:val="20"/>
            <w:szCs w:val="20"/>
          </w:rPr>
          <w:fldChar w:fldCharType="separate"/>
        </w:r>
        <w:r w:rsidR="00286E35">
          <w:rPr>
            <w:noProof/>
            <w:color w:val="323E4F" w:themeColor="text2" w:themeShade="BF"/>
            <w:sz w:val="20"/>
            <w:szCs w:val="20"/>
          </w:rPr>
          <w:t>2</w:t>
        </w:r>
        <w:r w:rsidRPr="0051344E">
          <w:rPr>
            <w:color w:val="323E4F" w:themeColor="text2" w:themeShade="BF"/>
            <w:sz w:val="20"/>
            <w:szCs w:val="20"/>
          </w:rPr>
          <w:fldChar w:fldCharType="end"/>
        </w:r>
        <w:r w:rsidRPr="0051344E">
          <w:rPr>
            <w:color w:val="323E4F" w:themeColor="text2" w:themeShade="BF"/>
            <w:sz w:val="20"/>
            <w:szCs w:val="20"/>
          </w:rPr>
          <w:t>|</w:t>
        </w:r>
        <w:r w:rsidRPr="0051344E">
          <w:rPr>
            <w:color w:val="323E4F" w:themeColor="text2" w:themeShade="BF"/>
            <w:sz w:val="20"/>
            <w:szCs w:val="20"/>
          </w:rPr>
          <w:fldChar w:fldCharType="begin"/>
        </w:r>
        <w:r w:rsidRPr="0051344E">
          <w:rPr>
            <w:color w:val="323E4F" w:themeColor="text2" w:themeShade="BF"/>
            <w:sz w:val="20"/>
            <w:szCs w:val="20"/>
          </w:rPr>
          <w:instrText>NUMPAGES  \* Arabic  \* MERGEFORMAT</w:instrText>
        </w:r>
        <w:r w:rsidRPr="0051344E">
          <w:rPr>
            <w:color w:val="323E4F" w:themeColor="text2" w:themeShade="BF"/>
            <w:sz w:val="20"/>
            <w:szCs w:val="20"/>
          </w:rPr>
          <w:fldChar w:fldCharType="separate"/>
        </w:r>
        <w:r w:rsidR="00286E35">
          <w:rPr>
            <w:noProof/>
            <w:color w:val="323E4F" w:themeColor="text2" w:themeShade="BF"/>
            <w:sz w:val="20"/>
            <w:szCs w:val="20"/>
          </w:rPr>
          <w:t>6</w:t>
        </w:r>
        <w:r w:rsidRPr="0051344E">
          <w:rPr>
            <w:color w:val="323E4F" w:themeColor="text2" w:themeShade="BF"/>
            <w:sz w:val="20"/>
            <w:szCs w:val="20"/>
          </w:rPr>
          <w:fldChar w:fldCharType="end"/>
        </w:r>
      </w:p>
      <w:p w14:paraId="591891D5" w14:textId="413327F4" w:rsidR="00956684" w:rsidRDefault="006E3D2A">
        <w:pPr>
          <w:pStyle w:val="Zpat"/>
        </w:pP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865DF" w14:textId="77777777" w:rsidR="006E3D2A" w:rsidRDefault="006E3D2A" w:rsidP="003E5669">
      <w:pPr>
        <w:spacing w:after="0" w:line="240" w:lineRule="auto"/>
      </w:pPr>
      <w:r>
        <w:separator/>
      </w:r>
    </w:p>
  </w:footnote>
  <w:footnote w:type="continuationSeparator" w:id="0">
    <w:p w14:paraId="5B7CB3C7" w14:textId="77777777" w:rsidR="006E3D2A" w:rsidRDefault="006E3D2A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9938" w14:textId="41966543" w:rsidR="003E5669" w:rsidRPr="00E70B97" w:rsidRDefault="00E70B97" w:rsidP="00E70B97">
    <w:pPr>
      <w:pStyle w:val="Zhlav"/>
    </w:pPr>
    <w:r w:rsidRPr="00A516F4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1B7963A" wp14:editId="6C70F78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2375" cy="1063625"/>
          <wp:effectExtent l="0" t="0" r="9525" b="3175"/>
          <wp:wrapSquare wrapText="bothSides"/>
          <wp:docPr id="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268"/>
                  <a:stretch/>
                </pic:blipFill>
                <pic:spPr bwMode="auto">
                  <a:xfrm>
                    <a:off x="0" y="0"/>
                    <a:ext cx="7572375" cy="1063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5D7"/>
    <w:multiLevelType w:val="hybridMultilevel"/>
    <w:tmpl w:val="724A1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17B09"/>
    <w:multiLevelType w:val="hybridMultilevel"/>
    <w:tmpl w:val="DB700E7E"/>
    <w:lvl w:ilvl="0" w:tplc="462EBDB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301B"/>
    <w:multiLevelType w:val="multilevel"/>
    <w:tmpl w:val="F4A86B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1352B"/>
    <w:multiLevelType w:val="hybridMultilevel"/>
    <w:tmpl w:val="ECCC0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555B9"/>
    <w:multiLevelType w:val="hybridMultilevel"/>
    <w:tmpl w:val="1E90E180"/>
    <w:lvl w:ilvl="0" w:tplc="9C0606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0305E"/>
    <w:multiLevelType w:val="hybridMultilevel"/>
    <w:tmpl w:val="766CB0D2"/>
    <w:lvl w:ilvl="0" w:tplc="D63E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C2F9A"/>
    <w:multiLevelType w:val="hybridMultilevel"/>
    <w:tmpl w:val="8D18562C"/>
    <w:lvl w:ilvl="0" w:tplc="6D781A7C">
      <w:start w:val="1"/>
      <w:numFmt w:val="decimal"/>
      <w:pStyle w:val="Normlnodst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E05594C"/>
    <w:multiLevelType w:val="multilevel"/>
    <w:tmpl w:val="7206AC2C"/>
    <w:lvl w:ilvl="0">
      <w:start w:val="1"/>
      <w:numFmt w:val="decimal"/>
      <w:lvlText w:val="%1."/>
      <w:lvlJc w:val="left"/>
      <w:pPr>
        <w:tabs>
          <w:tab w:val="num" w:pos="1135"/>
        </w:tabs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>
    <w:nsid w:val="4FDF61AD"/>
    <w:multiLevelType w:val="hybridMultilevel"/>
    <w:tmpl w:val="DC343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D97081D"/>
    <w:multiLevelType w:val="hybridMultilevel"/>
    <w:tmpl w:val="ECCC0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694F"/>
    <w:multiLevelType w:val="hybridMultilevel"/>
    <w:tmpl w:val="76505314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AA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3"/>
  </w:num>
  <w:num w:numId="11">
    <w:abstractNumId w:val="15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A30"/>
    <w:rsid w:val="00013C25"/>
    <w:rsid w:val="00014060"/>
    <w:rsid w:val="00017467"/>
    <w:rsid w:val="00047DD3"/>
    <w:rsid w:val="00050B95"/>
    <w:rsid w:val="0007286C"/>
    <w:rsid w:val="00085677"/>
    <w:rsid w:val="0008608E"/>
    <w:rsid w:val="00097F27"/>
    <w:rsid w:val="000B62E9"/>
    <w:rsid w:val="000C3B4D"/>
    <w:rsid w:val="000D12AD"/>
    <w:rsid w:val="000D4163"/>
    <w:rsid w:val="000E30BE"/>
    <w:rsid w:val="000E6421"/>
    <w:rsid w:val="0010119D"/>
    <w:rsid w:val="00127380"/>
    <w:rsid w:val="00144921"/>
    <w:rsid w:val="0015445A"/>
    <w:rsid w:val="001575FD"/>
    <w:rsid w:val="001805BB"/>
    <w:rsid w:val="001A5E39"/>
    <w:rsid w:val="001A666D"/>
    <w:rsid w:val="001B3B0D"/>
    <w:rsid w:val="001C54BB"/>
    <w:rsid w:val="001D7A15"/>
    <w:rsid w:val="001F5DD4"/>
    <w:rsid w:val="00203D12"/>
    <w:rsid w:val="002124ED"/>
    <w:rsid w:val="00224322"/>
    <w:rsid w:val="00257CCC"/>
    <w:rsid w:val="00277E50"/>
    <w:rsid w:val="00286E35"/>
    <w:rsid w:val="002A0033"/>
    <w:rsid w:val="002A1F06"/>
    <w:rsid w:val="002A4CEF"/>
    <w:rsid w:val="002B678E"/>
    <w:rsid w:val="002D41EE"/>
    <w:rsid w:val="00307DCA"/>
    <w:rsid w:val="003152C5"/>
    <w:rsid w:val="00332506"/>
    <w:rsid w:val="00362696"/>
    <w:rsid w:val="00385994"/>
    <w:rsid w:val="0039025A"/>
    <w:rsid w:val="003962B8"/>
    <w:rsid w:val="003A05E1"/>
    <w:rsid w:val="003D6FB8"/>
    <w:rsid w:val="003E24B1"/>
    <w:rsid w:val="003E5669"/>
    <w:rsid w:val="004145EF"/>
    <w:rsid w:val="0044144C"/>
    <w:rsid w:val="00443BCC"/>
    <w:rsid w:val="00465A18"/>
    <w:rsid w:val="00466080"/>
    <w:rsid w:val="00470E94"/>
    <w:rsid w:val="00473609"/>
    <w:rsid w:val="004B66E0"/>
    <w:rsid w:val="004E1A6E"/>
    <w:rsid w:val="004E4B16"/>
    <w:rsid w:val="004F7429"/>
    <w:rsid w:val="00507DD0"/>
    <w:rsid w:val="005116A1"/>
    <w:rsid w:val="005123E5"/>
    <w:rsid w:val="0051344E"/>
    <w:rsid w:val="0058140F"/>
    <w:rsid w:val="00582050"/>
    <w:rsid w:val="00594875"/>
    <w:rsid w:val="00595C8D"/>
    <w:rsid w:val="00597342"/>
    <w:rsid w:val="005A6C33"/>
    <w:rsid w:val="005A6F6A"/>
    <w:rsid w:val="005B5063"/>
    <w:rsid w:val="005C507D"/>
    <w:rsid w:val="005D4E37"/>
    <w:rsid w:val="005E0926"/>
    <w:rsid w:val="005E2A78"/>
    <w:rsid w:val="005F25CF"/>
    <w:rsid w:val="00602559"/>
    <w:rsid w:val="0060645C"/>
    <w:rsid w:val="00682EFF"/>
    <w:rsid w:val="0069283B"/>
    <w:rsid w:val="00692E06"/>
    <w:rsid w:val="006A673E"/>
    <w:rsid w:val="006B3073"/>
    <w:rsid w:val="006D5B32"/>
    <w:rsid w:val="006E3D2A"/>
    <w:rsid w:val="00714552"/>
    <w:rsid w:val="007232DC"/>
    <w:rsid w:val="00735AB8"/>
    <w:rsid w:val="00736CF9"/>
    <w:rsid w:val="00753AF2"/>
    <w:rsid w:val="00754B0D"/>
    <w:rsid w:val="00756909"/>
    <w:rsid w:val="0076160E"/>
    <w:rsid w:val="0077685B"/>
    <w:rsid w:val="00790F1F"/>
    <w:rsid w:val="007A5F27"/>
    <w:rsid w:val="007B2EB8"/>
    <w:rsid w:val="007E1715"/>
    <w:rsid w:val="007E44FB"/>
    <w:rsid w:val="007F3D0C"/>
    <w:rsid w:val="007F6CE7"/>
    <w:rsid w:val="008079E0"/>
    <w:rsid w:val="00810872"/>
    <w:rsid w:val="00817755"/>
    <w:rsid w:val="0082014E"/>
    <w:rsid w:val="00826BCF"/>
    <w:rsid w:val="00830633"/>
    <w:rsid w:val="0083206B"/>
    <w:rsid w:val="0084594D"/>
    <w:rsid w:val="008577B5"/>
    <w:rsid w:val="00864B11"/>
    <w:rsid w:val="008675C3"/>
    <w:rsid w:val="00873916"/>
    <w:rsid w:val="00880BFD"/>
    <w:rsid w:val="008861E0"/>
    <w:rsid w:val="008876FC"/>
    <w:rsid w:val="00893855"/>
    <w:rsid w:val="00896AD8"/>
    <w:rsid w:val="0090798F"/>
    <w:rsid w:val="00910CFB"/>
    <w:rsid w:val="00916824"/>
    <w:rsid w:val="00956684"/>
    <w:rsid w:val="00971157"/>
    <w:rsid w:val="009767BC"/>
    <w:rsid w:val="00976868"/>
    <w:rsid w:val="009913FB"/>
    <w:rsid w:val="00994F50"/>
    <w:rsid w:val="009B42DF"/>
    <w:rsid w:val="009D3905"/>
    <w:rsid w:val="009D5953"/>
    <w:rsid w:val="009E39D3"/>
    <w:rsid w:val="009E754B"/>
    <w:rsid w:val="00A22A65"/>
    <w:rsid w:val="00A32B38"/>
    <w:rsid w:val="00A36A64"/>
    <w:rsid w:val="00A51BD9"/>
    <w:rsid w:val="00A57CF8"/>
    <w:rsid w:val="00A738A3"/>
    <w:rsid w:val="00A870C9"/>
    <w:rsid w:val="00A970EA"/>
    <w:rsid w:val="00AA5EEC"/>
    <w:rsid w:val="00AC39B6"/>
    <w:rsid w:val="00B0591C"/>
    <w:rsid w:val="00B379F3"/>
    <w:rsid w:val="00B46755"/>
    <w:rsid w:val="00B54D86"/>
    <w:rsid w:val="00B8645C"/>
    <w:rsid w:val="00B93BD4"/>
    <w:rsid w:val="00B9462A"/>
    <w:rsid w:val="00B96038"/>
    <w:rsid w:val="00B9767B"/>
    <w:rsid w:val="00BA7136"/>
    <w:rsid w:val="00BB5FBC"/>
    <w:rsid w:val="00BC1D13"/>
    <w:rsid w:val="00BC273F"/>
    <w:rsid w:val="00BD38CD"/>
    <w:rsid w:val="00BD4B4D"/>
    <w:rsid w:val="00BD761C"/>
    <w:rsid w:val="00BF5651"/>
    <w:rsid w:val="00BF60DF"/>
    <w:rsid w:val="00C03D71"/>
    <w:rsid w:val="00C040F1"/>
    <w:rsid w:val="00C142E6"/>
    <w:rsid w:val="00C35A7E"/>
    <w:rsid w:val="00C37E06"/>
    <w:rsid w:val="00C46F61"/>
    <w:rsid w:val="00C61778"/>
    <w:rsid w:val="00C6334D"/>
    <w:rsid w:val="00C67773"/>
    <w:rsid w:val="00C72055"/>
    <w:rsid w:val="00C769F5"/>
    <w:rsid w:val="00C80CC3"/>
    <w:rsid w:val="00C82DEC"/>
    <w:rsid w:val="00C85FA5"/>
    <w:rsid w:val="00C908BD"/>
    <w:rsid w:val="00CC03E0"/>
    <w:rsid w:val="00CC39ED"/>
    <w:rsid w:val="00CD06F3"/>
    <w:rsid w:val="00CD295B"/>
    <w:rsid w:val="00CD497D"/>
    <w:rsid w:val="00CF4F19"/>
    <w:rsid w:val="00D00001"/>
    <w:rsid w:val="00D04726"/>
    <w:rsid w:val="00D20F97"/>
    <w:rsid w:val="00D2628B"/>
    <w:rsid w:val="00D357EB"/>
    <w:rsid w:val="00D630D1"/>
    <w:rsid w:val="00D7042F"/>
    <w:rsid w:val="00D832B5"/>
    <w:rsid w:val="00D91F04"/>
    <w:rsid w:val="00D91F57"/>
    <w:rsid w:val="00D927D7"/>
    <w:rsid w:val="00D94515"/>
    <w:rsid w:val="00DB7357"/>
    <w:rsid w:val="00DD0600"/>
    <w:rsid w:val="00DE5778"/>
    <w:rsid w:val="00DE64C6"/>
    <w:rsid w:val="00E152DC"/>
    <w:rsid w:val="00E15688"/>
    <w:rsid w:val="00E15FDB"/>
    <w:rsid w:val="00E4110A"/>
    <w:rsid w:val="00E509B0"/>
    <w:rsid w:val="00E70B97"/>
    <w:rsid w:val="00E77F80"/>
    <w:rsid w:val="00E9129C"/>
    <w:rsid w:val="00EA5546"/>
    <w:rsid w:val="00EA7354"/>
    <w:rsid w:val="00EB48A1"/>
    <w:rsid w:val="00EC2C97"/>
    <w:rsid w:val="00ED0DE1"/>
    <w:rsid w:val="00ED3E84"/>
    <w:rsid w:val="00EE4ABE"/>
    <w:rsid w:val="00EE6288"/>
    <w:rsid w:val="00EE6396"/>
    <w:rsid w:val="00EF170D"/>
    <w:rsid w:val="00EF3F0C"/>
    <w:rsid w:val="00F05723"/>
    <w:rsid w:val="00F1766B"/>
    <w:rsid w:val="00F26337"/>
    <w:rsid w:val="00F310F0"/>
    <w:rsid w:val="00F317B9"/>
    <w:rsid w:val="00F41BA9"/>
    <w:rsid w:val="00F476FD"/>
    <w:rsid w:val="00F618AF"/>
    <w:rsid w:val="00F76332"/>
    <w:rsid w:val="00F834D5"/>
    <w:rsid w:val="00F845F8"/>
    <w:rsid w:val="00F8771D"/>
    <w:rsid w:val="00F97BC4"/>
    <w:rsid w:val="00FA446E"/>
    <w:rsid w:val="00FC3C6D"/>
    <w:rsid w:val="00FD4B02"/>
    <w:rsid w:val="00FD4E88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B9462A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62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B9462A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9462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link w:val="Odstavecseseznamem"/>
    <w:rsid w:val="00F26337"/>
  </w:style>
  <w:style w:type="paragraph" w:customStyle="1" w:styleId="Mjstyl3">
    <w:name w:val="Můj styl 3"/>
    <w:basedOn w:val="Normln"/>
    <w:next w:val="Normln"/>
    <w:qFormat/>
    <w:rsid w:val="00F26337"/>
    <w:pPr>
      <w:numPr>
        <w:ilvl w:val="1"/>
        <w:numId w:val="6"/>
      </w:numPr>
      <w:spacing w:before="120" w:after="120" w:line="240" w:lineRule="auto"/>
      <w:jc w:val="both"/>
    </w:pPr>
    <w:rPr>
      <w:rFonts w:eastAsia="Times New Roman" w:cs="Arial"/>
      <w:lang w:eastAsia="cs-CZ"/>
    </w:rPr>
  </w:style>
  <w:style w:type="character" w:customStyle="1" w:styleId="hps">
    <w:name w:val="hps"/>
    <w:rsid w:val="00F26337"/>
    <w:rPr>
      <w:shd w:val="clear" w:color="auto" w:fill="auto"/>
    </w:rPr>
  </w:style>
  <w:style w:type="paragraph" w:styleId="Zkladntext">
    <w:name w:val="Body Text"/>
    <w:basedOn w:val="Normln"/>
    <w:next w:val="Normln"/>
    <w:link w:val="ZkladntextChar"/>
    <w:unhideWhenUsed/>
    <w:rsid w:val="00F26337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26337"/>
    <w:rPr>
      <w:rFonts w:ascii="TimesNewRoman" w:eastAsia="Times New Roman" w:hAnsi="TimesNewRoman" w:cs="Arial"/>
      <w:sz w:val="24"/>
      <w:szCs w:val="20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qFormat/>
    <w:rsid w:val="00F26337"/>
    <w:pPr>
      <w:keepLines/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F263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0">
    <w:name w:val="Default"/>
    <w:rsid w:val="0087391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Znakapoznpodarou">
    <w:name w:val="footnote reference"/>
    <w:basedOn w:val="Standardnpsmoodstavce"/>
    <w:rsid w:val="00B54D86"/>
    <w:rPr>
      <w:rFonts w:cs="Times New Roman"/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5C507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C507D"/>
    <w:pPr>
      <w:numPr>
        <w:numId w:val="15"/>
      </w:numPr>
      <w:spacing w:after="120" w:line="240" w:lineRule="auto"/>
      <w:contextualSpacing w:val="0"/>
      <w:jc w:val="both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B9462A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62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B9462A"/>
    <w:rPr>
      <w:rFonts w:ascii="Arial" w:eastAsiaTheme="majorEastAsia" w:hAnsi="Arial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9462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link w:val="Odstavecseseznamem"/>
    <w:rsid w:val="00F26337"/>
  </w:style>
  <w:style w:type="paragraph" w:customStyle="1" w:styleId="Mjstyl3">
    <w:name w:val="Můj styl 3"/>
    <w:basedOn w:val="Normln"/>
    <w:next w:val="Normln"/>
    <w:qFormat/>
    <w:rsid w:val="00F26337"/>
    <w:pPr>
      <w:numPr>
        <w:ilvl w:val="1"/>
        <w:numId w:val="6"/>
      </w:numPr>
      <w:spacing w:before="120" w:after="120" w:line="240" w:lineRule="auto"/>
      <w:jc w:val="both"/>
    </w:pPr>
    <w:rPr>
      <w:rFonts w:eastAsia="Times New Roman" w:cs="Arial"/>
      <w:lang w:eastAsia="cs-CZ"/>
    </w:rPr>
  </w:style>
  <w:style w:type="character" w:customStyle="1" w:styleId="hps">
    <w:name w:val="hps"/>
    <w:rsid w:val="00F26337"/>
    <w:rPr>
      <w:shd w:val="clear" w:color="auto" w:fill="auto"/>
    </w:rPr>
  </w:style>
  <w:style w:type="paragraph" w:styleId="Zkladntext">
    <w:name w:val="Body Text"/>
    <w:basedOn w:val="Normln"/>
    <w:next w:val="Normln"/>
    <w:link w:val="ZkladntextChar"/>
    <w:unhideWhenUsed/>
    <w:rsid w:val="00F26337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26337"/>
    <w:rPr>
      <w:rFonts w:ascii="TimesNewRoman" w:eastAsia="Times New Roman" w:hAnsi="TimesNewRoman" w:cs="Arial"/>
      <w:sz w:val="24"/>
      <w:szCs w:val="20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qFormat/>
    <w:rsid w:val="00F26337"/>
    <w:pPr>
      <w:keepLines/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F263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0">
    <w:name w:val="Default"/>
    <w:rsid w:val="0087391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Znakapoznpodarou">
    <w:name w:val="footnote reference"/>
    <w:basedOn w:val="Standardnpsmoodstavce"/>
    <w:rsid w:val="00B54D86"/>
    <w:rPr>
      <w:rFonts w:cs="Times New Roman"/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5C507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t">
    <w:name w:val="Normální_odst"/>
    <w:basedOn w:val="Odstavecseseznamem"/>
    <w:qFormat/>
    <w:rsid w:val="005C507D"/>
    <w:pPr>
      <w:numPr>
        <w:numId w:val="15"/>
      </w:numPr>
      <w:spacing w:after="120" w:line="240" w:lineRule="auto"/>
      <w:contextualSpacing w:val="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15OPMSMT0001-3-2895</_dlc_DocId>
    <_dlc_DocIdUrl xmlns="0104a4cd-1400-468e-be1b-c7aad71d7d5a">
      <Url>https://op.msmt.cz/_layouts/15/DocIdRedir.aspx?ID=15OPMSMT0001-3-2895</Url>
      <Description>15OPMSMT0001-3-2895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0E0052-DE87-44A0-A276-9603E727AAC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87D291E-C7F3-4B09-8197-36633409D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D1A8EAB-C085-445C-95E6-7BA85221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k provádění aktualizací</dc:description>
  <cp:lastModifiedBy>Skola</cp:lastModifiedBy>
  <cp:revision>2</cp:revision>
  <cp:lastPrinted>2016-08-08T11:49:00Z</cp:lastPrinted>
  <dcterms:created xsi:type="dcterms:W3CDTF">2017-06-28T07:29:00Z</dcterms:created>
  <dcterms:modified xsi:type="dcterms:W3CDTF">2017-06-28T07:29:00Z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0467bb3b-8750-4756-9c1d-58bd2e8734a8</vt:lpwstr>
  </property>
  <property fmtid="{D5CDD505-2E9C-101B-9397-08002B2CF9AE}" pid="4" name="Komentář">
    <vt:lpwstr/>
  </property>
</Properties>
</file>