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e69065a5549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e3911e06ea064eee"/>
      <w:footerReference w:type="even" r:id="R3bbd45fac7ce4499"/>
      <w:footerReference w:type="first" r:id="Re78df6fddd344bde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7d13e4fecf4a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37/2024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GORDIC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Erbenova 2108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58601, Jihlava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47903783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CZ47903783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GINIS - navýšení počtu zdr.licencí pro moduly SPI, ESR, RAK dle skutečnosti.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74 340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15 611,40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89 951,40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 týdny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15. 2. 2024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bee6cb0234df9" /><Relationship Type="http://schemas.openxmlformats.org/officeDocument/2006/relationships/numbering" Target="/word/numbering.xml" Id="R707ced4e014e407f" /><Relationship Type="http://schemas.openxmlformats.org/officeDocument/2006/relationships/settings" Target="/word/settings.xml" Id="R14841fa62a664717" /><Relationship Type="http://schemas.openxmlformats.org/officeDocument/2006/relationships/image" Target="/word/media/00b3e753-436f-4315-8de0-9902f6a6d664.jpeg" Id="R077d13e4fecf4af3" /><Relationship Type="http://schemas.openxmlformats.org/officeDocument/2006/relationships/footer" Target="/word/footer1.xml" Id="Re3911e06ea064eee" /><Relationship Type="http://schemas.openxmlformats.org/officeDocument/2006/relationships/footer" Target="/word/footer2.xml" Id="R3bbd45fac7ce4499" /><Relationship Type="http://schemas.openxmlformats.org/officeDocument/2006/relationships/footer" Target="/word/footer3.xml" Id="Re78df6fddd344bde" /></Relationships>
</file>