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r w:rsidRPr="002D0D37">
        <w:rPr>
          <w:rFonts w:ascii="Arial" w:hAnsi="Arial" w:cs="Arial"/>
          <w:b/>
          <w:sz w:val="36"/>
          <w:szCs w:val="36"/>
        </w:rPr>
        <w:t>s.p</w:t>
      </w:r>
      <w:proofErr w:type="spellEnd"/>
      <w:r w:rsidRPr="002D0D37">
        <w:rPr>
          <w:rFonts w:ascii="Arial" w:hAnsi="Arial" w:cs="Arial"/>
          <w:b/>
          <w:sz w:val="36"/>
          <w:szCs w:val="36"/>
        </w:rPr>
        <w:t>.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Pr="002D0D37">
        <w:rPr>
          <w:rFonts w:ascii="Times New Roman" w:hAnsi="Times New Roman"/>
          <w:bCs w:val="0"/>
          <w:color w:val="auto"/>
          <w:sz w:val="22"/>
          <w:lang w:val="cs-CZ" w:eastAsia="cs-CZ"/>
        </w:rPr>
        <w:t xml:space="preserve">ástupce </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r w:rsidRPr="002D0D37">
        <w:rPr>
          <w:szCs w:val="22"/>
        </w:rPr>
        <w:t>s.p</w:t>
      </w:r>
      <w:proofErr w:type="spell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D80E55">
        <w:t xml:space="preserve">Obce </w:t>
      </w:r>
      <w:r w:rsidR="00BC3EA3">
        <w:t xml:space="preserve">Dolní </w:t>
      </w:r>
      <w:proofErr w:type="spellStart"/>
      <w:r w:rsidR="00BC3EA3">
        <w:t>Domaslavice</w:t>
      </w:r>
      <w:proofErr w:type="spellEnd"/>
      <w:r w:rsidR="00BC3EA3">
        <w:t xml:space="preserve"> </w:t>
      </w:r>
      <w:bookmarkStart w:id="1" w:name="_GoBack"/>
      <w:bookmarkEnd w:id="1"/>
      <w:r w:rsidRPr="002D0D37">
        <w:t xml:space="preserve">(dále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bezpečnostním trezorem (dále jen trezor), pomůckami a inventářem uvedenými v Příloze č. 5 Smlouvy</w:t>
      </w:r>
    </w:p>
    <w:p w:rsidR="002D61D4" w:rsidRDefault="002D61D4" w:rsidP="00284FC9">
      <w:pPr>
        <w:pStyle w:val="Zkladntext2"/>
        <w:numPr>
          <w:ilvl w:val="3"/>
          <w:numId w:val="30"/>
        </w:numPr>
        <w:spacing w:after="120" w:line="260" w:lineRule="exact"/>
        <w:ind w:left="1418" w:hanging="284"/>
        <w:rPr>
          <w:szCs w:val="22"/>
        </w:rPr>
      </w:pPr>
      <w:r w:rsidRPr="002D0D37">
        <w:rPr>
          <w:szCs w:val="22"/>
        </w:rPr>
        <w:t>výpočetní technikou vybavenou příslušným softwarem uvedenou v Příloze č. 6 Smlouvy</w:t>
      </w:r>
    </w:p>
    <w:p w:rsidR="007A471B" w:rsidRPr="007A471B" w:rsidRDefault="007A471B" w:rsidP="00284FC9">
      <w:pPr>
        <w:pStyle w:val="Zkladntext2"/>
        <w:numPr>
          <w:ilvl w:val="3"/>
          <w:numId w:val="30"/>
        </w:numPr>
        <w:spacing w:after="120" w:line="260" w:lineRule="exact"/>
        <w:ind w:left="1418" w:hanging="284"/>
        <w:rPr>
          <w:szCs w:val="22"/>
        </w:rPr>
      </w:pPr>
      <w:r w:rsidRPr="007A471B">
        <w:rPr>
          <w:szCs w:val="22"/>
        </w:rPr>
        <w:t>XXXXXXXXXXXXXXXXXXXXXXXXXXXXXXXXXXXXXXXXXX</w:t>
      </w:r>
    </w:p>
    <w:p w:rsidR="007A471B" w:rsidRPr="007A471B" w:rsidRDefault="002D61D4" w:rsidP="00284FC9">
      <w:pPr>
        <w:pStyle w:val="Zkladntext2"/>
        <w:numPr>
          <w:ilvl w:val="1"/>
          <w:numId w:val="28"/>
        </w:numPr>
        <w:spacing w:after="120" w:line="260" w:lineRule="exact"/>
        <w:ind w:left="624" w:hanging="624"/>
        <w:rPr>
          <w:b/>
          <w:szCs w:val="22"/>
        </w:rPr>
      </w:pPr>
      <w:r w:rsidRPr="007A471B">
        <w:rPr>
          <w:szCs w:val="22"/>
        </w:rPr>
        <w:t>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r w:rsidR="007A471B">
        <w:rPr>
          <w:szCs w:val="22"/>
        </w:rPr>
        <w:t xml:space="preserve"> XXXXXXXXX   XXXXXXXXXX  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předmět výpůjčky (veškeré vybavení dle odst. 1 tohoto článku) vrátit neprodleně po ukončení provozu Partnera.</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Zástupce se zavazuje zajistit připojení Partnera do Datové sítě ČP – vnitropodnikového Intranetu podle odst. 1 tohoto článku v souladu s bezpečnostními a technickými požadavky ČP uvedenými v Příloze č. 11 Smlouvy po celou dobu trvání smluvního vztahu založeného touto Smlouvou připojení Partnera do Datové sítě ČP – vnitropodnikového Intranetu. ČP může kdykoliv za trvání smluvního vztahu založeného touto Smlouvou rozhodnout, že připojení Partnera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2 Smlouvy služby uvedené v Příloze č. 2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2D0D37">
        <w:rPr>
          <w:szCs w:val="22"/>
        </w:rPr>
        <w:lastRenderedPageBreak/>
        <w:t xml:space="preserve">službu </w:t>
      </w:r>
      <w:proofErr w:type="spellStart"/>
      <w:r w:rsidRPr="002D0D37">
        <w:rPr>
          <w:szCs w:val="22"/>
        </w:rPr>
        <w:t>CashBack</w:t>
      </w:r>
      <w:proofErr w:type="spellEnd"/>
      <w:r w:rsidRPr="002D0D37">
        <w:rPr>
          <w:szCs w:val="22"/>
        </w:rPr>
        <w:t xml:space="preserve">,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 poskytování služeb podle Smlouvy dodržovat ČP stanovený minimální rozsah otevíracích hodin pro veřejnost v rozsahu stanoveném v Příloze č. 7 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7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která tvoří přílohu č. 8 Smlouvy. </w:t>
      </w:r>
    </w:p>
    <w:p w:rsidR="002D61D4" w:rsidRPr="007A471B" w:rsidRDefault="002D61D4" w:rsidP="002D61D4">
      <w:pPr>
        <w:pStyle w:val="Zkladntext2"/>
        <w:numPr>
          <w:ilvl w:val="1"/>
          <w:numId w:val="36"/>
        </w:numPr>
        <w:spacing w:after="120" w:line="260" w:lineRule="exact"/>
        <w:ind w:left="624" w:hanging="624"/>
        <w:rPr>
          <w:szCs w:val="22"/>
        </w:rPr>
      </w:pPr>
      <w:r w:rsidRPr="002D0D37">
        <w:rPr>
          <w:szCs w:val="22"/>
        </w:rPr>
        <w:t xml:space="preserve">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w:t>
      </w:r>
      <w:r w:rsidRPr="007A471B">
        <w:rPr>
          <w:szCs w:val="22"/>
        </w:rPr>
        <w:t>neuplatní.</w:t>
      </w:r>
    </w:p>
    <w:p w:rsidR="002D61D4" w:rsidRPr="002D0D37" w:rsidRDefault="007A471B" w:rsidP="00284FC9">
      <w:pPr>
        <w:pStyle w:val="Zkladntext2"/>
        <w:numPr>
          <w:ilvl w:val="1"/>
          <w:numId w:val="36"/>
        </w:numPr>
        <w:spacing w:after="120" w:line="260" w:lineRule="exact"/>
        <w:ind w:left="624" w:hanging="624"/>
        <w:rPr>
          <w:szCs w:val="22"/>
        </w:rPr>
      </w:pPr>
      <w:r w:rsidRPr="007A471B">
        <w:rPr>
          <w:szCs w:val="22"/>
        </w:rPr>
        <w:t>XXXXXXXXXXXXXXXXXXXXXXXXXXXXXXXXXXXXXXXXXXXXXXXXXXXXXXXXXXXXXXXXXXXXXXXXXXXXXXXXXXXXXXXXXXXXXXXXXXXXXXXXXXXXXXXXXXXXXXXXXXXXXXXXXXXXXXXXXXXXXXXXXXXXXXXXXXXXXXXXXXXXXXXXXXXXXX</w:t>
      </w:r>
      <w:r w:rsidRPr="007A471B">
        <w:rPr>
          <w:szCs w:val="22"/>
        </w:rPr>
        <w:lastRenderedPageBreak/>
        <w:t>XXXXXXXXXXXXXXXXXXXXXXXXXXXXXXXXXXXXXXXXXXXXXXXXXXXXXXXXXXXXXXXXXXXXXXXXXXXXXXXXXXXXXXXXXXXXXXXXXXXXXXXXXXXXXXXXXXXXXXXXXXXXXXXXXXXXXXXXXXXXXXXXXXXXXXXXXXXXXXXXXXXXXXXXXXXXXXXXXXXXXXXXXXXXXXXXXXXXXX</w:t>
      </w:r>
      <w:r w:rsidRPr="007A471B">
        <w:rPr>
          <w:sz w:val="20"/>
          <w:szCs w:val="22"/>
        </w:rPr>
        <w:t>X</w:t>
      </w:r>
      <w:r w:rsidRPr="007A471B">
        <w:rPr>
          <w:szCs w:val="22"/>
        </w:rPr>
        <w:t>XXXXXXXXXXXXXXXXXXXXXXXXXXXXXXXXXXXXXXXXXXXXXXXXXXXXXXXXXXXXXXXXXXXXXXXXXXXXXXXXXXXXXXXXXXX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Příloze č. 8 Smlouvy.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která tvoří přílohu č. 8 Smlouvy.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12 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12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lastRenderedPageBreak/>
        <w:t xml:space="preserve">V případě, že má Zástupce v úmyslu provádět reklamu podle čl. 3 odst. 24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Žádosti o schválení obsahové a vizuální stránky reklamy, doby jejího trvání a způsobu jejího užití ve smyslu čl. 3 odst. 25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w:t>
      </w:r>
      <w:proofErr w:type="spellStart"/>
      <w:r w:rsidRPr="002D0D37">
        <w:rPr>
          <w:szCs w:val="22"/>
        </w:rPr>
        <w:t>s.p</w:t>
      </w:r>
      <w:proofErr w:type="spellEnd"/>
      <w:r w:rsidRPr="002D0D37">
        <w:rPr>
          <w:szCs w:val="22"/>
        </w:rPr>
        <w:t xml:space="preserve">.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2D61D4" w:rsidRPr="007A471B" w:rsidRDefault="002D61D4" w:rsidP="002D61D4">
      <w:pPr>
        <w:pStyle w:val="Zkladntext2"/>
        <w:spacing w:after="120" w:line="260" w:lineRule="exact"/>
        <w:ind w:left="567"/>
        <w:rPr>
          <w:szCs w:val="22"/>
          <w:u w:val="single"/>
        </w:rPr>
      </w:pPr>
      <w:r w:rsidRPr="002D0D37">
        <w:rPr>
          <w:szCs w:val="22"/>
        </w:rPr>
        <w:t xml:space="preserve">V případě, že návrh reklamy nepřesahuje v elektronické podobě objem 10 MB, je Zástupce oprávněn zaslat jej pouze v elektronické podobě e-mailem na adresu </w:t>
      </w:r>
      <w:hyperlink r:id="rId8" w:history="1">
        <w:r w:rsidR="007A471B" w:rsidRPr="007A471B">
          <w:rPr>
            <w:rStyle w:val="Hypertextovodkaz"/>
            <w:color w:val="auto"/>
            <w:szCs w:val="22"/>
          </w:rPr>
          <w:t>XXXXXXXXXXXXX</w:t>
        </w:r>
      </w:hyperlink>
      <w:r w:rsidRPr="007A471B">
        <w:rPr>
          <w:szCs w:val="22"/>
          <w:u w:val="single"/>
        </w:rPr>
        <w:t>.</w:t>
      </w:r>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12 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r w:rsidRPr="002D0D37">
        <w:t>s.p</w:t>
      </w:r>
      <w:proofErr w:type="spellEnd"/>
      <w:r w:rsidRPr="002D0D37">
        <w:t xml:space="preserve">. (dále jen „Etický kodex“).Zástupce má povinnost seznámit se s Etickým kodexem, který je přílohou č. 13 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14 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7A471B"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w:t>
      </w:r>
      <w:r w:rsidRPr="002D0D37">
        <w:lastRenderedPageBreak/>
        <w:t xml:space="preserve">vztahů Smluvních stran v souvislosti s předmětem této Smlouvy, anebo obsahu práv a povinností </w:t>
      </w:r>
      <w:r w:rsidRPr="007A471B">
        <w:t xml:space="preserve">Zástupce na základě této Smlouvy.  </w:t>
      </w:r>
    </w:p>
    <w:p w:rsidR="002D61D4" w:rsidRPr="007A471B" w:rsidRDefault="007A471B" w:rsidP="002D61D4">
      <w:pPr>
        <w:pStyle w:val="Zkladntext2"/>
        <w:numPr>
          <w:ilvl w:val="1"/>
          <w:numId w:val="36"/>
        </w:numPr>
        <w:spacing w:after="120" w:line="260" w:lineRule="exact"/>
        <w:ind w:left="624" w:hanging="624"/>
      </w:pPr>
      <w:r w:rsidRPr="007A471B">
        <w:t>XXXXXXXXXXXXXXXXXXXXXXXXXXXXXXXXXXXXXXXXXXXXXXXXXXXXXXXXXXXXXXXXXXXXXXXXX</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007A471B">
        <w:rPr>
          <w:szCs w:val="22"/>
        </w:rPr>
        <w:t>XXXXXXXX</w:t>
      </w:r>
      <w:r w:rsidR="00B53CB2">
        <w:rPr>
          <w:szCs w:val="22"/>
        </w:rPr>
        <w:t xml:space="preserve"> </w:t>
      </w:r>
      <w:r w:rsidR="007A471B">
        <w:rPr>
          <w:szCs w:val="22"/>
        </w:rPr>
        <w:t>XXXXXXXXXXXXXXXXXXXXXXXXXXXXXXXXXXXXXXXX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předávat Zástupci zásilky, peněžní prostředky, doklady a další věci předávané v souvislosti s poskytováním ujednaných služeb, prostřednictvím stanoveného pracovníka ČP v dohodnutých časech uvedených v Příloze č. 7 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7A471B" w:rsidRDefault="007A471B" w:rsidP="002D61D4">
      <w:pPr>
        <w:pStyle w:val="Zkladntext2"/>
        <w:numPr>
          <w:ilvl w:val="1"/>
          <w:numId w:val="31"/>
        </w:numPr>
        <w:spacing w:after="120" w:line="260" w:lineRule="exact"/>
        <w:ind w:left="624" w:hanging="624"/>
        <w:rPr>
          <w:szCs w:val="22"/>
        </w:rPr>
      </w:pPr>
      <w:r w:rsidRPr="007A471B">
        <w:rPr>
          <w:szCs w:val="22"/>
        </w:rPr>
        <w:t>XXXXXXXXXXXXXXXXXXXXXXXXXXXXXXXXXXXXXXXXXXXXXXXXXXXX</w:t>
      </w:r>
      <w:r w:rsidR="002D61D4" w:rsidRPr="007A471B">
        <w:rPr>
          <w:b/>
        </w:rPr>
        <w:t>.</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15 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2D0D37" w:rsidRDefault="002D61D4" w:rsidP="002D61D4">
      <w:pPr>
        <w:pStyle w:val="cpodstavecslovan"/>
        <w:numPr>
          <w:ilvl w:val="1"/>
          <w:numId w:val="32"/>
        </w:numPr>
        <w:spacing w:after="120"/>
        <w:ind w:left="624" w:hanging="624"/>
        <w:rPr>
          <w:color w:val="1F497D"/>
        </w:rPr>
      </w:pPr>
      <w:r w:rsidRPr="002D0D37">
        <w:t xml:space="preserve">Zástupce je povinen využívat zapůjčenou výpočetní techniku a softwarové vybavení dle Přílohy č. 6 Smlouvy pouze k činnostem dle Smlouvy, Zástupce je dále povinen neinstalovat, nereinstalovat a </w:t>
      </w:r>
      <w:r w:rsidRPr="002D0D37">
        <w:lastRenderedPageBreak/>
        <w:t>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2"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2"/>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lastRenderedPageBreak/>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w:t>
      </w:r>
      <w:r w:rsidRPr="002D0D37">
        <w:rPr>
          <w:szCs w:val="22"/>
        </w:rPr>
        <w:lastRenderedPageBreak/>
        <w:t>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73" w:rsidRDefault="00B10073" w:rsidP="00E26E3A">
      <w:pPr>
        <w:spacing w:line="240" w:lineRule="auto"/>
      </w:pPr>
      <w:r>
        <w:separator/>
      </w:r>
    </w:p>
  </w:endnote>
  <w:endnote w:type="continuationSeparator" w:id="0">
    <w:p w:rsidR="00B10073" w:rsidRDefault="00B10073"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BC3EA3">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BC3EA3">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73" w:rsidRDefault="00B10073" w:rsidP="00E26E3A">
      <w:pPr>
        <w:spacing w:line="240" w:lineRule="auto"/>
      </w:pPr>
      <w:r>
        <w:separator/>
      </w:r>
    </w:p>
  </w:footnote>
  <w:footnote w:type="continuationSeparator" w:id="0">
    <w:p w:rsidR="00B10073" w:rsidRDefault="00B10073"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0DA8A41A" wp14:editId="19AC4414">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00BC6373" wp14:editId="563FDE62">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6B434ADD" wp14:editId="0F9BEFDB">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r w:rsidR="00CD0590">
      <w:rPr>
        <w:color w:val="002776"/>
        <w:lang w:val="cs-CZ"/>
      </w:rPr>
      <w:t xml:space="preserve">                                                                     partner </w:t>
    </w:r>
    <w:r w:rsidR="00BC3EA3">
      <w:rPr>
        <w:color w:val="002776"/>
        <w:lang w:val="cs-CZ"/>
      </w:rPr>
      <w:t>–</w:t>
    </w:r>
    <w:r w:rsidR="00CD0590">
      <w:rPr>
        <w:color w:val="002776"/>
        <w:lang w:val="cs-CZ"/>
      </w:rPr>
      <w:t xml:space="preserve"> </w:t>
    </w:r>
    <w:r w:rsidR="00BC3EA3">
      <w:rPr>
        <w:color w:val="002776"/>
        <w:lang w:val="cs-CZ"/>
      </w:rPr>
      <w:t xml:space="preserve">Dolní </w:t>
    </w:r>
    <w:proofErr w:type="spellStart"/>
    <w:r w:rsidR="00BC3EA3">
      <w:rPr>
        <w:color w:val="002776"/>
        <w:lang w:val="cs-CZ"/>
      </w:rPr>
      <w:t>Domaslavice</w:t>
    </w:r>
    <w:proofErr w:type="spellEnd"/>
    <w:r w:rsidR="00BC3EA3">
      <w:rPr>
        <w:color w:val="002776"/>
        <w:lang w:val="cs-CZ"/>
      </w:rPr>
      <w:t xml:space="preserve"> </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r>
      <w:rPr>
        <w:b/>
        <w:color w:val="002776"/>
        <w:lang w:val="cs-CZ"/>
      </w:rPr>
      <w:t>s.p</w:t>
    </w:r>
    <w:proofErr w:type="spellEnd"/>
    <w:r>
      <w:rPr>
        <w:b/>
        <w:color w:val="002776"/>
        <w:lang w:val="cs-CZ"/>
      </w:rPr>
      <w:t>.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2F8C"/>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394A"/>
    <w:rsid w:val="00166018"/>
    <w:rsid w:val="00166B5C"/>
    <w:rsid w:val="00171DE6"/>
    <w:rsid w:val="001846C1"/>
    <w:rsid w:val="001903EC"/>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1F82"/>
    <w:rsid w:val="00254604"/>
    <w:rsid w:val="00271EEE"/>
    <w:rsid w:val="00280271"/>
    <w:rsid w:val="002836C4"/>
    <w:rsid w:val="00284F44"/>
    <w:rsid w:val="00284FC9"/>
    <w:rsid w:val="002864E3"/>
    <w:rsid w:val="002A205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5756B"/>
    <w:rsid w:val="00360657"/>
    <w:rsid w:val="00364DFD"/>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33307"/>
    <w:rsid w:val="00766638"/>
    <w:rsid w:val="00766A20"/>
    <w:rsid w:val="007670D1"/>
    <w:rsid w:val="00777BF3"/>
    <w:rsid w:val="007836DF"/>
    <w:rsid w:val="00783EFA"/>
    <w:rsid w:val="00783FF0"/>
    <w:rsid w:val="00786B01"/>
    <w:rsid w:val="00792C97"/>
    <w:rsid w:val="007A01B3"/>
    <w:rsid w:val="007A471B"/>
    <w:rsid w:val="007A71EE"/>
    <w:rsid w:val="007B38FB"/>
    <w:rsid w:val="007B4DB6"/>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2188"/>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10073"/>
    <w:rsid w:val="00B2389A"/>
    <w:rsid w:val="00B24242"/>
    <w:rsid w:val="00B3274C"/>
    <w:rsid w:val="00B35276"/>
    <w:rsid w:val="00B35880"/>
    <w:rsid w:val="00B36FB7"/>
    <w:rsid w:val="00B53CB2"/>
    <w:rsid w:val="00B55AA1"/>
    <w:rsid w:val="00B81C69"/>
    <w:rsid w:val="00B84258"/>
    <w:rsid w:val="00B97216"/>
    <w:rsid w:val="00BA4B21"/>
    <w:rsid w:val="00BB3463"/>
    <w:rsid w:val="00BC0FCF"/>
    <w:rsid w:val="00BC3EA3"/>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C568F"/>
    <w:rsid w:val="00CD0590"/>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0E55"/>
    <w:rsid w:val="00D81A92"/>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D0EDD"/>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10</TotalTime>
  <Pages>9</Pages>
  <Words>4550</Words>
  <Characters>26845</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9</cp:revision>
  <cp:lastPrinted>2016-12-01T13:31:00Z</cp:lastPrinted>
  <dcterms:created xsi:type="dcterms:W3CDTF">2016-08-15T10:42:00Z</dcterms:created>
  <dcterms:modified xsi:type="dcterms:W3CDTF">2017-06-29T13:44:00Z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