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520"/>
        <w:sectPr>
          <w:headerReference w:type="default" r:id="rId5"/>
          <w:footerReference w:type="default" r:id="rId6"/>
          <w:footerReference w:type="first" r:id="rId7"/>
          <w:titlePg/>
          <w:footnotePr>
            <w:pos w:val="pageBottom"/>
            <w:numFmt w:val="decimal"/>
            <w:numRestart w:val="continuous"/>
          </w:footnotePr>
          <w:type w:val="continuous"/>
          <w:pgSz w:w="12038" w:h="16934"/>
          <w:pgMar w:top="380" w:left="2755" w:right="2015" w:bottom="1928" w:header="0" w:footer="3" w:gutter="0"/>
          <w:rtlGutter w:val="0"/>
          <w:cols w:space="720"/>
          <w:noEndnote/>
          <w:docGrid w:linePitch="360"/>
        </w:sectPr>
      </w:pPr>
      <w:bookmarkStart w:id="0" w:name="bookmark0"/>
      <w:r>
        <w:rPr>
          <w:rStyle w:val="CharStyle4"/>
          <w:u w:val="none"/>
          <w:sz w:val="32"/>
          <w:szCs w:val="32"/>
          <w:rFonts w:ascii="Arial" w:eastAsia="Arial" w:hAnsi="Arial" w:cs="Arial"/>
        </w:rPr>
        <w:t>SMLOUVA</w:t>
        <w:br/>
      </w:r>
      <w:r>
        <w:rPr>
          <w:rStyle w:val="CharStyle3"/>
          <w:lang w:val="cs"/>
          <w:w w:val="100"/>
          <w:spacing w:val="0"/>
          <w:color w:val="000000"/>
          <w:position w:val="0"/>
        </w:rPr>
        <w:t>o podmínkách prodeje zboží na rok 2017</w:t>
      </w:r>
      <w:bookmarkEnd w:id="0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6" w:after="5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038" w:h="16934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64" w:line="150" w:lineRule="exact"/>
        <w:ind w:left="560" w:right="0"/>
      </w:pPr>
      <w:r>
        <w:rPr>
          <w:rStyle w:val="CharStyle9"/>
          <w:lang w:val="cs"/>
          <w:w w:val="100"/>
          <w:spacing w:val="0"/>
          <w:color w:val="000000"/>
          <w:position w:val="0"/>
        </w:rPr>
        <w:t>Ing. Jan Švejkovský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80" w:line="150" w:lineRule="exact"/>
        <w:ind w:left="560" w:right="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podnikající pod označením</w:t>
      </w:r>
    </w:p>
    <w:p>
      <w:pPr>
        <w:pStyle w:val="Style12"/>
        <w:widowControl w:val="0"/>
        <w:keepNext/>
        <w:keepLines/>
        <w:shd w:val="clear" w:color="auto" w:fill="auto"/>
        <w:bidi w:val="0"/>
        <w:jc w:val="left"/>
        <w:spacing w:before="0" w:after="0" w:line="190" w:lineRule="exact"/>
        <w:ind w:left="560" w:right="0"/>
      </w:pPr>
      <w:bookmarkStart w:id="1" w:name="bookmark1"/>
      <w:r>
        <w:rPr>
          <w:rStyle w:val="CharStyle13"/>
          <w:lang w:val="cs"/>
          <w:w w:val="100"/>
          <w:spacing w:val="0"/>
          <w:color w:val="000000"/>
          <w:position w:val="0"/>
        </w:rPr>
        <w:t>Ing. Jan Švejkovský - JENA - firma služeb</w:t>
      </w:r>
      <w:bookmarkEnd w:id="1"/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20" w:right="5140" w:firstLine="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169 00 Praha 6, Bolívarova 2092/21</w:t>
        <w:br/>
        <w:t>IČ: 16471636 DIČ: CZ6508111434</w:t>
        <w:br/>
        <w:t>podnikatel v obchodním rejstříku nezapsaný</w:t>
      </w:r>
    </w:p>
    <w:p>
      <w:pPr>
        <w:pStyle w:val="Style10"/>
        <w:tabs>
          <w:tab w:leader="underscore" w:pos="42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560" w:right="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 xml:space="preserve">bankovní spojení: 27-3381860277/0100 </w:t>
        <w:tab/>
      </w:r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252"/>
        <w:ind w:left="560" w:right="0"/>
      </w:pPr>
      <w:bookmarkStart w:id="2" w:name="bookmark2"/>
      <w:r>
        <w:rPr>
          <w:rStyle w:val="CharStyle15"/>
          <w:lang w:val="cs"/>
          <w:w w:val="100"/>
          <w:spacing w:val="0"/>
          <w:color w:val="000000"/>
          <w:position w:val="0"/>
        </w:rPr>
        <w:t>kontaktní osoba: Ing. Tomáš Matějka, tel.fPMPQH</w:t>
      </w:r>
      <w:bookmarkEnd w:id="2"/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246" w:line="150" w:lineRule="exact"/>
        <w:ind w:left="560" w:right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29.45pt;margin-top:101.3pt;width:97.9pt;height:33.1pt;z-index:-251658749;mso-wrap-distance-left:5.pt;mso-wrap-distance-top:5.pt;mso-wrap-distance-right:5.pt;mso-wrap-distance-bottom:5.pt;mso-position-horizontal-relative:margin" wrapcoords="0 0 17366 0 17366 6581 21600 6581 21600 21600 2326 21600 2326 15019 2018 15019 2018 6581 0 6581 0 0">
            <v:imagedata r:id="rId8" r:href="rId9"/>
            <w10:wrap type="tight" anchorx="margin"/>
          </v:shape>
        </w:pict>
      </w:r>
      <w:r>
        <w:rPr>
          <w:rStyle w:val="CharStyle9"/>
          <w:lang w:val="cs"/>
          <w:w w:val="100"/>
          <w:spacing w:val="0"/>
          <w:color w:val="000000"/>
          <w:position w:val="0"/>
        </w:rPr>
        <w:t>dále jen poskytovatel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218" w:line="150" w:lineRule="exact"/>
        <w:ind w:left="560" w:right="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a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20" w:right="5140" w:firstLine="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Hortus správa zeleně s.r.o.</w:t>
        <w:br/>
        <w:t>sídlo: Rubeška 389/5,190 00 Praha 9</w:t>
      </w:r>
    </w:p>
    <w:p>
      <w:pPr>
        <w:pStyle w:val="Style10"/>
        <w:tabs>
          <w:tab w:leader="none" w:pos="215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20" w:right="4820" w:firstLine="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zastoupený statutárním zástupcem: Janem Poupě - jednatelem</w:t>
        <w:br/>
        <w:t>IČ: 60486791</w:t>
        <w:tab/>
        <w:t>DIČ: CZ</w:t>
      </w:r>
    </w:p>
    <w:p>
      <w:pPr>
        <w:pStyle w:val="Style10"/>
        <w:tabs>
          <w:tab w:leader="none" w:pos="400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20" w:right="20" w:firstLine="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Zapsána v obchodním rejstříku, vedeného u Městského soudu v Prazejjddíl C, vložka 27110</w:t>
        <w:br/>
        <w:t>bankovní spojení: ČS</w:t>
        <w:tab/>
        <w:t>číslo účtu: i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 w:line="221" w:lineRule="exact"/>
        <w:ind w:left="560" w:right="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kontaktní osoba: Jan Poupě</w:t>
      </w:r>
    </w:p>
    <w:p>
      <w:pPr>
        <w:pStyle w:val="Style10"/>
        <w:tabs>
          <w:tab w:leader="none" w:pos="1441" w:val="left"/>
          <w:tab w:leader="none" w:pos="2900" w:val="left"/>
          <w:tab w:leader="none" w:pos="44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37" w:line="221" w:lineRule="exact"/>
        <w:ind w:left="560" w:right="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tel.:</w:t>
        <w:tab/>
        <w:t>mobil:</w:t>
        <w:tab/>
        <w:t>fax:</w:t>
        <w:tab/>
        <w:t>e-mail:&lt;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534" w:line="150" w:lineRule="exact"/>
        <w:ind w:left="560" w:right="0"/>
      </w:pPr>
      <w:r>
        <w:rPr>
          <w:rStyle w:val="CharStyle9"/>
          <w:lang w:val="cs"/>
          <w:w w:val="100"/>
          <w:spacing w:val="0"/>
          <w:color w:val="000000"/>
          <w:position w:val="0"/>
        </w:rPr>
        <w:t>dále jen objednatel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304" w:line="150" w:lineRule="exact"/>
        <w:ind w:left="560" w:right="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uzavírají ve vzájemné shodě tuto smlouvu:</w:t>
      </w:r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0" w:line="150" w:lineRule="exact"/>
        <w:ind w:left="0" w:right="20" w:firstLine="0"/>
      </w:pPr>
      <w:bookmarkStart w:id="3" w:name="bookmark3"/>
      <w:r>
        <w:rPr>
          <w:rStyle w:val="CharStyle17"/>
          <w:lang w:val="cs"/>
          <w:w w:val="100"/>
          <w:spacing w:val="0"/>
          <w:color w:val="000000"/>
          <w:position w:val="0"/>
        </w:rPr>
        <w:t>I.</w:t>
      </w:r>
      <w:bookmarkEnd w:id="3"/>
    </w:p>
    <w:p>
      <w:pPr>
        <w:pStyle w:val="Style10"/>
        <w:numPr>
          <w:ilvl w:val="0"/>
          <w:numId w:val="1"/>
        </w:numPr>
        <w:tabs>
          <w:tab w:leader="none" w:pos="53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52" w:line="240" w:lineRule="exact"/>
        <w:ind w:left="560" w:right="2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Poskytovatel se zavazuje prodat objednateli na základě jeho objednávky zboží podle aktuální nabídky</w:t>
        <w:br/>
        <w:t>a objednatel se za to zavazuje uhradit poskytovateli dohodnutou odměnu.</w:t>
      </w:r>
    </w:p>
    <w:p>
      <w:pPr>
        <w:pStyle w:val="Style10"/>
        <w:numPr>
          <w:ilvl w:val="0"/>
          <w:numId w:val="1"/>
        </w:numPr>
        <w:tabs>
          <w:tab w:leader="none" w:pos="52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500" w:line="250" w:lineRule="exact"/>
        <w:ind w:left="560" w:right="2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Objednatel na vlastní náklady a vlastní nebezpečí zajistí dopravu, popřípadě využije možnosti nabídky</w:t>
        <w:br/>
        <w:t>zajištění dopravy poskytovatelem proti dohodnuté úhradě.</w:t>
      </w:r>
    </w:p>
    <w:p>
      <w:pPr>
        <w:pStyle w:val="Style14"/>
        <w:widowControl w:val="0"/>
        <w:keepNext/>
        <w:keepLines/>
        <w:shd w:val="clear" w:color="auto" w:fill="auto"/>
        <w:bidi w:val="0"/>
        <w:jc w:val="center"/>
        <w:spacing w:before="0" w:after="0" w:line="150" w:lineRule="exact"/>
        <w:ind w:left="0" w:right="20" w:firstLine="0"/>
      </w:pPr>
      <w:bookmarkStart w:id="4" w:name="bookmark4"/>
      <w:r>
        <w:rPr>
          <w:rStyle w:val="CharStyle15"/>
          <w:lang w:val="cs"/>
          <w:w w:val="100"/>
          <w:spacing w:val="0"/>
          <w:color w:val="000000"/>
          <w:position w:val="0"/>
        </w:rPr>
        <w:t>II.</w:t>
      </w:r>
      <w:bookmarkEnd w:id="4"/>
    </w:p>
    <w:p>
      <w:pPr>
        <w:pStyle w:val="Style10"/>
        <w:numPr>
          <w:ilvl w:val="1"/>
          <w:numId w:val="1"/>
        </w:numPr>
        <w:tabs>
          <w:tab w:leader="none" w:pos="51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52" w:line="240" w:lineRule="exact"/>
        <w:ind w:left="560" w:right="2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Zboží prodávané na objem nesmí objednatel při odběru zhutňovat. Pokud to objednatel nedodrží, objem se</w:t>
        <w:br/>
        <w:t>znásobí koeficientem 1,5.</w:t>
      </w:r>
    </w:p>
    <w:p>
      <w:pPr>
        <w:pStyle w:val="Style10"/>
        <w:numPr>
          <w:ilvl w:val="1"/>
          <w:numId w:val="1"/>
        </w:numPr>
        <w:tabs>
          <w:tab w:leader="none" w:pos="53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0" w:line="250" w:lineRule="exact"/>
        <w:ind w:left="560" w:right="2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Konkrétní aktuální cena odebraného zboží ke dni jeho nákupu objednatelem bude dle dohody stran vždy</w:t>
        <w:br/>
        <w:t xml:space="preserve">vycházet z cen určených poskytovatelem na webových stránkách </w:t>
      </w:r>
      <w:r>
        <w:fldChar w:fldCharType="begin"/>
      </w:r>
      <w:r>
        <w:rPr/>
        <w:instrText> HYPERLINK "http://www.jena.cz" </w:instrText>
      </w:r>
      <w:r>
        <w:fldChar w:fldCharType="separate"/>
      </w:r>
      <w:r>
        <w:rPr>
          <w:rStyle w:val="CharStyle11"/>
          <w:lang w:val="en-US"/>
          <w:w w:val="100"/>
          <w:spacing w:val="0"/>
          <w:color w:val="000000"/>
          <w:position w:val="0"/>
        </w:rPr>
        <w:t>www.jena.cz</w:t>
      </w:r>
      <w:r>
        <w:fldChar w:fldCharType="end"/>
      </w:r>
      <w:r>
        <w:rPr>
          <w:rStyle w:val="CharStyle11"/>
          <w:lang w:val="en-US"/>
          <w:w w:val="100"/>
          <w:spacing w:val="0"/>
          <w:color w:val="000000"/>
          <w:position w:val="0"/>
        </w:rPr>
        <w:t>.</w:t>
      </w:r>
    </w:p>
    <w:p>
      <w:pPr>
        <w:pStyle w:val="Style10"/>
        <w:numPr>
          <w:ilvl w:val="1"/>
          <w:numId w:val="1"/>
        </w:numPr>
        <w:tabs>
          <w:tab w:leader="none" w:pos="52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250" w:lineRule="exact"/>
        <w:ind w:left="560" w:right="2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Smluvní strany se dohodly, že samostatná plnění provedená v jednom kalendářním měsíci budou vyúčtována</w:t>
        <w:br/>
        <w:t>prostřednictvím faktury - souhrnného daňového dokladu ve smyslu § 31b zákona č. 235/2004 Sb., o dani</w:t>
        <w:br/>
        <w:t>z přidané hodnoty, v platném znění na základě příslušných podkladů. Podklady se rozumí potvrzené vážní</w:t>
        <w:br/>
        <w:t>lístky a dodací listy. Dnem uskutečnění zdanitelného plnění je poslední den příslušného kalendářního měsíce.</w:t>
      </w:r>
    </w:p>
    <w:p>
      <w:pPr>
        <w:pStyle w:val="Style10"/>
        <w:numPr>
          <w:ilvl w:val="1"/>
          <w:numId w:val="1"/>
        </w:numPr>
        <w:tabs>
          <w:tab w:leader="none" w:pos="52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76" w:line="250" w:lineRule="exact"/>
        <w:ind w:left="560" w:right="2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Odměna je splatná na základě faktury se čtrnáctidenní (14) splatností převodem na účet poskytovatele,</w:t>
        <w:br/>
        <w:t>případně v hotovosti.</w:t>
      </w:r>
    </w:p>
    <w:p>
      <w:pPr>
        <w:pStyle w:val="Style10"/>
        <w:numPr>
          <w:ilvl w:val="1"/>
          <w:numId w:val="1"/>
        </w:numPr>
        <w:tabs>
          <w:tab w:leader="none" w:pos="5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560" w:right="2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Úrok z prodlení při placení faktur je 0,05 % z dlužné částky denně. Dle výslovné dohody stran bude v případě</w:t>
        <w:br/>
        <w:t>prodlení objednatele s placením vystavené faktury vyčíslený sjednaný úrok z prodlení z pozdě uhrazené</w:t>
        <w:br/>
        <w:t>faktury či faktury vůbec neuhrazené nárokován jako součást další faktury.</w:t>
      </w:r>
      <w:r>
        <w:br w:type="page"/>
      </w:r>
    </w:p>
    <w:p>
      <w:pPr>
        <w:pStyle w:val="Style10"/>
        <w:numPr>
          <w:ilvl w:val="0"/>
          <w:numId w:val="3"/>
        </w:numPr>
        <w:tabs>
          <w:tab w:leader="none" w:pos="5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4" w:line="150" w:lineRule="exact"/>
        <w:ind w:left="560" w:right="0" w:hanging="52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Tato smlouva se uzavírá na dobu určitou s platností od 1.1. 2017 do 31.12. 2017.</w:t>
      </w:r>
    </w:p>
    <w:p>
      <w:pPr>
        <w:pStyle w:val="Style10"/>
        <w:numPr>
          <w:ilvl w:val="0"/>
          <w:numId w:val="3"/>
        </w:numPr>
        <w:tabs>
          <w:tab w:leader="none" w:pos="5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560" w:right="0" w:hanging="52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Platnost smlouvy lze ukončit:</w:t>
      </w:r>
    </w:p>
    <w:p>
      <w:pPr>
        <w:pStyle w:val="Style10"/>
        <w:numPr>
          <w:ilvl w:val="0"/>
          <w:numId w:val="5"/>
        </w:numPr>
        <w:tabs>
          <w:tab w:leader="none" w:pos="8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880" w:right="0" w:hanging="32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písemnou dohodou smluvních stran,</w:t>
      </w:r>
    </w:p>
    <w:p>
      <w:pPr>
        <w:pStyle w:val="Style10"/>
        <w:numPr>
          <w:ilvl w:val="0"/>
          <w:numId w:val="5"/>
        </w:numPr>
        <w:tabs>
          <w:tab w:leader="none" w:pos="84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880" w:right="0" w:hanging="32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písemnou výpovědí poskytovatele v případě hrubého porušení smlouvy ze strany objednatele,</w:t>
      </w:r>
    </w:p>
    <w:p>
      <w:pPr>
        <w:pStyle w:val="Style10"/>
        <w:numPr>
          <w:ilvl w:val="0"/>
          <w:numId w:val="5"/>
        </w:numPr>
        <w:tabs>
          <w:tab w:leader="none" w:pos="84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880" w:right="20" w:hanging="32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písemnou výpovědí jedné ze smluvních stran, dojde-li k takové změně obecně závazných právních</w:t>
        <w:br/>
        <w:t>předpisů, či nařízení kompetentních orgánů, za kterých nelze na účastnících požadovat, aby v tomto</w:t>
        <w:br/>
        <w:t>smluvním vztahu nadále setrvávali.</w:t>
      </w:r>
    </w:p>
    <w:p>
      <w:pPr>
        <w:pStyle w:val="Style10"/>
        <w:numPr>
          <w:ilvl w:val="0"/>
          <w:numId w:val="3"/>
        </w:numPr>
        <w:tabs>
          <w:tab w:leader="none" w:pos="5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52" w:line="240" w:lineRule="exact"/>
        <w:ind w:left="560" w:right="20" w:hanging="52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Dle dohody stran pozbývá tato smlouva platnosti okamžikem uplynutí 14 ti denní lhůty v případě prodlení</w:t>
        <w:br/>
        <w:t>objednatele s úhradou jakékoliv faktury vystavené dle této smlouvy pro objednatele poskytovatelem. Práva</w:t>
        <w:br/>
        <w:t>a závazky z dílčích smluv uzavřených již dříve, se podmínkami této smlouvy řídí i nadále.</w:t>
      </w:r>
    </w:p>
    <w:p>
      <w:pPr>
        <w:pStyle w:val="Style19"/>
        <w:widowControl w:val="0"/>
        <w:keepNext/>
        <w:keepLines/>
        <w:shd w:val="clear" w:color="auto" w:fill="auto"/>
        <w:bidi w:val="0"/>
        <w:spacing w:before="0" w:after="44" w:line="150" w:lineRule="exact"/>
        <w:ind w:left="0" w:right="20" w:firstLine="0"/>
      </w:pPr>
      <w:bookmarkStart w:id="5" w:name="bookmark5"/>
      <w:r>
        <w:rPr>
          <w:rStyle w:val="CharStyle21"/>
          <w:u w:val="none"/>
          <w:sz w:val="15"/>
          <w:szCs w:val="15"/>
          <w:rFonts w:ascii="Arial" w:eastAsia="Arial" w:hAnsi="Arial" w:cs="Arial"/>
        </w:rPr>
        <w:t>IV.</w:t>
      </w:r>
      <w:bookmarkEnd w:id="5"/>
    </w:p>
    <w:p>
      <w:pPr>
        <w:pStyle w:val="Style10"/>
        <w:numPr>
          <w:ilvl w:val="0"/>
          <w:numId w:val="7"/>
        </w:numPr>
        <w:tabs>
          <w:tab w:leader="none" w:pos="5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560" w:right="20" w:hanging="52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Práva a povinnosti v této smlouvě výslovně neupravené se řídí příslušnými ustanoveními občanského</w:t>
        <w:br/>
        <w:t>zákoníku č. 89/2012 Sb. v novelizovaném znění.</w:t>
      </w:r>
    </w:p>
    <w:p>
      <w:pPr>
        <w:pStyle w:val="Style10"/>
        <w:numPr>
          <w:ilvl w:val="0"/>
          <w:numId w:val="7"/>
        </w:numPr>
        <w:tabs>
          <w:tab w:leader="none" w:pos="5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560" w:right="20" w:hanging="52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Všechny spory vznikající z této Smlouvy nebo v souvislosti s ní budou rozhodovány s konečnou platností</w:t>
        <w:br/>
        <w:t>u Rozhodčího soudu při Hospodářské Komoře České republiky a Agrární komoře České republiky podle jeho</w:t>
        <w:br/>
        <w:t>Řádu třemi rozhodci.</w:t>
      </w:r>
    </w:p>
    <w:p>
      <w:pPr>
        <w:pStyle w:val="Style10"/>
        <w:numPr>
          <w:ilvl w:val="0"/>
          <w:numId w:val="7"/>
        </w:numPr>
        <w:tabs>
          <w:tab w:leader="none" w:pos="5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9" w:lineRule="exact"/>
        <w:ind w:left="560" w:right="20" w:hanging="52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Smluvní strany se dohodly na prodloužení doby promlčecí, týkající se vztahů a závazků vyplývajících z této</w:t>
        <w:br/>
        <w:t>smlouvy a to na období 5 ti let.</w:t>
      </w:r>
    </w:p>
    <w:p>
      <w:pPr>
        <w:pStyle w:val="Style10"/>
        <w:numPr>
          <w:ilvl w:val="0"/>
          <w:numId w:val="7"/>
        </w:numPr>
        <w:tabs>
          <w:tab w:leader="none" w:pos="5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560" w:right="20" w:hanging="52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Přílohou č. 1 této smlouvy je seznam oprávněných osob objednatele, které objednatel zplnomocnil</w:t>
        <w:br/>
        <w:t>k faktickému objednání a převzetí zboží.</w:t>
      </w:r>
    </w:p>
    <w:p>
      <w:pPr>
        <w:pStyle w:val="Style10"/>
        <w:numPr>
          <w:ilvl w:val="0"/>
          <w:numId w:val="7"/>
        </w:numPr>
        <w:tabs>
          <w:tab w:leader="none" w:pos="5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560" w:right="20" w:hanging="52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Smlouva je vyhotovena ve dvou stejnopisech, z nichž objednatel obdrží jedno a poskytovatel druhé</w:t>
        <w:br/>
        <w:t>vyhotovení.</w:t>
      </w:r>
    </w:p>
    <w:p>
      <w:pPr>
        <w:pStyle w:val="Style10"/>
        <w:numPr>
          <w:ilvl w:val="0"/>
          <w:numId w:val="7"/>
        </w:numPr>
        <w:tabs>
          <w:tab w:leader="none" w:pos="5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740" w:line="250" w:lineRule="exact"/>
        <w:ind w:left="560" w:right="20" w:hanging="52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Smluvní strany prohlašují, že se zněním smlouvy souhlasí, a že smlouva nebyla uzavřena v tísni ani za</w:t>
        <w:br/>
        <w:t>nápadně nevýhodných podmínek.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718" w:line="150" w:lineRule="exact"/>
        <w:ind w:left="560" w:right="0" w:hanging="52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Příloha č. 1: Seznam oprávněných osob objednatele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 w:line="190" w:lineRule="exact"/>
        <w:ind w:left="560" w:right="0" w:hanging="520"/>
        <w:sectPr>
          <w:type w:val="continuous"/>
          <w:pgSz w:w="12038" w:h="16934"/>
          <w:pgMar w:top="706" w:left="1661" w:right="1440" w:bottom="1957" w:header="0" w:footer="3" w:gutter="0"/>
          <w:rtlGutter w:val="0"/>
          <w:cols w:space="720"/>
          <w:noEndnote/>
          <w:docGrid w:linePitch="360"/>
        </w:sectPr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V Praze dne</w:t>
      </w:r>
      <w:r>
        <w:rPr>
          <w:rStyle w:val="CharStyle22"/>
          <w:u w:val="none"/>
          <w:rFonts w:ascii="Arial" w:eastAsia="Arial" w:hAnsi="Arial" w:cs="Arial"/>
        </w:rPr>
        <w:t xml:space="preserve"> sf' 3-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3" w:after="1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038" w:h="16934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h="2534" w:wrap="notBeside" w:vAnchor="text" w:hAnchor="text" w:y="1"/>
        <w:widowControl w:val="0"/>
        <w:jc w:val="center"/>
        <w:rPr>
          <w:sz w:val="0"/>
          <w:szCs w:val="0"/>
        </w:rPr>
      </w:pPr>
      <w:r>
        <w:pict>
          <v:shape id="_x0000_s1030" type="#_x0000_t75" style="width:248pt;height:127pt;">
            <v:imagedata r:id="rId10" r:href="rId11"/>
          </v:shape>
        </w:pict>
      </w:r>
    </w:p>
    <w:p>
      <w:pPr>
        <w:widowControl w:val="0"/>
        <w:rPr>
          <w:sz w:val="2"/>
          <w:szCs w:val="2"/>
        </w:rPr>
      </w:pPr>
      <w:r>
        <w:pict>
          <v:shape id="_x0000_s1031" type="#_x0000_t75" style="position:absolute;margin-left:364.3pt;margin-top:42.25pt;width:102.25pt;height:56.65pt;z-index:5;mso-wrap-distance-left:5.pt;mso-wrap-distance-top:5.pt;mso-wrap-distance-right:5.pt;mso-wrap-distance-bottom:5.pt;mso-position-horizontal-relative:margin" wrapcoords="0 0 21600 0 21600 21600 0 21600 0 0">
            <v:imagedata r:id="rId12" r:href="rId13"/>
            <w10:wrap type="square" anchorx="margin"/>
          </v:shape>
        </w:pict>
      </w:r>
      <w:r>
        <w:pict>
          <v:shape id="_x0000_s1032" type="#_x0000_t75" style="position:absolute;margin-left:356.65pt;margin-top:109.9pt;width:142.1pt;height:65.3pt;z-index:6;mso-wrap-distance-left:5.pt;mso-wrap-distance-top:5.pt;mso-wrap-distance-right:5.pt;mso-wrap-distance-bottom:5.pt;mso-position-horizontal-relative:margin" wrapcoords="0 0 21600 0 21600 21600 0 21600 0 0">
            <v:imagedata r:id="rId14" r:href="rId15"/>
            <w10:wrap type="square" anchorx="margin"/>
          </v:shape>
        </w:pict>
      </w:r>
    </w:p>
    <w:p>
      <w:pPr>
        <w:widowControl w:val="0"/>
        <w:rPr>
          <w:sz w:val="2"/>
          <w:szCs w:val="2"/>
        </w:rPr>
      </w:pPr>
    </w:p>
    <w:sectPr>
      <w:type w:val="continuous"/>
      <w:pgSz w:w="11990" w:h="16906"/>
      <w:pgMar w:top="859" w:left="950" w:right="6068" w:bottom="2858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321.1pt;margin-top:-56.9pt;width:3.85pt;height:6.7pt;z-index:-251658751;mso-wrap-style:none;mso-wrap-distance-left:5.pt;mso-wrap-distance-top:5.pt;mso-wrap-distance-right:5.pt;mso-wrap-distance-bottom:5.pt;mso-position-horizontal-relative:page" filled="0" stroked="0">
          <v:textbox style="mso-fit-shape-to-text:t" inset="0,0,0,0">
            <w:txbxContent>
              <w:p>
                <w:pPr>
                  <w:pStyle w:val="Style5"/>
                  <w:widowControl w:val="0"/>
                  <w:keepNext w:val="0"/>
                  <w:keepLines w:val="0"/>
                  <w:shd w:val="clear" w:color="auto" w:fill="auto"/>
                  <w:bidi w:val="0"/>
                  <w:jc w:val="both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7"/>
                      <w:lang w:val="cs"/>
                      <w:u w:val="none"/>
                    </w:rPr>
                    <w:t>2</w:t>
                  </w:r>
                </w:fldSimple>
              </w:p>
            </w:txbxContent>
          </v:textbox>
          <w10:wrap anchorx="page"/>
        </v:shape>
      </w:pict>
    </w:r>
  </w:p>
</w:hdr>
</file>

<file path=word/foot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308.15pt;margin-top:-25.25pt;width:3.85pt;height:6.25pt;z-index:-251658750;mso-wrap-style:none;mso-wrap-distance-left:5.pt;mso-wrap-distance-top:5.pt;mso-wrap-distance-right:5.pt;mso-wrap-distance-bottom:5.pt;mso-position-horizontal-relative:page" filled="0" stroked="0">
          <v:textbox style="mso-fit-shape-to-text:t" inset="0,0,0,0">
            <w:txbxContent>
              <w:p>
                <w:pPr>
                  <w:pStyle w:val="Style5"/>
                  <w:widowControl w:val="0"/>
                  <w:keepNext w:val="0"/>
                  <w:keepLines w:val="0"/>
                  <w:shd w:val="clear" w:color="auto" w:fill="auto"/>
                  <w:bidi w:val="0"/>
                  <w:jc w:val="both"/>
                  <w:spacing w:before="0" w:after="0" w:line="240" w:lineRule="auto"/>
                  <w:ind w:left="0" w:right="0" w:firstLine="0"/>
                </w:pPr>
                <w:r>
                  <w:rPr>
                    <w:rStyle w:val="CharStyle7"/>
                    <w:lang w:val="cs"/>
                    <w:u w:val="none"/>
                  </w:rPr>
                  <w:t>1</w:t>
                </w:r>
              </w:p>
            </w:txbxContent>
          </v:textbox>
          <w10:wrap anchorx="page"/>
        </v:shape>
      </w:pict>
    </w:r>
  </w:p>
</w:hd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2.5pt;margin-top:19.pt;width:10.55pt;height:7.2pt;z-index:-251658752;mso-wrap-style:none;mso-wrap-distance-left:5.pt;mso-wrap-distance-top:5.pt;mso-wrap-distance-right:5.pt;mso-wrap-distance-bottom:5.pt;mso-position-horizontal-relative:page" filled="0" stroked="0">
          <v:textbox style="mso-fit-shape-to-text:t" inset="0,0,0,0">
            <w:txbxContent>
              <w:p>
                <w:pPr>
                  <w:pStyle w:val="Style5"/>
                  <w:widowControl w:val="0"/>
                  <w:keepNext w:val="0"/>
                  <w:keepLines w:val="0"/>
                  <w:shd w:val="clear" w:color="auto" w:fill="auto"/>
                  <w:bidi w:val="0"/>
                  <w:jc w:val="both"/>
                  <w:spacing w:before="0" w:after="0" w:line="240" w:lineRule="auto"/>
                  <w:ind w:left="0" w:right="0" w:firstLine="0"/>
                </w:pPr>
                <w:r>
                  <w:rPr>
                    <w:rStyle w:val="CharStyle18"/>
                    <w:u w:val="none"/>
                  </w:rPr>
                  <w:t>III.</w:t>
                </w:r>
              </w:p>
            </w:txbxContent>
          </v:textbox>
          <w10:wrap anchorx="page"/>
        </v:shape>
      </w:pict>
    </w:r>
  </w:p>
</w:ft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%1."/>
      <w:rPr>
        <w:lang w:val="cs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Arial" w:eastAsia="Arial" w:hAnsi="Arial" w:cs="Arial"/>
        <w:w w:val="100"/>
        <w:spacing w:val="0"/>
        <w:color w:val="000000"/>
        <w:position w:val="0"/>
      </w:rPr>
    </w:lvl>
    <w:lvl w:ilvl="1">
      <w:start w:val="1"/>
      <w:numFmt w:val="decimal"/>
      <w:lvlText w:val="%1.%2."/>
      <w:rPr>
        <w:lang w:val="cs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3.%1."/>
      <w:rPr>
        <w:lang w:val="cs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bullet"/>
      <w:lvlText w:val="-"/>
      <w:rPr>
        <w:lang w:val="cs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4.%1."/>
      <w:rPr>
        <w:lang w:val="cs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Heading #1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character" w:customStyle="1" w:styleId="CharStyle4">
    <w:name w:val="Heading #1"/>
    <w:basedOn w:val="CharStyle3"/>
    <w:rPr>
      <w:lang w:val="cs"/>
      <w:w w:val="100"/>
      <w:spacing w:val="0"/>
      <w:color w:val="000000"/>
      <w:position w:val="0"/>
    </w:rPr>
  </w:style>
  <w:style w:type="character" w:customStyle="1" w:styleId="CharStyle6">
    <w:name w:val="Header or footer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7">
    <w:name w:val="Header or footer + Arial,8 pt"/>
    <w:basedOn w:val="CharStyle6"/>
    <w:rPr>
      <w:lang w:val="1024"/>
      <w:sz w:val="16"/>
      <w:szCs w:val="16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9">
    <w:name w:val="Body text (2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11">
    <w:name w:val="Body text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13">
    <w:name w:val="Heading #2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5">
    <w:name w:val="Heading #3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17">
    <w:name w:val="Heading #2 (2)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18">
    <w:name w:val="Header or footer + Arial,7 pt,Bold"/>
    <w:basedOn w:val="CharStyle6"/>
    <w:rPr>
      <w:lang w:val="cs"/>
      <w:b/>
      <w:bCs/>
      <w:sz w:val="14"/>
      <w:szCs w:val="14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0">
    <w:name w:val="Heading #1 (2)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21">
    <w:name w:val="Heading #1 (2)"/>
    <w:basedOn w:val="CharStyle20"/>
    <w:rPr>
      <w:lang w:val="cs"/>
      <w:w w:val="100"/>
      <w:spacing w:val="0"/>
      <w:color w:val="000000"/>
      <w:position w:val="0"/>
    </w:rPr>
  </w:style>
  <w:style w:type="character" w:customStyle="1" w:styleId="CharStyle22">
    <w:name w:val="Body text + 9.5 pt,Italic,Spacing -1 pt"/>
    <w:basedOn w:val="CharStyle11"/>
    <w:rPr>
      <w:lang w:val="cs"/>
      <w:b w:val="0"/>
      <w:bCs w:val="0"/>
      <w:i/>
      <w:iCs/>
      <w:sz w:val="19"/>
      <w:szCs w:val="19"/>
      <w:w w:val="100"/>
      <w:spacing w:val="-20"/>
      <w:color w:val="000000"/>
      <w:position w:val="0"/>
    </w:rPr>
  </w:style>
  <w:style w:type="paragraph" w:customStyle="1" w:styleId="Style2">
    <w:name w:val="Heading #1"/>
    <w:basedOn w:val="Normal"/>
    <w:link w:val="CharStyle3"/>
    <w:pPr>
      <w:widowControl w:val="0"/>
      <w:shd w:val="clear" w:color="auto" w:fill="FFFFFF"/>
      <w:outlineLvl w:val="0"/>
      <w:spacing w:line="499" w:lineRule="exact"/>
      <w:ind w:firstLine="2500"/>
    </w:pPr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paragraph" w:customStyle="1" w:styleId="Style5">
    <w:name w:val="Header or footer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8">
    <w:name w:val="Body text (2)"/>
    <w:basedOn w:val="Normal"/>
    <w:link w:val="CharStyle9"/>
    <w:pPr>
      <w:widowControl w:val="0"/>
      <w:shd w:val="clear" w:color="auto" w:fill="FFFFFF"/>
      <w:spacing w:after="60" w:line="0" w:lineRule="exact"/>
      <w:ind w:hanging="540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10">
    <w:name w:val="Body text"/>
    <w:basedOn w:val="Normal"/>
    <w:link w:val="CharStyle11"/>
    <w:pPr>
      <w:widowControl w:val="0"/>
      <w:shd w:val="clear" w:color="auto" w:fill="FFFFFF"/>
      <w:spacing w:before="60" w:after="60" w:line="0" w:lineRule="exact"/>
      <w:ind w:hanging="540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12">
    <w:name w:val="Heading #2"/>
    <w:basedOn w:val="Normal"/>
    <w:link w:val="CharStyle13"/>
    <w:pPr>
      <w:widowControl w:val="0"/>
      <w:shd w:val="clear" w:color="auto" w:fill="FFFFFF"/>
      <w:outlineLvl w:val="1"/>
      <w:spacing w:before="60" w:after="60" w:line="0" w:lineRule="exact"/>
      <w:ind w:hanging="540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4">
    <w:name w:val="Heading #3"/>
    <w:basedOn w:val="Normal"/>
    <w:link w:val="CharStyle15"/>
    <w:pPr>
      <w:widowControl w:val="0"/>
      <w:shd w:val="clear" w:color="auto" w:fill="FFFFFF"/>
      <w:jc w:val="both"/>
      <w:outlineLvl w:val="2"/>
      <w:spacing w:after="180" w:line="240" w:lineRule="exact"/>
      <w:ind w:hanging="540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16">
    <w:name w:val="Heading #2 (2)"/>
    <w:basedOn w:val="Normal"/>
    <w:link w:val="CharStyle17"/>
    <w:pPr>
      <w:widowControl w:val="0"/>
      <w:shd w:val="clear" w:color="auto" w:fill="FFFFFF"/>
      <w:jc w:val="center"/>
      <w:outlineLvl w:val="1"/>
      <w:spacing w:before="300" w:after="60"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19">
    <w:name w:val="Heading #1 (2)"/>
    <w:basedOn w:val="Normal"/>
    <w:link w:val="CharStyle20"/>
    <w:pPr>
      <w:widowControl w:val="0"/>
      <w:shd w:val="clear" w:color="auto" w:fill="FFFFFF"/>
      <w:jc w:val="center"/>
      <w:outlineLvl w:val="0"/>
      <w:spacing w:before="480" w:after="120" w:line="0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image" Target="media/image1.jpeg"/><Relationship Id="rId9" Type="http://schemas.openxmlformats.org/officeDocument/2006/relationships/image" Target="media/image1.jpeg" TargetMode="External"/><Relationship Id="rId10" Type="http://schemas.openxmlformats.org/officeDocument/2006/relationships/image" Target="media/image2.jpeg"/><Relationship Id="rId11" Type="http://schemas.openxmlformats.org/officeDocument/2006/relationships/image" Target="media/image2.jpeg" TargetMode="External"/><Relationship Id="rId12" Type="http://schemas.openxmlformats.org/officeDocument/2006/relationships/image" Target="media/image3.jpeg"/><Relationship Id="rId13" Type="http://schemas.openxmlformats.org/officeDocument/2006/relationships/image" Target="media/image3.jpeg" TargetMode="External"/><Relationship Id="rId14" Type="http://schemas.openxmlformats.org/officeDocument/2006/relationships/image" Target="media/image4.jpeg"/><Relationship Id="rId15" Type="http://schemas.openxmlformats.org/officeDocument/2006/relationships/image" Target="media/image4.jpeg" TargetMode="External"/></Relationships>
</file>