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37948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37948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FD4AB9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FD4AB9">
              <w:rPr>
                <w:b w:val="0"/>
                <w:sz w:val="22"/>
                <w:szCs w:val="22"/>
                <w:shd w:val="clear" w:color="auto" w:fill="FFFFFF" w:themeFill="background1"/>
              </w:rPr>
              <w:t>0561</w:t>
            </w:r>
          </w:p>
        </w:tc>
        <w:tc>
          <w:tcPr>
            <w:tcW w:w="656" w:type="dxa"/>
          </w:tcPr>
          <w:p w14:paraId="4F98E807" w14:textId="373A5ACA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</w:t>
            </w:r>
            <w:r w:rsidR="007C4F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13624E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37948" w14:paraId="5C6D75A8" w14:textId="77777777" w:rsidTr="00EF080A">
        <w:tc>
          <w:tcPr>
            <w:tcW w:w="1074" w:type="dxa"/>
          </w:tcPr>
          <w:p w14:paraId="13FEBCD4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 xml:space="preserve">účelové dotace v oblasti </w:t>
      </w:r>
      <w:r w:rsidR="00AA29DA" w:rsidRPr="007B7A0C">
        <w:t>sociální péče</w:t>
      </w:r>
      <w:r w:rsidR="003F2EE6" w:rsidRPr="00AA29DA">
        <w:rPr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AA29DA" w:rsidRPr="007B7A0C">
        <w:t>102</w:t>
      </w:r>
      <w:r w:rsidR="00C83891" w:rsidRPr="00AA29DA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7B7A0C">
        <w:rPr>
          <w:spacing w:val="20"/>
          <w:kern w:val="0"/>
        </w:rPr>
        <w:t>Charitní dům sv. Benedikta Labre - terénní programy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Charita Ostrava</w:t>
            </w:r>
          </w:p>
          <w:p w14:paraId="5796165D" w14:textId="23BAD493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Kořenského 1323/17, 703 00 Ostrava-Vítkovice</w:t>
            </w:r>
            <w:r w:rsidR="008F7072" w:rsidRPr="008F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6EFDD4B" w14:textId="77777777" w:rsidR="00B553D4" w:rsidRDefault="00B553D4" w:rsidP="00B553D4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zastoupena Bc. Martinem Pražákem, DiS. </w:t>
            </w:r>
          </w:p>
          <w:p w14:paraId="6E856BDC" w14:textId="3B09318E" w:rsidR="00863FEE" w:rsidRPr="00863FEE" w:rsidRDefault="00B553D4" w:rsidP="00B553D4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ředitelem</w:t>
            </w:r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FD4AB9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 w:rsidR="009F02E9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D1308E">
              <w:rPr>
                <w:rFonts w:ascii="Times New Roman" w:hAnsi="Times New Roman"/>
                <w:spacing w:val="-6"/>
              </w:rPr>
              <w:t xml:space="preserve">   </w:t>
            </w:r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Pr="00FD4AB9">
              <w:rPr>
                <w:rFonts w:ascii="Times New Roman" w:hAnsi="Times New Roman"/>
                <w:sz w:val="22"/>
              </w:rPr>
              <w:t>18</w:t>
            </w:r>
            <w:r w:rsidR="007D75E7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0561</w:t>
            </w:r>
          </w:p>
          <w:p w14:paraId="45E39050" w14:textId="77777777"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44940998</w:t>
            </w:r>
          </w:p>
          <w:p w14:paraId="6BEA5692" w14:textId="49BE1A48" w:rsidR="00863FEE" w:rsidRPr="00941402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>
              <w:rPr>
                <w:rFonts w:ascii="Times New Roman" w:hAnsi="Times New Roman"/>
                <w:sz w:val="22"/>
                <w:szCs w:val="22"/>
              </w:rPr>
              <w:t>CZ44940998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FD4AB9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1808137B" w14:textId="506357E2" w:rsidR="005206F2" w:rsidRPr="00FD4AB9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  <w:szCs w:val="22"/>
              </w:rPr>
              <w:t>Komerční banka, a.s.</w:t>
            </w:r>
          </w:p>
          <w:p w14:paraId="175EA977" w14:textId="794E625A" w:rsidR="00863FEE" w:rsidRPr="00941402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FD4AB9">
              <w:rPr>
                <w:rFonts w:ascii="Times New Roman" w:hAnsi="Times New Roman"/>
              </w:rPr>
              <w:t xml:space="preserve">Číslo účtu: </w:t>
            </w:r>
            <w:r w:rsidRPr="00FD4AB9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1628245761/</w:t>
            </w:r>
            <w:r w:rsidR="00FD4AB9" w:rsidRPr="00FD4AB9">
              <w:rPr>
                <w:rFonts w:ascii="Times New Roman" w:hAnsi="Times New Roman"/>
                <w:sz w:val="22"/>
                <w:lang w:val="en-US"/>
              </w:rPr>
              <w:t>0100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77777777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>
        <w:rPr>
          <w:rFonts w:ascii="Times New Roman" w:hAnsi="Times New Roman"/>
          <w:sz w:val="22"/>
          <w:szCs w:val="22"/>
        </w:rPr>
        <w:t>sociální služby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9D6374">
        <w:rPr>
          <w:rFonts w:ascii="Times New Roman" w:hAnsi="Times New Roman"/>
          <w:sz w:val="22"/>
          <w:szCs w:val="22"/>
        </w:rPr>
        <w:t xml:space="preserve">čl. V., </w:t>
      </w:r>
      <w:r w:rsidR="005708AF" w:rsidRPr="009D6374">
        <w:rPr>
          <w:rFonts w:ascii="Times New Roman" w:hAnsi="Times New Roman"/>
          <w:sz w:val="22"/>
          <w:szCs w:val="22"/>
        </w:rPr>
        <w:t>odst.</w:t>
      </w:r>
      <w:r w:rsidR="007110CE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5</w:t>
      </w:r>
      <w:r w:rsidR="007110CE" w:rsidRPr="009D6374">
        <w:rPr>
          <w:rFonts w:ascii="Times New Roman" w:hAnsi="Times New Roman"/>
          <w:sz w:val="22"/>
          <w:szCs w:val="22"/>
        </w:rPr>
        <w:t xml:space="preserve"> a</w:t>
      </w:r>
      <w:r w:rsidR="000B5310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6</w:t>
      </w:r>
      <w:r w:rsidR="00FC66D7" w:rsidRPr="002377A8">
        <w:rPr>
          <w:rFonts w:ascii="Times New Roman" w:hAnsi="Times New Roman"/>
          <w:sz w:val="22"/>
          <w:szCs w:val="22"/>
        </w:rPr>
        <w:t xml:space="preserve"> této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176AD1">
        <w:rPr>
          <w:rFonts w:ascii="Times New Roman" w:hAnsi="Times New Roman"/>
          <w:sz w:val="22"/>
          <w:szCs w:val="22"/>
        </w:rPr>
        <w:t>4</w:t>
      </w:r>
      <w:r w:rsidR="0059050E" w:rsidRPr="002A122C">
        <w:rPr>
          <w:rFonts w:ascii="Times New Roman" w:hAnsi="Times New Roman"/>
          <w:sz w:val="22"/>
          <w:szCs w:val="22"/>
        </w:rPr>
        <w:t xml:space="preserve"> a Podmínkami pro oblast</w:t>
      </w:r>
      <w:r w:rsidR="00DD4B3F">
        <w:rPr>
          <w:rFonts w:ascii="Times New Roman" w:hAnsi="Times New Roman"/>
          <w:sz w:val="22"/>
          <w:szCs w:val="22"/>
        </w:rPr>
        <w:t xml:space="preserve"> </w:t>
      </w:r>
      <w:r w:rsidR="00DD4B3F">
        <w:rPr>
          <w:rFonts w:ascii="Times New Roman" w:hAnsi="Times New Roman"/>
          <w:sz w:val="22"/>
          <w:szCs w:val="22"/>
          <w:lang w:val="en-US"/>
        </w:rPr>
        <w:t>sociální péče</w:t>
      </w:r>
      <w:r w:rsidR="00D65E7E" w:rsidRPr="003F3A86">
        <w:rPr>
          <w:rFonts w:ascii="Times New Roman" w:hAnsi="Times New Roman"/>
          <w:sz w:val="22"/>
          <w:szCs w:val="22"/>
        </w:rPr>
        <w:t>,</w:t>
      </w:r>
      <w:r w:rsidR="00D65E7E" w:rsidRPr="00A9195F">
        <w:rPr>
          <w:rFonts w:ascii="Times New Roman" w:hAnsi="Times New Roman"/>
          <w:sz w:val="22"/>
          <w:szCs w:val="22"/>
        </w:rPr>
        <w:t xml:space="preserve"> schváleným</w:t>
      </w:r>
      <w:r w:rsidR="00D80FB8" w:rsidRPr="00A9195F">
        <w:rPr>
          <w:rFonts w:ascii="Times New Roman" w:hAnsi="Times New Roman"/>
          <w:sz w:val="22"/>
          <w:szCs w:val="22"/>
        </w:rPr>
        <w:t>i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č. </w:t>
      </w:r>
      <w:r w:rsidR="00932462">
        <w:rPr>
          <w:rFonts w:ascii="Times New Roman" w:hAnsi="Times New Roman"/>
          <w:sz w:val="22"/>
        </w:rPr>
        <w:t>0433</w:t>
      </w:r>
      <w:r w:rsidR="009C2AB2" w:rsidRPr="009C2AB2">
        <w:rPr>
          <w:rFonts w:ascii="Times New Roman" w:hAnsi="Times New Roman"/>
          <w:sz w:val="22"/>
        </w:rPr>
        <w:t>/ZM</w:t>
      </w:r>
      <w:r w:rsidR="00932462">
        <w:rPr>
          <w:rFonts w:ascii="Times New Roman" w:hAnsi="Times New Roman"/>
          <w:sz w:val="22"/>
        </w:rPr>
        <w:t>2226</w:t>
      </w:r>
      <w:r w:rsidR="009C2AB2" w:rsidRPr="009C2AB2">
        <w:rPr>
          <w:rFonts w:ascii="Times New Roman" w:hAnsi="Times New Roman"/>
          <w:sz w:val="22"/>
        </w:rPr>
        <w:t>/</w:t>
      </w:r>
      <w:r w:rsidR="00932462">
        <w:rPr>
          <w:rFonts w:ascii="Times New Roman" w:hAnsi="Times New Roman"/>
          <w:sz w:val="22"/>
        </w:rPr>
        <w:t>10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932462">
        <w:rPr>
          <w:rFonts w:ascii="Times New Roman" w:hAnsi="Times New Roman"/>
          <w:sz w:val="22"/>
          <w:szCs w:val="22"/>
        </w:rPr>
        <w:t>20.09.2023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2A122C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37F27335" w:rsidR="0061273B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E61C5">
        <w:rPr>
          <w:rFonts w:ascii="Times New Roman" w:hAnsi="Times New Roman"/>
          <w:sz w:val="22"/>
          <w:szCs w:val="22"/>
        </w:rPr>
        <w:t xml:space="preserve">číslo </w:t>
      </w:r>
      <w:r w:rsidR="00DD4B3F">
        <w:rPr>
          <w:rFonts w:ascii="Times New Roman" w:hAnsi="Times New Roman"/>
          <w:sz w:val="22"/>
          <w:szCs w:val="22"/>
        </w:rPr>
        <w:t xml:space="preserve">23/1212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529F1E26" w14:textId="77777777" w:rsidR="00B553D4" w:rsidRPr="00D37948" w:rsidRDefault="00B553D4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>Charitní dům sv. Benedikta Labre - terénní programy</w:t>
      </w:r>
    </w:p>
    <w:p w14:paraId="4B0505B7" w14:textId="427F4DD4" w:rsidR="00C2671E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terénní programy (§69) – terénní </w:t>
      </w:r>
      <w:r w:rsidR="00DD4B3F"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="00DD4B3F">
        <w:rPr>
          <w:rFonts w:ascii="Times New Roman" w:hAnsi="Times New Roman"/>
          <w:b/>
          <w:sz w:val="22"/>
          <w:szCs w:val="22"/>
        </w:rPr>
        <w:t>2179607</w:t>
      </w:r>
      <w:r w:rsidR="00DD4B3F" w:rsidRPr="00C2671E">
        <w:rPr>
          <w:rFonts w:ascii="Times New Roman" w:hAnsi="Times New Roman"/>
          <w:b/>
          <w:sz w:val="22"/>
          <w:szCs w:val="22"/>
        </w:rPr>
        <w:t>)</w:t>
      </w:r>
    </w:p>
    <w:p w14:paraId="6A4CFEC5" w14:textId="77777777" w:rsidR="00B553D4" w:rsidRPr="00C2671E" w:rsidRDefault="00B553D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06BF2CF9" w14:textId="77777777" w:rsidR="00B553D4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 xml:space="preserve">Lidická 773/54, 703 00 </w:t>
      </w:r>
      <w:proofErr w:type="gramStart"/>
      <w:r w:rsidR="00D80F2E">
        <w:rPr>
          <w:rFonts w:ascii="Times New Roman" w:hAnsi="Times New Roman"/>
          <w:b/>
          <w:sz w:val="22"/>
          <w:szCs w:val="22"/>
        </w:rPr>
        <w:t>Ostrava - Vítkovice</w:t>
      </w:r>
      <w:proofErr w:type="gramEnd"/>
      <w:r w:rsidR="00D80F2E">
        <w:rPr>
          <w:rFonts w:ascii="Times New Roman" w:hAnsi="Times New Roman"/>
          <w:b/>
          <w:sz w:val="22"/>
          <w:szCs w:val="22"/>
        </w:rPr>
        <w:t xml:space="preserve"> (zázemí služby), </w:t>
      </w:r>
    </w:p>
    <w:p w14:paraId="1AB921BD" w14:textId="6F2CF092" w:rsidR="0061273B" w:rsidRDefault="00B553D4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>území statutárního města Ostravy a širšího správního obvodu (terénní forma).</w:t>
      </w:r>
    </w:p>
    <w:p w14:paraId="5711040C" w14:textId="5C7A3BDD" w:rsidR="001C6C40" w:rsidRPr="003E773D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202CB">
        <w:rPr>
          <w:rFonts w:ascii="Times New Roman" w:hAnsi="Times New Roman"/>
          <w:bCs/>
          <w:sz w:val="22"/>
          <w:szCs w:val="22"/>
        </w:rPr>
        <w:t>Rozšíření</w:t>
      </w:r>
      <w:r w:rsidRPr="003E77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uvedeného </w:t>
      </w:r>
      <w:r w:rsidRPr="003E773D">
        <w:rPr>
          <w:rFonts w:ascii="Times New Roman" w:hAnsi="Times New Roman"/>
          <w:bCs/>
          <w:sz w:val="22"/>
          <w:szCs w:val="22"/>
        </w:rPr>
        <w:t>místa realizace je možn</w:t>
      </w:r>
      <w:r w:rsidR="007202CB">
        <w:rPr>
          <w:rFonts w:ascii="Times New Roman" w:hAnsi="Times New Roman"/>
          <w:bCs/>
          <w:sz w:val="22"/>
          <w:szCs w:val="22"/>
        </w:rPr>
        <w:t>é</w:t>
      </w:r>
      <w:r w:rsidRPr="003E773D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4B50047C" w14:textId="16ADB4C3" w:rsidR="009631CE" w:rsidRPr="00AA5269" w:rsidRDefault="009631CE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color w:val="FF0000"/>
          <w:sz w:val="22"/>
        </w:rPr>
      </w:pPr>
    </w:p>
    <w:p w14:paraId="51084C63" w14:textId="4ED13B73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031917EB" w14:textId="77777777" w:rsidR="00AC24BC" w:rsidRPr="00B553D4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2FFBA785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B553D4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6008DFAE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pohonné hmoty, </w:t>
      </w:r>
    </w:p>
    <w:p w14:paraId="177EABEB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261E2352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78696AA0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64FB9EAE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30EBD07F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60D82D07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plyn, </w:t>
      </w:r>
    </w:p>
    <w:p w14:paraId="3859C095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dlouhodobý hmotný majetek do 40 tis. Kč (obnova vybavení střediska), </w:t>
      </w:r>
    </w:p>
    <w:p w14:paraId="6D13807A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>spoje,</w:t>
      </w:r>
    </w:p>
    <w:p w14:paraId="3E48E351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3CF76176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5CBD88A2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jiné služby (licence SW, supervize, služby metodika, IT služby, tiskové služby, poplatky za rozhlas), </w:t>
      </w:r>
    </w:p>
    <w:p w14:paraId="31763625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1075BE36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dohody o provedení práce (DPP), </w:t>
      </w:r>
    </w:p>
    <w:p w14:paraId="2601FA2A" w14:textId="77777777" w:rsidR="00B553D4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6E4DAF81" w14:textId="34E6EC02" w:rsidR="00A43BEC" w:rsidRPr="00B553D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B553D4">
        <w:rPr>
          <w:rFonts w:ascii="Times New Roman" w:hAnsi="Times New Roman"/>
          <w:b/>
          <w:iCs/>
          <w:sz w:val="21"/>
          <w:szCs w:val="21"/>
        </w:rPr>
        <w:t>jiné osobní náklady (příspěvek na stravování zaměstnanců)</w:t>
      </w:r>
      <w:r w:rsidR="00B553D4" w:rsidRPr="00B553D4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E714A9" w:rsidRDefault="004F5E85" w:rsidP="004F5E85">
      <w:pPr>
        <w:ind w:left="1069"/>
        <w:jc w:val="both"/>
        <w:rPr>
          <w:rFonts w:ascii="Times New Roman" w:hAnsi="Times New Roman"/>
          <w:i/>
          <w:color w:val="0070C0"/>
          <w:sz w:val="21"/>
          <w:szCs w:val="21"/>
          <w:highlight w:val="yellow"/>
        </w:rPr>
      </w:pPr>
    </w:p>
    <w:p w14:paraId="2C127BE6" w14:textId="77777777" w:rsidR="00AC24BC" w:rsidRPr="001C147A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042CCE">
        <w:rPr>
          <w:rFonts w:ascii="Times New Roman" w:hAnsi="Times New Roman"/>
          <w:sz w:val="22"/>
          <w:szCs w:val="22"/>
        </w:rPr>
        <w:t xml:space="preserve">Příjemce je </w:t>
      </w:r>
      <w:r w:rsidRPr="00042CCE">
        <w:rPr>
          <w:rFonts w:ascii="Times New Roman" w:hAnsi="Times New Roman"/>
          <w:sz w:val="22"/>
        </w:rPr>
        <w:t>oprávněn</w:t>
      </w:r>
      <w:r w:rsidRPr="00042CCE">
        <w:rPr>
          <w:rFonts w:ascii="Times New Roman" w:hAnsi="Times New Roman"/>
          <w:sz w:val="22"/>
          <w:szCs w:val="22"/>
        </w:rPr>
        <w:t xml:space="preserve"> </w:t>
      </w:r>
      <w:r w:rsidRPr="00042CCE">
        <w:rPr>
          <w:rFonts w:ascii="Times New Roman" w:hAnsi="Times New Roman"/>
          <w:sz w:val="22"/>
        </w:rPr>
        <w:t xml:space="preserve">čerpat </w:t>
      </w:r>
      <w:r w:rsidRPr="00042CC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42CCE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5DE0EAAF" w:rsidR="001B09DC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0C65A4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r w:rsidR="00171E76">
        <w:rPr>
          <w:rFonts w:ascii="Times New Roman" w:hAnsi="Times New Roman"/>
          <w:b/>
          <w:sz w:val="22"/>
          <w:lang w:val="en-US"/>
        </w:rPr>
        <w:t>nákladové položky</w:t>
      </w:r>
      <w:r w:rsidR="00A54DD4" w:rsidRPr="00A54DD4">
        <w:rPr>
          <w:rFonts w:ascii="Times New Roman" w:hAnsi="Times New Roman"/>
          <w:sz w:val="22"/>
          <w:szCs w:val="22"/>
        </w:rPr>
        <w:t xml:space="preserve"> </w:t>
      </w:r>
      <w:r w:rsidR="00171E76">
        <w:rPr>
          <w:rFonts w:ascii="Times New Roman" w:hAnsi="Times New Roman"/>
          <w:b/>
          <w:bCs/>
          <w:iCs/>
          <w:sz w:val="22"/>
          <w:szCs w:val="22"/>
        </w:rPr>
        <w:t>kancelářské potřeby, pohonné hmoty, drogerie, ochranné pracovní pomůcky, ostatní materiál</w:t>
      </w:r>
      <w:r w:rsidR="00042CCE" w:rsidRPr="00724123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>
        <w:rPr>
          <w:rFonts w:ascii="Times New Roman" w:hAnsi="Times New Roman"/>
          <w:b/>
          <w:sz w:val="22"/>
        </w:rPr>
        <w:t xml:space="preserve">max. </w:t>
      </w:r>
      <w:r w:rsidR="00171E76">
        <w:rPr>
          <w:rFonts w:ascii="Times New Roman" w:hAnsi="Times New Roman"/>
          <w:b/>
          <w:sz w:val="22"/>
          <w:lang w:val="en-US"/>
        </w:rPr>
        <w:t>26 000</w:t>
      </w:r>
      <w:r w:rsidR="00A645FC">
        <w:rPr>
          <w:rFonts w:ascii="Times New Roman" w:hAnsi="Times New Roman"/>
          <w:b/>
          <w:sz w:val="22"/>
        </w:rPr>
        <w:t>,- </w:t>
      </w:r>
      <w:r w:rsidRPr="000C65A4">
        <w:rPr>
          <w:rFonts w:ascii="Times New Roman" w:hAnsi="Times New Roman"/>
          <w:b/>
          <w:sz w:val="22"/>
        </w:rPr>
        <w:t>Kč</w:t>
      </w:r>
      <w:r w:rsidR="00CB1FD4">
        <w:rPr>
          <w:rFonts w:ascii="Times New Roman" w:hAnsi="Times New Roman"/>
          <w:b/>
          <w:sz w:val="22"/>
        </w:rPr>
        <w:t xml:space="preserve"> </w:t>
      </w:r>
      <w:r w:rsidR="00CB1FD4" w:rsidRPr="003E773D">
        <w:rPr>
          <w:rFonts w:ascii="Times New Roman" w:hAnsi="Times New Roman"/>
          <w:bCs/>
          <w:sz w:val="22"/>
        </w:rPr>
        <w:t>v součtu za všechny nákladové položky</w:t>
      </w:r>
      <w:r w:rsidRPr="000C65A4">
        <w:rPr>
          <w:rFonts w:ascii="Times New Roman" w:hAnsi="Times New Roman"/>
          <w:b/>
          <w:sz w:val="22"/>
        </w:rPr>
        <w:t xml:space="preserve">. </w:t>
      </w:r>
    </w:p>
    <w:p w14:paraId="10883017" w14:textId="36D6B743" w:rsidR="004F5E85" w:rsidRPr="0061390C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0C65A4">
        <w:rPr>
          <w:rFonts w:ascii="Times New Roman" w:hAnsi="Times New Roman"/>
          <w:b/>
          <w:sz w:val="22"/>
        </w:rPr>
        <w:t>Do této výše nemusí být náklad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(tj. kopírován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B553D4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1B09DC">
        <w:rPr>
          <w:rFonts w:ascii="Times New Roman" w:hAnsi="Times New Roman"/>
          <w:b/>
          <w:i/>
          <w:iCs/>
          <w:sz w:val="22"/>
        </w:rPr>
        <w:t>.</w:t>
      </w:r>
      <w:r w:rsidR="00B71EB4" w:rsidRPr="00724123">
        <w:rPr>
          <w:rFonts w:ascii="Times New Roman" w:hAnsi="Times New Roman"/>
          <w:b/>
          <w:sz w:val="22"/>
        </w:rPr>
        <w:t xml:space="preserve"> </w:t>
      </w:r>
      <w:r w:rsidRPr="002B7740">
        <w:rPr>
          <w:rFonts w:ascii="Times New Roman" w:hAnsi="Times New Roman"/>
          <w:b/>
          <w:sz w:val="22"/>
        </w:rPr>
        <w:t>Doklady k těmto nákladům však musí mít příjemce dotace uchovány pro případ kontroly</w:t>
      </w:r>
      <w:r w:rsidRPr="000C65A4">
        <w:rPr>
          <w:rFonts w:ascii="Times New Roman" w:hAnsi="Times New Roman"/>
          <w:b/>
          <w:sz w:val="22"/>
        </w:rPr>
        <w:t xml:space="preserve"> na místě ze strany poskytovatele dotace. Náklady upla</w:t>
      </w:r>
      <w:r w:rsidR="006D21E4" w:rsidRPr="000C65A4">
        <w:rPr>
          <w:rFonts w:ascii="Times New Roman" w:hAnsi="Times New Roman"/>
          <w:b/>
          <w:sz w:val="22"/>
        </w:rPr>
        <w:t>tněné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0C65A4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61390C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FE29B4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 w:rsidR="00282014"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DA63B8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</w:t>
      </w:r>
      <w:r w:rsidR="003F2EE6" w:rsidRPr="00FE29B4">
        <w:rPr>
          <w:rFonts w:ascii="Times New Roman" w:hAnsi="Times New Roman"/>
          <w:sz w:val="22"/>
          <w:szCs w:val="22"/>
        </w:rPr>
        <w:t>31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12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4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7E176F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lastRenderedPageBreak/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24924D89" w14:textId="33D12332" w:rsidR="00E714A9" w:rsidRPr="006F1CDC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>
        <w:rPr>
          <w:rFonts w:ascii="Times New Roman" w:hAnsi="Times New Roman"/>
          <w:b/>
          <w:sz w:val="22"/>
          <w:szCs w:val="22"/>
        </w:rPr>
        <w:t>532 000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B553D4" w:rsidRPr="00B553D4">
        <w:rPr>
          <w:rFonts w:ascii="Times New Roman" w:hAnsi="Times New Roman"/>
          <w:sz w:val="22"/>
          <w:szCs w:val="22"/>
        </w:rPr>
        <w:t xml:space="preserve">pět set třicet dva tisíc </w:t>
      </w:r>
      <w:r w:rsidRPr="004A50AA">
        <w:rPr>
          <w:rFonts w:ascii="Times New Roman" w:hAnsi="Times New Roman"/>
          <w:sz w:val="22"/>
          <w:szCs w:val="22"/>
        </w:rPr>
        <w:t>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bookmarkStart w:id="2" w:name="_Hlk156971712"/>
      <w:r w:rsidR="006F1CDC" w:rsidRPr="00A645FC">
        <w:rPr>
          <w:rFonts w:ascii="Times New Roman" w:hAnsi="Times New Roman"/>
          <w:sz w:val="22"/>
          <w:szCs w:val="22"/>
          <w:lang w:val="en-US"/>
        </w:rPr>
        <w:t>ve 3 splátkách dle následujícího splátkového kalendáře:</w:t>
      </w:r>
    </w:p>
    <w:p w14:paraId="1BB54734" w14:textId="7431C771" w:rsidR="00E714A9" w:rsidRPr="00CE1CD7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>266 000</w:t>
      </w:r>
      <w:r w:rsidR="00A645FC" w:rsidRPr="00C64ADE">
        <w:rPr>
          <w:rFonts w:ascii="Times New Roman" w:hAnsi="Times New Roman"/>
          <w:sz w:val="22"/>
          <w:szCs w:val="22"/>
        </w:rPr>
        <w:t>,-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do 15 dnů po nabytí účinnosti této smlouvy,</w:t>
      </w:r>
    </w:p>
    <w:p w14:paraId="147965D8" w14:textId="57826330" w:rsidR="00E714A9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>133 000</w:t>
      </w:r>
      <w:r w:rsidR="00A645FC" w:rsidRPr="00C64ADE">
        <w:rPr>
          <w:rFonts w:ascii="Times New Roman" w:hAnsi="Times New Roman"/>
          <w:sz w:val="22"/>
          <w:szCs w:val="22"/>
        </w:rPr>
        <w:t>,-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01.07.202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,</w:t>
      </w:r>
    </w:p>
    <w:p w14:paraId="69DF36C4" w14:textId="42B435BB" w:rsidR="00FE29B4" w:rsidRPr="00FE29B4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>133 000</w:t>
      </w:r>
      <w:r w:rsidR="00A645FC" w:rsidRPr="00C64ADE">
        <w:rPr>
          <w:rFonts w:ascii="Times New Roman" w:hAnsi="Times New Roman"/>
          <w:sz w:val="22"/>
          <w:szCs w:val="22"/>
        </w:rPr>
        <w:t>,-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01.10.202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7E176F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="00282014" w:rsidRPr="00E714A9">
        <w:rPr>
          <w:rFonts w:ascii="Times New Roman" w:hAnsi="Times New Roman"/>
          <w:b/>
          <w:sz w:val="22"/>
          <w:szCs w:val="22"/>
        </w:rPr>
        <w:t>od 01.01.202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E714A9"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 w:rsidR="001D207F">
        <w:rPr>
          <w:rFonts w:ascii="Times New Roman" w:hAnsi="Times New Roman"/>
          <w:b/>
          <w:sz w:val="22"/>
          <w:szCs w:val="22"/>
        </w:rPr>
        <w:t>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1D207F">
        <w:rPr>
          <w:rFonts w:ascii="Times New Roman" w:hAnsi="Times New Roman"/>
          <w:sz w:val="22"/>
          <w:szCs w:val="22"/>
        </w:rPr>
        <w:t>prosinec 202</w:t>
      </w:r>
      <w:r w:rsidR="00DA63B8">
        <w:rPr>
          <w:rFonts w:ascii="Times New Roman" w:hAnsi="Times New Roman"/>
          <w:sz w:val="22"/>
          <w:szCs w:val="22"/>
        </w:rPr>
        <w:t>4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</w:t>
      </w:r>
      <w:r w:rsidR="001D207F">
        <w:rPr>
          <w:rFonts w:ascii="Times New Roman" w:hAnsi="Times New Roman"/>
          <w:sz w:val="22"/>
          <w:szCs w:val="22"/>
        </w:rPr>
        <w:t>0</w:t>
      </w:r>
      <w:r w:rsidR="009C6D07" w:rsidRPr="00AA5269">
        <w:rPr>
          <w:rFonts w:ascii="Times New Roman" w:hAnsi="Times New Roman"/>
          <w:sz w:val="22"/>
          <w:szCs w:val="22"/>
        </w:rPr>
        <w:t>1.20</w:t>
      </w:r>
      <w:r w:rsidR="00FE29B4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5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>árního města Ostravy na rok 202</w:t>
      </w:r>
      <w:r w:rsidR="00DA63B8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 Podmínkami pro oblast </w:t>
      </w:r>
      <w:r w:rsidR="006F1CDC">
        <w:rPr>
          <w:rFonts w:ascii="Times New Roman" w:hAnsi="Times New Roman"/>
          <w:sz w:val="22"/>
          <w:szCs w:val="22"/>
          <w:lang w:val="en-US"/>
        </w:rPr>
        <w:t>sociální péče</w:t>
      </w:r>
    </w:p>
    <w:p w14:paraId="56AE3776" w14:textId="77777777" w:rsidR="00AA5269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</w:t>
      </w:r>
      <w:r w:rsidRPr="0013624E">
        <w:rPr>
          <w:rFonts w:ascii="Times New Roman" w:hAnsi="Times New Roman"/>
          <w:sz w:val="22"/>
          <w:szCs w:val="22"/>
        </w:rPr>
        <w:t>pozdějších předpisů</w:t>
      </w:r>
    </w:p>
    <w:p w14:paraId="74928547" w14:textId="3C22A973" w:rsidR="00AA020C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1308E">
        <w:rPr>
          <w:rFonts w:ascii="Times New Roman" w:hAnsi="Times New Roman"/>
          <w:sz w:val="22"/>
          <w:szCs w:val="22"/>
        </w:rPr>
        <w:t xml:space="preserve">účetními doklady a </w:t>
      </w:r>
      <w:r w:rsidRPr="00D1308E">
        <w:rPr>
          <w:rFonts w:ascii="Times New Roman" w:hAnsi="Times New Roman"/>
          <w:sz w:val="22"/>
          <w:szCs w:val="22"/>
        </w:rPr>
        <w:t>ostatními</w:t>
      </w:r>
      <w:r w:rsidRPr="0013624E">
        <w:rPr>
          <w:rFonts w:ascii="Times New Roman" w:hAnsi="Times New Roman"/>
          <w:sz w:val="22"/>
          <w:szCs w:val="22"/>
        </w:rPr>
        <w:t xml:space="preserve"> záznamy</w:t>
      </w:r>
    </w:p>
    <w:p w14:paraId="340FE5B6" w14:textId="77777777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 01.01.202</w:t>
      </w:r>
      <w:r w:rsidR="007A3C15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>mimo případů uvedených v</w:t>
      </w:r>
      <w:r w:rsidR="00685858" w:rsidRPr="003F1432">
        <w:rPr>
          <w:rFonts w:ascii="Times New Roman" w:hAnsi="Times New Roman"/>
          <w:sz w:val="22"/>
        </w:rPr>
        <w:t xml:space="preserve"> </w:t>
      </w:r>
      <w:r w:rsidR="005D2A82" w:rsidRPr="00AA5269">
        <w:rPr>
          <w:rFonts w:ascii="Times New Roman" w:hAnsi="Times New Roman"/>
          <w:sz w:val="22"/>
          <w:szCs w:val="22"/>
        </w:rPr>
        <w:t>Programu</w:t>
      </w:r>
      <w:r w:rsidR="00A67A80" w:rsidRPr="00AA5269">
        <w:rPr>
          <w:rFonts w:ascii="Times New Roman" w:hAnsi="Times New Roman"/>
          <w:sz w:val="22"/>
          <w:szCs w:val="22"/>
        </w:rPr>
        <w:t xml:space="preserve"> </w:t>
      </w:r>
      <w:r w:rsidR="00C0089C" w:rsidRPr="00AA5269">
        <w:rPr>
          <w:rFonts w:ascii="Times New Roman" w:hAnsi="Times New Roman"/>
          <w:sz w:val="22"/>
          <w:szCs w:val="22"/>
        </w:rPr>
        <w:t>na</w:t>
      </w:r>
      <w:r w:rsidR="00A67A80" w:rsidRPr="003F1432">
        <w:rPr>
          <w:rFonts w:ascii="Times New Roman" w:hAnsi="Times New Roman"/>
          <w:sz w:val="22"/>
        </w:rPr>
        <w:t xml:space="preserve"> poskytování </w:t>
      </w:r>
      <w:r w:rsidR="005D2A82"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</w:t>
      </w:r>
      <w:r w:rsidR="00A43BEC" w:rsidRPr="003F1432">
        <w:rPr>
          <w:rFonts w:ascii="Times New Roman" w:hAnsi="Times New Roman"/>
          <w:sz w:val="22"/>
        </w:rPr>
        <w:t>z rozpočtu</w:t>
      </w:r>
      <w:r w:rsidRPr="003F1432">
        <w:rPr>
          <w:rFonts w:ascii="Times New Roman" w:hAnsi="Times New Roman"/>
          <w:sz w:val="22"/>
        </w:rPr>
        <w:t xml:space="preserve"> statutárního města Ostravy </w:t>
      </w:r>
      <w:r w:rsidR="00687AAC" w:rsidRPr="00AA5269">
        <w:rPr>
          <w:rFonts w:ascii="Times New Roman" w:hAnsi="Times New Roman"/>
          <w:sz w:val="22"/>
          <w:szCs w:val="22"/>
        </w:rPr>
        <w:t>na</w:t>
      </w:r>
      <w:r w:rsidR="00687AAC" w:rsidRPr="003F1432">
        <w:rPr>
          <w:rFonts w:ascii="Times New Roman" w:hAnsi="Times New Roman"/>
          <w:sz w:val="22"/>
        </w:rPr>
        <w:t xml:space="preserve"> rok </w:t>
      </w:r>
      <w:r w:rsidR="00FE29B4">
        <w:rPr>
          <w:rFonts w:ascii="Times New Roman" w:hAnsi="Times New Roman"/>
          <w:sz w:val="22"/>
          <w:szCs w:val="22"/>
        </w:rPr>
        <w:t>202</w:t>
      </w:r>
      <w:r w:rsidR="007A3C15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</w:t>
      </w:r>
      <w:r w:rsidR="00646C1F" w:rsidRPr="00AA5269">
        <w:rPr>
          <w:rFonts w:ascii="Times New Roman" w:hAnsi="Times New Roman"/>
          <w:sz w:val="22"/>
          <w:szCs w:val="22"/>
        </w:rPr>
        <w:t xml:space="preserve"> Podmínkách pro oblast</w:t>
      </w:r>
      <w:r w:rsidR="006F1CDC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>sociální péče</w:t>
      </w:r>
      <w:r w:rsidR="00112270" w:rsidRPr="00AA5269">
        <w:rPr>
          <w:rFonts w:ascii="Times New Roman" w:hAnsi="Times New Roman"/>
          <w:sz w:val="22"/>
          <w:szCs w:val="22"/>
        </w:rPr>
        <w:t>,</w:t>
      </w:r>
      <w:r w:rsidR="005D2A82"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lastRenderedPageBreak/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</w:t>
      </w:r>
      <w:r w:rsidR="00CB1FD4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základě</w:t>
      </w:r>
      <w:r w:rsidR="00DB3E0F">
        <w:rPr>
          <w:rFonts w:ascii="Times New Roman" w:hAnsi="Times New Roman"/>
          <w:sz w:val="22"/>
          <w:szCs w:val="22"/>
        </w:rPr>
        <w:t xml:space="preserve"> pověření </w:t>
      </w:r>
      <w:r w:rsidR="006F1CDC">
        <w:rPr>
          <w:rFonts w:ascii="Times New Roman" w:hAnsi="Times New Roman"/>
          <w:sz w:val="22"/>
          <w:szCs w:val="22"/>
          <w:lang w:val="en-US"/>
        </w:rPr>
        <w:t>Moravskoslezského kraje</w:t>
      </w:r>
      <w:r w:rsidR="00DB3E0F" w:rsidRPr="00DB3E0F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>
        <w:rPr>
          <w:rFonts w:ascii="Times New Roman" w:hAnsi="Times New Roman"/>
          <w:sz w:val="22"/>
          <w:szCs w:val="22"/>
        </w:rPr>
        <w:t>(ev. č. smlouvy</w:t>
      </w:r>
      <w:r w:rsidRPr="00C2671E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>03807/2023/SOC ze dne 11. 10. 2023</w:t>
      </w:r>
      <w:r w:rsidR="00CE1CD7" w:rsidRPr="00CE1CD7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CE1CD7">
        <w:rPr>
          <w:rFonts w:ascii="Times New Roman" w:hAnsi="Times New Roman"/>
          <w:iCs/>
          <w:sz w:val="22"/>
          <w:szCs w:val="22"/>
        </w:rPr>
        <w:t>dále jen „pověření“)</w:t>
      </w:r>
      <w:r w:rsidRPr="00CE1CD7">
        <w:rPr>
          <w:rFonts w:ascii="Times New Roman" w:hAnsi="Times New Roman"/>
          <w:i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>
        <w:rPr>
          <w:rFonts w:ascii="Times New Roman" w:hAnsi="Times New Roman"/>
          <w:sz w:val="22"/>
          <w:szCs w:val="22"/>
          <w:lang w:val="en-US"/>
        </w:rPr>
        <w:t>Moravskoslezského kraje</w:t>
      </w:r>
      <w:r w:rsidR="00AA0AD8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D37948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</w:t>
      </w:r>
      <w:r w:rsidR="00CB1FD4">
        <w:rPr>
          <w:rFonts w:ascii="Times New Roman" w:hAnsi="Times New Roman"/>
          <w:sz w:val="22"/>
          <w:szCs w:val="22"/>
        </w:rPr>
        <w:t> </w:t>
      </w:r>
      <w:r w:rsidR="00696539">
        <w:rPr>
          <w:rFonts w:ascii="Times New Roman" w:hAnsi="Times New Roman"/>
          <w:sz w:val="22"/>
          <w:szCs w:val="22"/>
        </w:rPr>
        <w:t>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>závěrečného vyúčtování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37948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37948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6C5CC9">
        <w:rPr>
          <w:rFonts w:ascii="Times New Roman" w:hAnsi="Times New Roman"/>
          <w:sz w:val="22"/>
          <w:szCs w:val="22"/>
        </w:rPr>
        <w:t xml:space="preserve">nformovat poskytovatele </w:t>
      </w:r>
      <w:r>
        <w:rPr>
          <w:rFonts w:ascii="Times New Roman" w:hAnsi="Times New Roman"/>
          <w:sz w:val="22"/>
          <w:szCs w:val="22"/>
        </w:rPr>
        <w:t>o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B67FCC" w:rsidRPr="00D1308E">
        <w:rPr>
          <w:rFonts w:ascii="Times New Roman" w:hAnsi="Times New Roman"/>
          <w:sz w:val="22"/>
          <w:szCs w:val="22"/>
        </w:rPr>
        <w:t>personálních změnách vzniklých v průběhu realizace</w:t>
      </w:r>
      <w:r w:rsidR="00B67FCC" w:rsidRPr="006C5CC9">
        <w:rPr>
          <w:rFonts w:ascii="Times New Roman" w:hAnsi="Times New Roman"/>
          <w:sz w:val="22"/>
          <w:szCs w:val="22"/>
        </w:rPr>
        <w:t xml:space="preserve"> projektu v rámci </w:t>
      </w:r>
      <w:r w:rsidR="005C2085" w:rsidRPr="000E61C5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0E61C5">
        <w:rPr>
          <w:rFonts w:ascii="Times New Roman" w:hAnsi="Times New Roman"/>
          <w:sz w:val="22"/>
          <w:szCs w:val="22"/>
        </w:rPr>
        <w:t>závěrečn</w:t>
      </w:r>
      <w:r w:rsidR="00F42BE2" w:rsidRPr="000E61C5">
        <w:rPr>
          <w:rFonts w:ascii="Times New Roman" w:hAnsi="Times New Roman"/>
          <w:sz w:val="22"/>
          <w:szCs w:val="22"/>
        </w:rPr>
        <w:t>é</w:t>
      </w:r>
      <w:r w:rsidR="00B67FCC" w:rsidRPr="00E47516">
        <w:rPr>
          <w:rFonts w:ascii="Times New Roman" w:hAnsi="Times New Roman"/>
          <w:sz w:val="22"/>
          <w:szCs w:val="22"/>
        </w:rPr>
        <w:t xml:space="preserve"> zpráv</w:t>
      </w:r>
      <w:r w:rsidR="00F42BE2" w:rsidRPr="00E47516">
        <w:rPr>
          <w:rFonts w:ascii="Times New Roman" w:hAnsi="Times New Roman"/>
          <w:sz w:val="22"/>
          <w:szCs w:val="22"/>
        </w:rPr>
        <w:t>y</w:t>
      </w:r>
      <w:r w:rsidR="00B67FCC" w:rsidRPr="006C5CC9">
        <w:rPr>
          <w:rFonts w:ascii="Times New Roman" w:hAnsi="Times New Roman"/>
          <w:sz w:val="22"/>
          <w:szCs w:val="22"/>
        </w:rPr>
        <w:t xml:space="preserve"> předkládan</w:t>
      </w:r>
      <w:r w:rsidR="00F42BE2">
        <w:rPr>
          <w:rFonts w:ascii="Times New Roman" w:hAnsi="Times New Roman"/>
          <w:sz w:val="22"/>
          <w:szCs w:val="22"/>
        </w:rPr>
        <w:t>é</w:t>
      </w:r>
      <w:r w:rsidR="00B67FCC" w:rsidRPr="006C5CC9">
        <w:rPr>
          <w:rFonts w:ascii="Times New Roman" w:hAnsi="Times New Roman"/>
          <w:sz w:val="22"/>
          <w:szCs w:val="22"/>
        </w:rPr>
        <w:t xml:space="preserve"> </w:t>
      </w:r>
      <w:r w:rsidR="001A4FBA" w:rsidRPr="006C5CC9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C5CC9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6C5CC9">
        <w:rPr>
          <w:rFonts w:ascii="Times New Roman" w:hAnsi="Times New Roman"/>
          <w:sz w:val="22"/>
          <w:szCs w:val="22"/>
        </w:rPr>
        <w:t>Příjemce</w:t>
      </w:r>
      <w:r w:rsidR="00EB48EA"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 xml:space="preserve">dubna 2016 o ochraně fyzických osob v souvislosti se zpracováním osobních údajů a o volném pohybu těchto údajů a o zrušení </w:t>
      </w:r>
      <w:r w:rsidR="00EB48EA" w:rsidRPr="00EB48EA">
        <w:rPr>
          <w:rFonts w:ascii="Times New Roman" w:hAnsi="Times New Roman"/>
          <w:sz w:val="22"/>
          <w:szCs w:val="22"/>
        </w:rPr>
        <w:lastRenderedPageBreak/>
        <w:t>směrnice 95/46/ES (obecné nařízení o ochraně osobních údajů) a je si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>
        <w:rPr>
          <w:rFonts w:ascii="Times New Roman" w:hAnsi="Times New Roman"/>
          <w:sz w:val="22"/>
          <w:szCs w:val="22"/>
        </w:rPr>
        <w:t xml:space="preserve"> </w:t>
      </w:r>
      <w:r w:rsidR="0051577A" w:rsidRPr="0051577A">
        <w:rPr>
          <w:rFonts w:ascii="Times New Roman" w:hAnsi="Times New Roman"/>
          <w:sz w:val="22"/>
          <w:szCs w:val="22"/>
        </w:rPr>
        <w:t>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37948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F51F72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 30.06.202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 a </w:t>
      </w:r>
      <w:r w:rsidRPr="00A7231F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>o realizaci projektu za rok 202</w:t>
      </w:r>
      <w:r w:rsidR="00E80947">
        <w:rPr>
          <w:rFonts w:ascii="Times New Roman" w:hAnsi="Times New Roman"/>
          <w:b/>
          <w:sz w:val="22"/>
          <w:szCs w:val="22"/>
        </w:rPr>
        <w:t>4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E8094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 31.12.202</w:t>
      </w:r>
      <w:r w:rsidR="00E80947">
        <w:rPr>
          <w:rFonts w:ascii="Times New Roman" w:hAnsi="Times New Roman"/>
          <w:sz w:val="22"/>
          <w:szCs w:val="22"/>
        </w:rPr>
        <w:t>4</w:t>
      </w:r>
      <w:r w:rsidRPr="00A7231F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1308E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elektronické</w:t>
      </w:r>
      <w:r w:rsidRPr="00D130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podobě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625F1F" w:rsidRPr="00D1308E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1308E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1308E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9629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>
        <w:rPr>
          <w:rFonts w:ascii="Times New Roman" w:hAnsi="Times New Roman"/>
          <w:bCs/>
          <w:sz w:val="22"/>
          <w:szCs w:val="22"/>
        </w:rPr>
        <w:t>2</w:t>
      </w:r>
      <w:r w:rsidRPr="00196290">
        <w:rPr>
          <w:rFonts w:ascii="Times New Roman" w:hAnsi="Times New Roman"/>
          <w:bCs/>
          <w:sz w:val="22"/>
          <w:szCs w:val="22"/>
        </w:rPr>
        <w:t>/</w:t>
      </w:r>
      <w:r w:rsidR="007D5F8B" w:rsidRPr="00196290">
        <w:rPr>
          <w:rFonts w:ascii="Times New Roman" w:hAnsi="Times New Roman"/>
          <w:bCs/>
          <w:sz w:val="22"/>
          <w:szCs w:val="22"/>
        </w:rPr>
        <w:t>20</w:t>
      </w:r>
      <w:r w:rsidR="007D5F8B">
        <w:rPr>
          <w:rFonts w:ascii="Times New Roman" w:hAnsi="Times New Roman"/>
          <w:bCs/>
          <w:sz w:val="22"/>
          <w:szCs w:val="22"/>
        </w:rPr>
        <w:t>20</w:t>
      </w:r>
      <w:r w:rsidRPr="0019629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>
        <w:rPr>
          <w:rFonts w:ascii="Times New Roman" w:hAnsi="Times New Roman"/>
          <w:bCs/>
          <w:sz w:val="22"/>
          <w:szCs w:val="22"/>
        </w:rPr>
        <w:t> </w:t>
      </w:r>
      <w:r w:rsidRPr="0019629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19629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196290">
        <w:rPr>
          <w:rFonts w:ascii="Times New Roman" w:hAnsi="Times New Roman"/>
          <w:bCs/>
          <w:sz w:val="22"/>
          <w:szCs w:val="22"/>
        </w:rPr>
        <w:t>vlastníka věci</w:t>
      </w:r>
      <w:r w:rsidRPr="0019629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4522DC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182108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</w:t>
      </w:r>
      <w:r w:rsidR="00722C4A" w:rsidRPr="00182108">
        <w:rPr>
          <w:rFonts w:ascii="Times New Roman" w:hAnsi="Times New Roman"/>
          <w:b/>
          <w:sz w:val="22"/>
          <w:szCs w:val="22"/>
        </w:rPr>
        <w:t>2</w:t>
      </w:r>
      <w:r w:rsidR="00492D3C">
        <w:rPr>
          <w:rFonts w:ascii="Times New Roman" w:hAnsi="Times New Roman"/>
          <w:b/>
          <w:sz w:val="22"/>
          <w:szCs w:val="22"/>
        </w:rPr>
        <w:t>5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182108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tištěné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B34424">
        <w:rPr>
          <w:rFonts w:ascii="Times New Roman" w:hAnsi="Times New Roman"/>
          <w:sz w:val="22"/>
          <w:szCs w:val="22"/>
        </w:rPr>
        <w:t>4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lastRenderedPageBreak/>
        <w:t xml:space="preserve">V případě, že příjemce zjistí, že součtem obdržených finančních prostředků poskytnutých z veřejných rozpočtů </w:t>
      </w:r>
      <w:proofErr w:type="gramStart"/>
      <w:r w:rsidRPr="00AD4C84">
        <w:rPr>
          <w:rFonts w:ascii="Times New Roman" w:hAnsi="Times New Roman"/>
          <w:sz w:val="22"/>
          <w:szCs w:val="22"/>
        </w:rPr>
        <w:t>překročí</w:t>
      </w:r>
      <w:proofErr w:type="gramEnd"/>
      <w:r w:rsidRPr="00AD4C84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C2671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2671E">
        <w:rPr>
          <w:rFonts w:ascii="Times New Roman" w:hAnsi="Times New Roman"/>
          <w:sz w:val="22"/>
          <w:szCs w:val="22"/>
        </w:rPr>
        <w:t>přeruší</w:t>
      </w:r>
      <w:proofErr w:type="gramEnd"/>
      <w:r w:rsidRPr="00C2671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>
        <w:rPr>
          <w:rFonts w:ascii="Times New Roman" w:hAnsi="Times New Roman"/>
          <w:sz w:val="22"/>
          <w:szCs w:val="22"/>
        </w:rPr>
        <w:t>2 odstavce 3 zákona č. 108/2006</w:t>
      </w:r>
      <w:r w:rsidR="000A222F">
        <w:rPr>
          <w:rFonts w:ascii="Times New Roman" w:hAnsi="Times New Roman"/>
          <w:sz w:val="22"/>
          <w:szCs w:val="22"/>
        </w:rPr>
        <w:t xml:space="preserve"> Sb.</w:t>
      </w:r>
      <w:r w:rsidRPr="00C2671E">
        <w:rPr>
          <w:rFonts w:ascii="Times New Roman" w:hAnsi="Times New Roman"/>
          <w:sz w:val="22"/>
          <w:szCs w:val="22"/>
        </w:rPr>
        <w:t>, o sociálních službách,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0561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0561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7E176F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7777777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</w:t>
      </w:r>
      <w:r w:rsidR="00CB17E9">
        <w:rPr>
          <w:rFonts w:ascii="Times New Roman" w:hAnsi="Times New Roman"/>
          <w:sz w:val="22"/>
          <w:szCs w:val="22"/>
        </w:rPr>
        <w:lastRenderedPageBreak/>
        <w:t xml:space="preserve">to po dobu 10 let ode dne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="00EB48EA"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</w:t>
      </w:r>
      <w:r w:rsidR="000363DF">
        <w:rPr>
          <w:rFonts w:ascii="Times New Roman" w:hAnsi="Times New Roman"/>
          <w:sz w:val="22"/>
          <w:szCs w:val="22"/>
        </w:rPr>
        <w:t> </w:t>
      </w:r>
      <w:r w:rsidR="0060285D" w:rsidRPr="00D37948">
        <w:rPr>
          <w:rFonts w:ascii="Times New Roman" w:hAnsi="Times New Roman"/>
          <w:sz w:val="22"/>
          <w:szCs w:val="22"/>
        </w:rPr>
        <w:t xml:space="preserve">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3530D3">
        <w:rPr>
          <w:rFonts w:ascii="Times New Roman" w:hAnsi="Times New Roman"/>
          <w:sz w:val="22"/>
          <w:szCs w:val="22"/>
        </w:rPr>
        <w:t xml:space="preserve">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7E176F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268FCD70" w:rsidR="00FB6667" w:rsidRPr="00182108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B57D7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BB57D7">
        <w:rPr>
          <w:rFonts w:ascii="Times New Roman" w:hAnsi="Times New Roman"/>
          <w:sz w:val="22"/>
          <w:szCs w:val="22"/>
        </w:rPr>
        <w:t> </w:t>
      </w:r>
      <w:r w:rsidRPr="00BB57D7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806AB3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37948">
        <w:rPr>
          <w:rFonts w:ascii="Times New Roman" w:hAnsi="Times New Roman"/>
          <w:sz w:val="22"/>
          <w:szCs w:val="22"/>
        </w:rPr>
        <w:t>poruší</w:t>
      </w:r>
      <w:proofErr w:type="gramEnd"/>
      <w:r w:rsidRPr="00D37948">
        <w:rPr>
          <w:rFonts w:ascii="Times New Roman" w:hAnsi="Times New Roman"/>
          <w:sz w:val="22"/>
          <w:szCs w:val="22"/>
        </w:rPr>
        <w:t xml:space="preserve">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</w:t>
      </w:r>
      <w:r w:rsidRPr="00806AB3">
        <w:rPr>
          <w:rFonts w:ascii="Times New Roman" w:hAnsi="Times New Roman"/>
          <w:sz w:val="22"/>
          <w:szCs w:val="22"/>
        </w:rPr>
        <w:t>výši 1 % z poskytnuté dotace, nedojde-li k nápravě ve lhůtě stanovené poskytovatelem.</w:t>
      </w:r>
    </w:p>
    <w:p w14:paraId="22EC7A9C" w14:textId="77777777" w:rsidR="00075B63" w:rsidRPr="00806AB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806AB3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806AB3">
        <w:rPr>
          <w:rFonts w:ascii="Times New Roman" w:hAnsi="Times New Roman"/>
          <w:sz w:val="22"/>
        </w:rPr>
        <w:t>S</w:t>
      </w:r>
      <w:r w:rsidRPr="00806AB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FC2516" w:rsidRPr="00806AB3">
        <w:rPr>
          <w:rFonts w:ascii="Times New Roman" w:hAnsi="Times New Roman"/>
          <w:sz w:val="22"/>
          <w:szCs w:val="22"/>
        </w:rPr>
        <w:t>povinností</w:t>
      </w:r>
      <w:r w:rsidRPr="00806AB3">
        <w:rPr>
          <w:rFonts w:ascii="Times New Roman" w:hAnsi="Times New Roman"/>
          <w:sz w:val="22"/>
          <w:szCs w:val="22"/>
        </w:rPr>
        <w:t xml:space="preserve">, ke </w:t>
      </w:r>
      <w:r w:rsidR="00FC2516" w:rsidRPr="00806AB3">
        <w:rPr>
          <w:rFonts w:ascii="Times New Roman" w:hAnsi="Times New Roman"/>
          <w:sz w:val="22"/>
          <w:szCs w:val="22"/>
        </w:rPr>
        <w:t>kterému</w:t>
      </w:r>
      <w:r w:rsidRPr="00806AB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806AB3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806AB3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76108E" w:rsidRPr="00806AB3">
        <w:rPr>
          <w:rFonts w:ascii="Times New Roman" w:hAnsi="Times New Roman"/>
          <w:sz w:val="22"/>
          <w:szCs w:val="22"/>
        </w:rPr>
        <w:t>povinnosti uvedené</w:t>
      </w:r>
      <w:r w:rsidRPr="00806AB3">
        <w:rPr>
          <w:rFonts w:ascii="Times New Roman" w:hAnsi="Times New Roman"/>
          <w:sz w:val="22"/>
          <w:szCs w:val="22"/>
        </w:rPr>
        <w:t xml:space="preserve"> v odst. </w:t>
      </w:r>
      <w:r w:rsidR="00766FC0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7</w:t>
      </w:r>
      <w:r w:rsidRPr="00806AB3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806AB3">
        <w:rPr>
          <w:rFonts w:ascii="Times New Roman" w:hAnsi="Times New Roman"/>
          <w:sz w:val="22"/>
          <w:szCs w:val="22"/>
        </w:rPr>
        <w:br/>
      </w:r>
      <w:r w:rsidR="009932C2" w:rsidRPr="00806AB3">
        <w:rPr>
          <w:rFonts w:ascii="Times New Roman" w:hAnsi="Times New Roman"/>
          <w:sz w:val="22"/>
          <w:szCs w:val="22"/>
        </w:rPr>
        <w:t xml:space="preserve">ve výši </w:t>
      </w:r>
      <w:r w:rsidR="0076108E" w:rsidRPr="00806AB3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806AB3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806AB3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806AB3">
        <w:rPr>
          <w:rFonts w:ascii="Times New Roman" w:hAnsi="Times New Roman"/>
          <w:sz w:val="22"/>
          <w:szCs w:val="22"/>
        </w:rPr>
        <w:t> 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1C147A" w:rsidRPr="00806AB3">
        <w:rPr>
          <w:rFonts w:ascii="Times New Roman" w:hAnsi="Times New Roman"/>
          <w:sz w:val="22"/>
          <w:szCs w:val="22"/>
        </w:rPr>
        <w:t xml:space="preserve">11 a </w:t>
      </w:r>
      <w:r w:rsidR="006A2462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="006A2462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>čl. V</w:t>
      </w:r>
      <w:r w:rsidR="005A005E" w:rsidRPr="00806AB3">
        <w:rPr>
          <w:rFonts w:ascii="Times New Roman" w:hAnsi="Times New Roman"/>
          <w:sz w:val="22"/>
          <w:szCs w:val="22"/>
        </w:rPr>
        <w:t xml:space="preserve"> této </w:t>
      </w:r>
      <w:r w:rsidRPr="00806AB3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806AB3">
        <w:rPr>
          <w:rFonts w:ascii="Times New Roman" w:hAnsi="Times New Roman"/>
          <w:sz w:val="22"/>
          <w:szCs w:val="22"/>
        </w:rPr>
        <w:t>10a</w:t>
      </w:r>
      <w:r w:rsidR="009A65D9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806AB3">
        <w:rPr>
          <w:rFonts w:ascii="Times New Roman" w:hAnsi="Times New Roman"/>
          <w:sz w:val="22"/>
          <w:szCs w:val="22"/>
        </w:rPr>
        <w:t>y</w:t>
      </w:r>
      <w:r w:rsidR="009A65D9" w:rsidRPr="00806AB3">
        <w:rPr>
          <w:rFonts w:ascii="Times New Roman" w:hAnsi="Times New Roman"/>
          <w:sz w:val="22"/>
          <w:szCs w:val="22"/>
        </w:rPr>
        <w:t xml:space="preserve"> za</w:t>
      </w:r>
      <w:r w:rsidR="000C46D4" w:rsidRPr="00806AB3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806AB3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lastRenderedPageBreak/>
        <w:t xml:space="preserve">Předložení </w:t>
      </w:r>
      <w:r w:rsidR="000C46D4" w:rsidRPr="00806AB3">
        <w:rPr>
          <w:rFonts w:ascii="Times New Roman" w:hAnsi="Times New Roman"/>
          <w:sz w:val="22"/>
          <w:szCs w:val="22"/>
        </w:rPr>
        <w:t>požadovaných dokumentů</w:t>
      </w:r>
      <w:r w:rsidRPr="00806AB3">
        <w:rPr>
          <w:rFonts w:ascii="Times New Roman" w:hAnsi="Times New Roman"/>
          <w:sz w:val="22"/>
          <w:szCs w:val="22"/>
        </w:rPr>
        <w:t xml:space="preserve"> dle</w:t>
      </w:r>
      <w:r w:rsidR="002128C5" w:rsidRPr="00806AB3">
        <w:rPr>
          <w:rFonts w:ascii="Times New Roman" w:hAnsi="Times New Roman"/>
          <w:sz w:val="22"/>
          <w:szCs w:val="22"/>
        </w:rPr>
        <w:t xml:space="preserve"> 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64291A" w:rsidRPr="00806AB3">
        <w:rPr>
          <w:rFonts w:ascii="Times New Roman" w:hAnsi="Times New Roman"/>
          <w:sz w:val="22"/>
          <w:szCs w:val="22"/>
        </w:rPr>
        <w:t xml:space="preserve">11 a </w:t>
      </w:r>
      <w:r w:rsidR="002128C5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Pr="00806AB3">
        <w:rPr>
          <w:rFonts w:ascii="Times New Roman" w:hAnsi="Times New Roman"/>
          <w:sz w:val="22"/>
          <w:szCs w:val="22"/>
        </w:rPr>
        <w:t xml:space="preserve"> čl. V</w:t>
      </w:r>
      <w:r w:rsidR="00002951" w:rsidRPr="00806AB3">
        <w:rPr>
          <w:rFonts w:ascii="Times New Roman" w:hAnsi="Times New Roman"/>
          <w:sz w:val="22"/>
          <w:szCs w:val="22"/>
        </w:rPr>
        <w:t> této</w:t>
      </w:r>
      <w:r w:rsidRPr="00806AB3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806AB3">
        <w:rPr>
          <w:rFonts w:ascii="Times New Roman" w:hAnsi="Times New Roman"/>
          <w:sz w:val="22"/>
          <w:szCs w:val="22"/>
        </w:rPr>
        <w:t>1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Pr="00806AB3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806AB3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8–30</w:t>
      </w:r>
      <w:r w:rsidR="009A65D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5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31–60</w:t>
      </w:r>
      <w:r w:rsidR="00FB403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10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  <w:r w:rsidR="00182108" w:rsidRPr="00806AB3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7A43C1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7A43C1">
        <w:rPr>
          <w:rFonts w:ascii="Times New Roman" w:hAnsi="Times New Roman"/>
          <w:sz w:val="22"/>
          <w:szCs w:val="22"/>
        </w:rPr>
        <w:t>nepředloží</w:t>
      </w:r>
      <w:proofErr w:type="gramEnd"/>
      <w:r w:rsidRPr="007A43C1">
        <w:rPr>
          <w:rFonts w:ascii="Times New Roman" w:hAnsi="Times New Roman"/>
          <w:sz w:val="22"/>
          <w:szCs w:val="22"/>
        </w:rPr>
        <w:t xml:space="preserve">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11 a </w:t>
      </w:r>
      <w:r w:rsidRPr="007A43C1">
        <w:rPr>
          <w:rFonts w:ascii="Times New Roman" w:hAnsi="Times New Roman"/>
          <w:sz w:val="22"/>
          <w:szCs w:val="22"/>
        </w:rPr>
        <w:t>1</w:t>
      </w:r>
      <w:r w:rsidR="000A222F" w:rsidRPr="007A43C1">
        <w:rPr>
          <w:rFonts w:ascii="Times New Roman" w:hAnsi="Times New Roman"/>
          <w:sz w:val="22"/>
          <w:szCs w:val="22"/>
        </w:rPr>
        <w:t>8</w:t>
      </w:r>
      <w:r w:rsidRPr="007A43C1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7E176F" w:rsidRDefault="009A65D9" w:rsidP="00B553D4">
      <w:pPr>
        <w:spacing w:after="120"/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6D62DA73" w:rsidR="00795E5C" w:rsidRPr="00EF080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806AB3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806AB3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806AB3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C644E2" w:rsidRPr="00EF080A">
        <w:rPr>
          <w:rFonts w:ascii="Times New Roman" w:hAnsi="Times New Roman"/>
          <w:b/>
          <w:sz w:val="22"/>
          <w:szCs w:val="22"/>
        </w:rPr>
        <w:t>pro doručování veškerých souvisejících písemností</w:t>
      </w:r>
      <w:r w:rsidR="00051FF6" w:rsidRPr="00EF080A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EF080A">
        <w:rPr>
          <w:rFonts w:ascii="Times New Roman" w:hAnsi="Times New Roman"/>
          <w:b/>
          <w:sz w:val="22"/>
          <w:szCs w:val="22"/>
        </w:rPr>
        <w:t>.</w:t>
      </w:r>
      <w:r w:rsidRPr="00EF080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1B8ADEEC" w:rsidR="00795E5C" w:rsidRPr="0056342A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C2671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2671E">
        <w:rPr>
          <w:rFonts w:ascii="Times New Roman" w:hAnsi="Times New Roman"/>
          <w:sz w:val="22"/>
          <w:szCs w:val="22"/>
        </w:rPr>
        <w:t xml:space="preserve">čl. V. </w:t>
      </w:r>
      <w:r w:rsidR="005422F1">
        <w:rPr>
          <w:rFonts w:ascii="Times New Roman" w:hAnsi="Times New Roman"/>
          <w:sz w:val="22"/>
          <w:szCs w:val="22"/>
        </w:rPr>
        <w:t>odst.</w:t>
      </w:r>
      <w:r w:rsidR="00413E2E" w:rsidRPr="00C2671E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A931F3" w:rsidRPr="00C2671E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D37948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654695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654695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A9195F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654695">
        <w:rPr>
          <w:rFonts w:ascii="Times New Roman" w:hAnsi="Times New Roman"/>
          <w:sz w:val="22"/>
          <w:szCs w:val="22"/>
        </w:rPr>
        <w:t xml:space="preserve">smlouvy rozhodlo zastupitelstvo </w:t>
      </w:r>
      <w:r w:rsidR="000E30B3" w:rsidRPr="00D37948">
        <w:rPr>
          <w:rFonts w:ascii="Times New Roman" w:hAnsi="Times New Roman"/>
          <w:sz w:val="22"/>
          <w:szCs w:val="22"/>
        </w:rPr>
        <w:t xml:space="preserve">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56342A" w:rsidRPr="004505B9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A9195F">
        <w:rPr>
          <w:rFonts w:ascii="Times New Roman" w:hAnsi="Times New Roman"/>
          <w:sz w:val="22"/>
          <w:szCs w:val="22"/>
        </w:rPr>
        <w:t xml:space="preserve">ze dne </w:t>
      </w:r>
      <w:r w:rsidR="00C10506" w:rsidRPr="00C10506">
        <w:rPr>
          <w:rFonts w:ascii="Times New Roman" w:hAnsi="Times New Roman"/>
          <w:sz w:val="22"/>
          <w:szCs w:val="22"/>
        </w:rPr>
        <w:t>31.01</w:t>
      </w:r>
      <w:r w:rsidR="002128C5" w:rsidRPr="00C10506">
        <w:rPr>
          <w:rFonts w:ascii="Times New Roman" w:hAnsi="Times New Roman"/>
          <w:sz w:val="22"/>
          <w:szCs w:val="22"/>
        </w:rPr>
        <w:t>.</w:t>
      </w:r>
      <w:r w:rsidR="006338B2" w:rsidRPr="00C10506">
        <w:rPr>
          <w:rFonts w:ascii="Times New Roman" w:hAnsi="Times New Roman"/>
          <w:sz w:val="22"/>
          <w:szCs w:val="22"/>
        </w:rPr>
        <w:t>20</w:t>
      </w:r>
      <w:r w:rsidR="001D207F" w:rsidRPr="00C10506">
        <w:rPr>
          <w:rFonts w:ascii="Times New Roman" w:hAnsi="Times New Roman"/>
          <w:sz w:val="22"/>
          <w:szCs w:val="22"/>
        </w:rPr>
        <w:t>2</w:t>
      </w:r>
      <w:r w:rsidR="000363DF" w:rsidRPr="00C10506">
        <w:rPr>
          <w:rFonts w:ascii="Times New Roman" w:hAnsi="Times New Roman"/>
          <w:sz w:val="22"/>
          <w:szCs w:val="22"/>
        </w:rPr>
        <w:t>4</w:t>
      </w:r>
      <w:r w:rsidR="006338B2" w:rsidRPr="00C10506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99097E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99097E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56342A" w:rsidRPr="0099097E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60106308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2E5A7A3E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99097E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9C1201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99097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C7F509" w14:textId="77777777" w:rsidR="00B553D4" w:rsidRDefault="00B553D4" w:rsidP="00B553D4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Bc. Martin Pražák, DiS.</w:t>
            </w:r>
          </w:p>
          <w:p w14:paraId="673A8D69" w14:textId="3E102978" w:rsidR="0056342A" w:rsidRDefault="00B553D4" w:rsidP="00B553D4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</w:p>
          <w:p w14:paraId="4C4FE397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9C1201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C276A4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C276A4" w:rsidSect="005E0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4096" w14:textId="77777777" w:rsidR="005E0B92" w:rsidRDefault="005E0B92">
      <w:r>
        <w:separator/>
      </w:r>
    </w:p>
  </w:endnote>
  <w:endnote w:type="continuationSeparator" w:id="0">
    <w:p w14:paraId="45E7D83E" w14:textId="77777777" w:rsidR="005E0B92" w:rsidRDefault="005E0B92">
      <w:r>
        <w:continuationSeparator/>
      </w:r>
    </w:p>
  </w:endnote>
  <w:endnote w:type="continuationNotice" w:id="1">
    <w:p w14:paraId="6F608014" w14:textId="77777777" w:rsidR="005E0B92" w:rsidRDefault="005E0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3A01" w14:textId="77777777" w:rsidR="007D52CA" w:rsidRDefault="007D52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r w:rsidR="003F3A86">
      <w:rPr>
        <w:rStyle w:val="slostrnky"/>
        <w:rFonts w:cs="Arial"/>
        <w:b/>
        <w:color w:val="003C69"/>
        <w:sz w:val="16"/>
        <w:lang w:val="en-US"/>
      </w:rPr>
      <w:t>sociální péče</w:t>
    </w:r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102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Charitní dům sv. Benedikta Labre - terénní programy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05699F57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197E" w14:textId="77777777" w:rsidR="007D52CA" w:rsidRDefault="007D5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02C8" w14:textId="77777777" w:rsidR="005E0B92" w:rsidRDefault="005E0B92">
      <w:r>
        <w:separator/>
      </w:r>
    </w:p>
  </w:footnote>
  <w:footnote w:type="continuationSeparator" w:id="0">
    <w:p w14:paraId="557685FD" w14:textId="77777777" w:rsidR="005E0B92" w:rsidRDefault="005E0B92">
      <w:r>
        <w:continuationSeparator/>
      </w:r>
    </w:p>
  </w:footnote>
  <w:footnote w:type="continuationNotice" w:id="1">
    <w:p w14:paraId="5E2FF45D" w14:textId="77777777" w:rsidR="005E0B92" w:rsidRDefault="005E0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F2A1" w14:textId="77777777" w:rsidR="007D52CA" w:rsidRDefault="007D52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9052" w14:textId="77777777" w:rsidR="007D52CA" w:rsidRDefault="007D5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2CA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3D4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4006</Words>
  <Characters>23914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3</cp:revision>
  <cp:lastPrinted>2019-09-03T05:55:00Z</cp:lastPrinted>
  <dcterms:created xsi:type="dcterms:W3CDTF">2024-02-14T16:21:00Z</dcterms:created>
  <dcterms:modified xsi:type="dcterms:W3CDTF">2024-03-01T14:08:00Z</dcterms:modified>
</cp:coreProperties>
</file>