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0560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101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Charitní dům sv. Benedikta Labre - nízkoprahové denní centrum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C96BD5" w14:textId="77777777" w:rsidR="00707444" w:rsidRDefault="00707444" w:rsidP="0070744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zastoupena Bc. Martinem Pražákem, DiS. </w:t>
            </w:r>
          </w:p>
          <w:p w14:paraId="6E856BDC" w14:textId="3B3A7F34" w:rsidR="00863FEE" w:rsidRPr="00863FEE" w:rsidRDefault="00707444" w:rsidP="0070744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0560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23/1211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1F69CE2F" w14:textId="77777777" w:rsidR="00707444" w:rsidRPr="00D37948" w:rsidRDefault="00707444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Charitní dům sv. Benedikta Labre - nízkoprahové denní centrum</w:t>
      </w:r>
    </w:p>
    <w:p w14:paraId="4B0505B7" w14:textId="427F4DD4" w:rsidR="00C2671E" w:rsidRP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nízkoprahová denní centra (§61) – ambulantní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6763192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1AB921BD" w14:textId="6B119EAD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 xml:space="preserve">Charitní dům sv. Benedikta </w:t>
      </w:r>
      <w:proofErr w:type="gramStart"/>
      <w:r w:rsidR="00D80F2E">
        <w:rPr>
          <w:rFonts w:ascii="Times New Roman" w:hAnsi="Times New Roman"/>
          <w:b/>
          <w:sz w:val="22"/>
          <w:szCs w:val="22"/>
        </w:rPr>
        <w:t>Labre - nízkoprahové</w:t>
      </w:r>
      <w:proofErr w:type="gramEnd"/>
      <w:r w:rsidR="00D80F2E">
        <w:rPr>
          <w:rFonts w:ascii="Times New Roman" w:hAnsi="Times New Roman"/>
          <w:b/>
          <w:sz w:val="22"/>
          <w:szCs w:val="22"/>
        </w:rPr>
        <w:t xml:space="preserve"> denní centrum, Lidická 54, 703 00 Ostrava-Vítkovice (ambulantní forma)</w:t>
      </w:r>
      <w:r w:rsidR="00707444">
        <w:rPr>
          <w:rFonts w:ascii="Times New Roman" w:hAnsi="Times New Roman"/>
          <w:b/>
          <w:sz w:val="22"/>
          <w:szCs w:val="22"/>
        </w:rPr>
        <w:t>.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2F66BEE3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7E176F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11449664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bookmarkStart w:id="0" w:name="_Hlk156971021"/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potraviny, </w:t>
      </w:r>
    </w:p>
    <w:p w14:paraId="2D69F6E3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kancelářské potřeby, </w:t>
      </w:r>
    </w:p>
    <w:p w14:paraId="5A202DD2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drogerie, </w:t>
      </w:r>
    </w:p>
    <w:p w14:paraId="2835473F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ochranné pracovní pomůcky, </w:t>
      </w:r>
    </w:p>
    <w:p w14:paraId="1CF9C63C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ostatní materiál, </w:t>
      </w:r>
    </w:p>
    <w:p w14:paraId="0C8606B9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elektrická energie, </w:t>
      </w:r>
    </w:p>
    <w:p w14:paraId="3D9A99D0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vodné, stočné, </w:t>
      </w:r>
    </w:p>
    <w:p w14:paraId="289FD094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plyn, </w:t>
      </w:r>
    </w:p>
    <w:p w14:paraId="38FB0920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dlouhodobý hmotný majetek do 40 tis. Kč (obnova vybavení střediska), </w:t>
      </w:r>
    </w:p>
    <w:p w14:paraId="55049419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opravy a udržování, </w:t>
      </w:r>
    </w:p>
    <w:p w14:paraId="73E02433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cestovné, </w:t>
      </w:r>
    </w:p>
    <w:p w14:paraId="4F801E7F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spoje, </w:t>
      </w:r>
    </w:p>
    <w:p w14:paraId="1540CF9E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školení a kurzy, </w:t>
      </w:r>
    </w:p>
    <w:p w14:paraId="5601E511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revize, </w:t>
      </w:r>
    </w:p>
    <w:p w14:paraId="02D874CD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odvoz odpadů, </w:t>
      </w:r>
    </w:p>
    <w:p w14:paraId="7F1A49D9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jiné služby (licence SW, supervize, IT služby, tiskové služby, poplatky za rozhlas a TV), </w:t>
      </w:r>
    </w:p>
    <w:p w14:paraId="66793177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mzdové náklady (pracovní smlouvy), </w:t>
      </w:r>
    </w:p>
    <w:p w14:paraId="04D07EAF" w14:textId="77777777" w:rsidR="00707444" w:rsidRPr="0070744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 xml:space="preserve">zákonné sociální a zdravotní pojištění, </w:t>
      </w:r>
    </w:p>
    <w:p w14:paraId="6E4DAF81" w14:textId="4D98AD21" w:rsidR="00A43BEC" w:rsidRPr="004D0F36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color w:val="0070C0"/>
          <w:sz w:val="21"/>
          <w:szCs w:val="21"/>
        </w:rPr>
      </w:pPr>
      <w:r w:rsidRPr="004D0F36">
        <w:rPr>
          <w:rFonts w:ascii="Times New Roman" w:hAnsi="Times New Roman"/>
          <w:b/>
          <w:iCs/>
          <w:color w:val="000000"/>
          <w:sz w:val="21"/>
          <w:szCs w:val="21"/>
        </w:rPr>
        <w:t>jiné osobní náklady (příspěvek na stravování zaměstnanců)</w:t>
      </w:r>
      <w:r w:rsidR="00707444">
        <w:rPr>
          <w:rFonts w:ascii="Times New Roman" w:hAnsi="Times New Roman"/>
          <w:b/>
          <w:iCs/>
          <w:color w:val="000000"/>
          <w:sz w:val="21"/>
          <w:szCs w:val="21"/>
        </w:rPr>
        <w:t>.</w:t>
      </w:r>
    </w:p>
    <w:bookmarkEnd w:id="0"/>
    <w:p w14:paraId="5A8D720C" w14:textId="77777777" w:rsidR="004F5E85" w:rsidRPr="00E714A9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4EE20DB8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potraviny, kancelářské potřeby, drogerie, ochranné pracovní pomůcky,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42 000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2455B445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707444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1B09DC">
        <w:rPr>
          <w:rFonts w:ascii="Times New Roman" w:hAnsi="Times New Roman"/>
          <w:b/>
          <w:i/>
          <w:iCs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E176F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lastRenderedPageBreak/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4A6F5EE4" w:rsidR="00E714A9" w:rsidRPr="006F1CD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893 000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707444" w:rsidRPr="00707444">
        <w:rPr>
          <w:rFonts w:ascii="Times New Roman" w:hAnsi="Times New Roman"/>
          <w:sz w:val="22"/>
          <w:szCs w:val="22"/>
        </w:rPr>
        <w:t xml:space="preserve">osm set devadesát tři tisíc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A645FC">
        <w:rPr>
          <w:rFonts w:ascii="Times New Roman" w:hAnsi="Times New Roman"/>
          <w:sz w:val="22"/>
          <w:szCs w:val="22"/>
          <w:lang w:val="en-US"/>
        </w:rPr>
        <w:t>ve 3 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447 000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223 000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223 000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80FB8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lastRenderedPageBreak/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03807/2023/SOC ze dne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 xml:space="preserve">dubna 2016 o ochraně fyzických osob v souvislosti se zpracováním osobních údajů a o volném pohybu těchto údajů a o zrušení </w:t>
      </w:r>
      <w:r w:rsidR="00EB48EA" w:rsidRPr="00EB48EA">
        <w:rPr>
          <w:rFonts w:ascii="Times New Roman" w:hAnsi="Times New Roman"/>
          <w:sz w:val="22"/>
          <w:szCs w:val="22"/>
        </w:rPr>
        <w:lastRenderedPageBreak/>
        <w:t>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lastRenderedPageBreak/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0560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0560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E176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</w:t>
      </w:r>
      <w:r w:rsidR="00CB17E9">
        <w:rPr>
          <w:rFonts w:ascii="Times New Roman" w:hAnsi="Times New Roman"/>
          <w:sz w:val="22"/>
          <w:szCs w:val="22"/>
        </w:rPr>
        <w:lastRenderedPageBreak/>
        <w:t xml:space="preserve">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12EE5BF3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707444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23E36A7B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12F38935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E9F1C1" w14:textId="77777777" w:rsidR="00707444" w:rsidRPr="005C38DB" w:rsidRDefault="00707444" w:rsidP="00707444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Bc. Martin Pražák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 xml:space="preserve"> DiS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73A8D69" w14:textId="1BEC3702" w:rsidR="0056342A" w:rsidRDefault="00707444" w:rsidP="00707444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AB49" w14:textId="77777777" w:rsidR="00551FD8" w:rsidRDefault="00551F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101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Charitní dům sv. Benedikta Labre - nízkoprahové denní centrum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52B08DAE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0D29" w14:textId="77777777" w:rsidR="00551FD8" w:rsidRDefault="00551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F0BD" w14:textId="77777777" w:rsidR="00551FD8" w:rsidRDefault="00551F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2727" w14:textId="77777777" w:rsidR="00551FD8" w:rsidRDefault="00551F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1FD8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07444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4006</Words>
  <Characters>23918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2019-09-03T05:55:00Z</cp:lastPrinted>
  <dcterms:created xsi:type="dcterms:W3CDTF">2024-02-14T16:13:00Z</dcterms:created>
  <dcterms:modified xsi:type="dcterms:W3CDTF">2024-03-01T14:06:00Z</dcterms:modified>
</cp:coreProperties>
</file>