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1AE" w:rsidRDefault="00CF1887">
      <w:pPr>
        <w:pStyle w:val="Nadpis30"/>
        <w:keepNext/>
        <w:keepLines/>
        <w:shd w:val="clear" w:color="auto" w:fill="auto"/>
        <w:spacing w:after="320"/>
      </w:pPr>
      <w:bookmarkStart w:id="0" w:name="bookmark2"/>
      <w:r>
        <w:t>Smlouva číslo:</w:t>
      </w:r>
      <w:bookmarkEnd w:id="0"/>
    </w:p>
    <w:p w:rsidR="001F01AE" w:rsidRDefault="00CF1887">
      <w:pPr>
        <w:pStyle w:val="Nadpis70"/>
        <w:keepNext/>
        <w:keepLines/>
        <w:shd w:val="clear" w:color="auto" w:fill="auto"/>
        <w:spacing w:after="200"/>
      </w:pPr>
      <w:bookmarkStart w:id="1" w:name="bookmark3"/>
      <w:r>
        <w:t>Zhotovitel:</w:t>
      </w:r>
      <w:bookmarkEnd w:id="1"/>
    </w:p>
    <w:p w:rsidR="001F01AE" w:rsidRDefault="00CF1887">
      <w:pPr>
        <w:pStyle w:val="Nadpis70"/>
        <w:keepNext/>
        <w:keepLines/>
        <w:shd w:val="clear" w:color="auto" w:fill="auto"/>
        <w:spacing w:after="0"/>
        <w:ind w:left="720"/>
      </w:pPr>
      <w:bookmarkStart w:id="2" w:name="bookmark4"/>
      <w:r>
        <w:t>SPEDOS Servis s.r.o.</w:t>
      </w:r>
      <w:bookmarkEnd w:id="2"/>
    </w:p>
    <w:p w:rsidR="001F01AE" w:rsidRDefault="00CF1887">
      <w:pPr>
        <w:pStyle w:val="Zkladntext1"/>
        <w:shd w:val="clear" w:color="auto" w:fill="auto"/>
        <w:ind w:left="720"/>
      </w:pPr>
      <w:r>
        <w:t>Hranická 771, Krásno nad Bečvou, 757 01 Valašské Meziříčí, CZ</w:t>
      </w:r>
    </w:p>
    <w:p w:rsidR="001F01AE" w:rsidRDefault="00CF1887">
      <w:pPr>
        <w:pStyle w:val="Zkladntext1"/>
        <w:shd w:val="clear" w:color="auto" w:fill="auto"/>
        <w:tabs>
          <w:tab w:val="left" w:pos="3510"/>
        </w:tabs>
        <w:spacing w:after="0"/>
        <w:ind w:left="720"/>
      </w:pPr>
      <w:r>
        <w:t>IČO:</w:t>
      </w:r>
      <w:r>
        <w:tab/>
        <w:t>056 65 817</w:t>
      </w:r>
    </w:p>
    <w:p w:rsidR="001F01AE" w:rsidRDefault="00CF1887">
      <w:pPr>
        <w:pStyle w:val="Zkladntext1"/>
        <w:shd w:val="clear" w:color="auto" w:fill="auto"/>
        <w:tabs>
          <w:tab w:val="left" w:pos="3510"/>
        </w:tabs>
        <w:spacing w:after="0"/>
        <w:ind w:left="720"/>
      </w:pPr>
      <w:r>
        <w:t>DIČ:</w:t>
      </w:r>
      <w:r>
        <w:tab/>
        <w:t>CZ05665817</w:t>
      </w:r>
    </w:p>
    <w:p w:rsidR="001F01AE" w:rsidRDefault="00CF1887">
      <w:pPr>
        <w:pStyle w:val="Zkladntext1"/>
        <w:shd w:val="clear" w:color="auto" w:fill="auto"/>
        <w:spacing w:after="0"/>
        <w:ind w:left="720"/>
        <w:jc w:val="left"/>
      </w:pPr>
      <w:r>
        <w:t>Obchodní korporace je zapsána ve veřejném rejstříku vedeném Krajským soudem v Ostravě, oddíl C, vložka číslo 68808</w:t>
      </w:r>
    </w:p>
    <w:p w:rsidR="001F01AE" w:rsidRDefault="00CF1887">
      <w:pPr>
        <w:pStyle w:val="Zkladntext1"/>
        <w:shd w:val="clear" w:color="auto" w:fill="auto"/>
        <w:tabs>
          <w:tab w:val="left" w:pos="3510"/>
        </w:tabs>
        <w:spacing w:after="0"/>
        <w:ind w:left="720"/>
      </w:pPr>
      <w:r>
        <w:t>Banka:</w:t>
      </w:r>
      <w:r>
        <w:tab/>
      </w:r>
    </w:p>
    <w:p w:rsidR="001F01AE" w:rsidRDefault="00CF1887">
      <w:pPr>
        <w:pStyle w:val="Zkladntext1"/>
        <w:shd w:val="clear" w:color="auto" w:fill="auto"/>
        <w:tabs>
          <w:tab w:val="left" w:pos="3510"/>
        </w:tabs>
        <w:spacing w:after="0"/>
        <w:ind w:left="720"/>
      </w:pPr>
      <w:r>
        <w:t>Číslo účtu:</w:t>
      </w:r>
      <w:r>
        <w:tab/>
      </w:r>
    </w:p>
    <w:p w:rsidR="001F01AE" w:rsidRDefault="00CF1887">
      <w:pPr>
        <w:pStyle w:val="Zkladntext1"/>
        <w:shd w:val="clear" w:color="auto" w:fill="auto"/>
        <w:tabs>
          <w:tab w:val="left" w:pos="3510"/>
        </w:tabs>
        <w:spacing w:after="0"/>
        <w:ind w:left="720"/>
      </w:pPr>
      <w:r>
        <w:t>Zástupce ve věcech smluvních:</w:t>
      </w:r>
      <w:r>
        <w:tab/>
      </w:r>
    </w:p>
    <w:p w:rsidR="001F01AE" w:rsidRDefault="00CF1887">
      <w:pPr>
        <w:pStyle w:val="Zkladntext1"/>
        <w:shd w:val="clear" w:color="auto" w:fill="auto"/>
        <w:spacing w:after="420"/>
        <w:ind w:left="720"/>
      </w:pPr>
      <w:r>
        <w:t xml:space="preserve">Zástupce ve věcech technických: </w:t>
      </w:r>
      <w:r w:rsidR="00304308">
        <w:t xml:space="preserve"> </w:t>
      </w:r>
    </w:p>
    <w:p w:rsidR="001F01AE" w:rsidRDefault="00CF1887">
      <w:pPr>
        <w:pStyle w:val="Nadpis70"/>
        <w:keepNext/>
        <w:keepLines/>
        <w:shd w:val="clear" w:color="auto" w:fill="auto"/>
        <w:spacing w:after="200"/>
      </w:pPr>
      <w:bookmarkStart w:id="3" w:name="bookmark5"/>
      <w:r>
        <w:t>Objednatel</w:t>
      </w:r>
      <w:bookmarkEnd w:id="3"/>
    </w:p>
    <w:p w:rsidR="001F01AE" w:rsidRDefault="00CF1887">
      <w:pPr>
        <w:pStyle w:val="Nadpis70"/>
        <w:keepNext/>
        <w:keepLines/>
        <w:shd w:val="clear" w:color="auto" w:fill="auto"/>
        <w:spacing w:after="0"/>
        <w:ind w:left="720"/>
      </w:pPr>
      <w:bookmarkStart w:id="4" w:name="bookmark6"/>
      <w:r>
        <w:t>Náš svět, příspěvková organizace</w:t>
      </w:r>
      <w:bookmarkEnd w:id="4"/>
    </w:p>
    <w:p w:rsidR="001F01AE" w:rsidRDefault="00CF1887">
      <w:pPr>
        <w:pStyle w:val="Zkladntext1"/>
        <w:shd w:val="clear" w:color="auto" w:fill="auto"/>
        <w:ind w:left="720"/>
      </w:pPr>
      <w:r>
        <w:t>739 11 Pržno 239</w:t>
      </w:r>
    </w:p>
    <w:p w:rsidR="001F01AE" w:rsidRDefault="00CF1887">
      <w:pPr>
        <w:pStyle w:val="Zkladntext1"/>
        <w:shd w:val="clear" w:color="auto" w:fill="auto"/>
        <w:tabs>
          <w:tab w:val="left" w:pos="3510"/>
        </w:tabs>
        <w:spacing w:after="0"/>
        <w:ind w:left="720"/>
      </w:pPr>
      <w:r>
        <w:t>IČO:</w:t>
      </w:r>
      <w:r>
        <w:tab/>
        <w:t>008 47 046</w:t>
      </w:r>
    </w:p>
    <w:p w:rsidR="001F01AE" w:rsidRDefault="00CF1887">
      <w:pPr>
        <w:pStyle w:val="Zkladntext1"/>
        <w:shd w:val="clear" w:color="auto" w:fill="auto"/>
        <w:tabs>
          <w:tab w:val="left" w:pos="3510"/>
        </w:tabs>
        <w:spacing w:after="0"/>
        <w:ind w:left="720"/>
      </w:pPr>
      <w:r>
        <w:t>DIČ:</w:t>
      </w:r>
      <w:r>
        <w:tab/>
        <w:t>CZ008 47 046</w:t>
      </w:r>
    </w:p>
    <w:p w:rsidR="001F01AE" w:rsidRDefault="00CF1887">
      <w:pPr>
        <w:pStyle w:val="Zkladntext1"/>
        <w:shd w:val="clear" w:color="auto" w:fill="auto"/>
        <w:tabs>
          <w:tab w:val="left" w:pos="3510"/>
        </w:tabs>
        <w:spacing w:after="0"/>
        <w:ind w:left="720" w:right="220"/>
      </w:pPr>
      <w:r>
        <w:t xml:space="preserve">Společnost je zapsána ve veřejném rejstříku vedeném Krajským soudem v Ostravě, oddíl </w:t>
      </w:r>
      <w:proofErr w:type="spellStart"/>
      <w:r>
        <w:t>Pr</w:t>
      </w:r>
      <w:proofErr w:type="spellEnd"/>
      <w:r>
        <w:t>, vložka číslo 865 Banka:</w:t>
      </w:r>
      <w:r>
        <w:tab/>
      </w:r>
    </w:p>
    <w:p w:rsidR="001F01AE" w:rsidRDefault="00CF1887">
      <w:pPr>
        <w:pStyle w:val="Zkladntext1"/>
        <w:shd w:val="clear" w:color="auto" w:fill="auto"/>
        <w:tabs>
          <w:tab w:val="left" w:pos="3510"/>
        </w:tabs>
        <w:spacing w:after="0"/>
        <w:ind w:left="720"/>
      </w:pPr>
      <w:r>
        <w:t>Číslo účtu:</w:t>
      </w:r>
      <w:r>
        <w:tab/>
      </w:r>
    </w:p>
    <w:p w:rsidR="001F01AE" w:rsidRDefault="00CF1887">
      <w:pPr>
        <w:pStyle w:val="Zkladntext1"/>
        <w:shd w:val="clear" w:color="auto" w:fill="auto"/>
        <w:tabs>
          <w:tab w:val="left" w:pos="3510"/>
        </w:tabs>
        <w:spacing w:after="0"/>
        <w:ind w:left="720"/>
      </w:pPr>
      <w:r>
        <w:t>Zástupce ve věcech smluvních:</w:t>
      </w:r>
      <w:r>
        <w:tab/>
      </w:r>
    </w:p>
    <w:p w:rsidR="001F01AE" w:rsidRDefault="00CF1887">
      <w:pPr>
        <w:pStyle w:val="Zkladntext1"/>
        <w:shd w:val="clear" w:color="auto" w:fill="auto"/>
        <w:spacing w:after="420"/>
        <w:ind w:left="720"/>
      </w:pPr>
      <w:r>
        <w:t xml:space="preserve">Zástupce ve věcech technických: </w:t>
      </w:r>
    </w:p>
    <w:p w:rsidR="001F01AE" w:rsidRDefault="00CF1887">
      <w:pPr>
        <w:pStyle w:val="Zkladntext1"/>
        <w:shd w:val="clear" w:color="auto" w:fill="auto"/>
        <w:spacing w:after="640"/>
        <w:jc w:val="left"/>
      </w:pPr>
      <w:r>
        <w:t>uzavírají podle ustanovení § 2586 a následující zákona číslo 89/2012 Sb. - Občanský zákoník v platném znění</w:t>
      </w:r>
    </w:p>
    <w:p w:rsidR="001F01AE" w:rsidRDefault="00CF1887">
      <w:pPr>
        <w:pStyle w:val="Nadpis30"/>
        <w:keepNext/>
        <w:keepLines/>
        <w:shd w:val="clear" w:color="auto" w:fill="auto"/>
        <w:spacing w:after="420"/>
      </w:pPr>
      <w:bookmarkStart w:id="5" w:name="bookmark7"/>
      <w:r>
        <w:t>s e r v i s n í s m l o u v u</w:t>
      </w:r>
      <w:bookmarkEnd w:id="5"/>
    </w:p>
    <w:p w:rsidR="001F01AE" w:rsidRDefault="00CF1887">
      <w:pPr>
        <w:pStyle w:val="Zkladntext1"/>
        <w:shd w:val="clear" w:color="auto" w:fill="auto"/>
        <w:ind w:right="140"/>
      </w:pPr>
      <w:r>
        <w:rPr>
          <w:b/>
          <w:bCs/>
        </w:rPr>
        <w:t xml:space="preserve">Předmět smlouvy: </w:t>
      </w:r>
      <w:r>
        <w:t>Provádění pravidelné preventivní technické údržby a pozáručního servisu specifikovaných v příloze č. 1 této smlouvy.</w:t>
      </w:r>
    </w:p>
    <w:p w:rsidR="001F01AE" w:rsidRDefault="00CF1887">
      <w:pPr>
        <w:pStyle w:val="Nadpis70"/>
        <w:keepNext/>
        <w:keepLines/>
        <w:shd w:val="clear" w:color="auto" w:fill="auto"/>
        <w:spacing w:after="200"/>
      </w:pPr>
      <w:bookmarkStart w:id="6" w:name="bookmark8"/>
      <w:r>
        <w:t>Místo zhotovení díla a doručovací adresa:</w:t>
      </w:r>
      <w:bookmarkEnd w:id="6"/>
    </w:p>
    <w:p w:rsidR="001F01AE" w:rsidRDefault="00CF1887">
      <w:pPr>
        <w:pStyle w:val="Nadpis70"/>
        <w:keepNext/>
        <w:keepLines/>
        <w:shd w:val="clear" w:color="auto" w:fill="auto"/>
        <w:spacing w:after="200"/>
      </w:pPr>
      <w:bookmarkStart w:id="7" w:name="bookmark9"/>
      <w:r>
        <w:t>Náš svět, příspěvková organizace, 739 11 Pržno 239</w:t>
      </w:r>
      <w:bookmarkEnd w:id="7"/>
    </w:p>
    <w:p w:rsidR="001F01AE" w:rsidRDefault="00CF1887">
      <w:pPr>
        <w:pStyle w:val="Zkladntext1"/>
        <w:shd w:val="clear" w:color="auto" w:fill="auto"/>
      </w:pPr>
      <w:r>
        <w:rPr>
          <w:b/>
          <w:bCs/>
        </w:rPr>
        <w:t xml:space="preserve">Datum plnění: </w:t>
      </w:r>
      <w:r>
        <w:t>Zařízení bude seřízeno a preventivně ošetřován</w:t>
      </w:r>
      <w:r>
        <w:rPr>
          <w:sz w:val="16"/>
          <w:szCs w:val="16"/>
        </w:rPr>
        <w:t>o</w:t>
      </w:r>
      <w:proofErr w:type="gramStart"/>
      <w:r>
        <w:rPr>
          <w:sz w:val="16"/>
          <w:szCs w:val="16"/>
        </w:rPr>
        <w:t xml:space="preserve"> </w:t>
      </w:r>
      <w:r w:rsidR="00304308">
        <w:rPr>
          <w:sz w:val="16"/>
          <w:szCs w:val="16"/>
        </w:rPr>
        <w:t>….</w:t>
      </w:r>
      <w:proofErr w:type="gramEnd"/>
      <w:r>
        <w:rPr>
          <w:b/>
          <w:bCs/>
        </w:rPr>
        <w:t xml:space="preserve">x </w:t>
      </w:r>
      <w:r>
        <w:rPr>
          <w:sz w:val="16"/>
          <w:szCs w:val="16"/>
        </w:rPr>
        <w:t xml:space="preserve">ročně v termínu </w:t>
      </w:r>
      <w:r>
        <w:rPr>
          <w:b/>
          <w:bCs/>
        </w:rPr>
        <w:t>duben - květen.</w:t>
      </w:r>
    </w:p>
    <w:p w:rsidR="001F01AE" w:rsidRDefault="00CF1887">
      <w:pPr>
        <w:pStyle w:val="Zkladntext1"/>
        <w:shd w:val="clear" w:color="auto" w:fill="auto"/>
        <w:ind w:right="140"/>
      </w:pPr>
      <w:r>
        <w:rPr>
          <w:b/>
          <w:bCs/>
        </w:rPr>
        <w:t xml:space="preserve">Dohoda o ceně: </w:t>
      </w:r>
      <w:r>
        <w:t>Cena za služby podle předmětu smlouvy byla stanovena dle zákona č. 526/1990 Sb. v platném znění, ve výši:</w:t>
      </w:r>
    </w:p>
    <w:p w:rsidR="001F01AE" w:rsidRDefault="00CF1887">
      <w:pPr>
        <w:pStyle w:val="Zkladntext1"/>
        <w:shd w:val="clear" w:color="auto" w:fill="auto"/>
        <w:tabs>
          <w:tab w:val="right" w:pos="6166"/>
          <w:tab w:val="right" w:pos="6565"/>
        </w:tabs>
        <w:spacing w:after="0"/>
      </w:pPr>
      <w:r>
        <w:t>Cena díla za prohlídku</w:t>
      </w:r>
      <w:proofErr w:type="gramStart"/>
      <w:r>
        <w:t xml:space="preserve"> </w:t>
      </w:r>
      <w:r w:rsidR="00304308">
        <w:t>….</w:t>
      </w:r>
      <w:proofErr w:type="gramEnd"/>
      <w:r>
        <w:t>x ročně:</w:t>
      </w:r>
      <w:r>
        <w:tab/>
        <w:t>,-</w:t>
      </w:r>
      <w:r>
        <w:tab/>
        <w:t>CZK</w:t>
      </w:r>
    </w:p>
    <w:p w:rsidR="001F01AE" w:rsidRDefault="00CF1887">
      <w:pPr>
        <w:pStyle w:val="Zkladntext1"/>
        <w:shd w:val="clear" w:color="auto" w:fill="auto"/>
        <w:tabs>
          <w:tab w:val="right" w:pos="6166"/>
          <w:tab w:val="right" w:pos="6565"/>
        </w:tabs>
        <w:spacing w:after="0"/>
      </w:pPr>
      <w:r>
        <w:t>DPH:</w:t>
      </w:r>
      <w:proofErr w:type="gramStart"/>
      <w:r>
        <w:tab/>
        <w:t>,-</w:t>
      </w:r>
      <w:proofErr w:type="gramEnd"/>
      <w:r>
        <w:tab/>
        <w:t>CZK</w:t>
      </w:r>
    </w:p>
    <w:p w:rsidR="001F01AE" w:rsidRDefault="00CF1887">
      <w:pPr>
        <w:pStyle w:val="Zkladntext1"/>
        <w:shd w:val="clear" w:color="auto" w:fill="auto"/>
        <w:tabs>
          <w:tab w:val="right" w:pos="6166"/>
          <w:tab w:val="right" w:pos="6565"/>
        </w:tabs>
      </w:pPr>
      <w:r>
        <w:t>Cena s DPH:</w:t>
      </w:r>
      <w:r>
        <w:tab/>
      </w:r>
      <w:bookmarkStart w:id="8" w:name="_GoBack"/>
      <w:bookmarkEnd w:id="8"/>
      <w:r>
        <w:t>,-</w:t>
      </w:r>
      <w:r>
        <w:tab/>
        <w:t>CZK</w:t>
      </w:r>
    </w:p>
    <w:p w:rsidR="001F01AE" w:rsidRDefault="00CF1887">
      <w:pPr>
        <w:pStyle w:val="Nadpis60"/>
        <w:keepNext/>
        <w:keepLines/>
        <w:shd w:val="clear" w:color="auto" w:fill="auto"/>
        <w:spacing w:after="640"/>
        <w:ind w:left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2945130</wp:posOffset>
                </wp:positionH>
                <wp:positionV relativeFrom="paragraph">
                  <wp:posOffset>12700</wp:posOffset>
                </wp:positionV>
                <wp:extent cx="737870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01AE" w:rsidRDefault="00CF1887">
                            <w:pPr>
                              <w:pStyle w:val="Zkladntext6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STANDARD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31.9pt;margin-top:1pt;width:58.1pt;height:13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" filled="f" stroked="f">
                <v:textbox style="mso-fit-shape-to-text:t" inset="0,0,0,0">
                  <w:txbxContent>
                    <w:p w:rsidR="001F01AE" w:rsidRDefault="00CF1887">
                      <w:pPr>
                        <w:pStyle w:val="Zkladntext60"/>
                        <w:shd w:val="clear" w:color="auto" w:fill="auto"/>
                        <w:ind w:left="0"/>
                      </w:pPr>
                      <w:r>
                        <w:rPr>
                          <w:b/>
                          <w:bCs/>
                        </w:rPr>
                        <w:t>STANDARD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9" w:name="bookmark10"/>
      <w:r>
        <w:t xml:space="preserve">Typ </w:t>
      </w:r>
      <w:proofErr w:type="gramStart"/>
      <w:r>
        <w:t>prohlídky :</w:t>
      </w:r>
      <w:bookmarkEnd w:id="9"/>
      <w:proofErr w:type="gramEnd"/>
    </w:p>
    <w:p w:rsidR="001F01AE" w:rsidRDefault="00CF1887">
      <w:pPr>
        <w:pStyle w:val="Nadpis70"/>
        <w:keepNext/>
        <w:keepLines/>
        <w:shd w:val="clear" w:color="auto" w:fill="auto"/>
        <w:spacing w:after="0"/>
      </w:pPr>
      <w:bookmarkStart w:id="10" w:name="bookmark11"/>
      <w:r>
        <w:t>Dohoda o ceně</w:t>
      </w:r>
      <w:bookmarkEnd w:id="10"/>
    </w:p>
    <w:p w:rsidR="001F01AE" w:rsidRDefault="00CF1887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0"/>
      </w:pPr>
      <w:r>
        <w:t>Cena zahrnuje:</w:t>
      </w:r>
    </w:p>
    <w:p w:rsidR="001F01AE" w:rsidRDefault="00CF1887">
      <w:pPr>
        <w:pStyle w:val="Zkladntext1"/>
        <w:numPr>
          <w:ilvl w:val="0"/>
          <w:numId w:val="2"/>
        </w:numPr>
        <w:shd w:val="clear" w:color="auto" w:fill="auto"/>
        <w:tabs>
          <w:tab w:val="left" w:pos="266"/>
        </w:tabs>
        <w:spacing w:after="0"/>
      </w:pPr>
      <w:r>
        <w:t>prohlídku a seřízení včetně kontroly funkčnosti bezpečnostních a ovládacích prvků</w:t>
      </w:r>
    </w:p>
    <w:p w:rsidR="001F01AE" w:rsidRDefault="00CF1887">
      <w:pPr>
        <w:pStyle w:val="Zkladntext1"/>
        <w:numPr>
          <w:ilvl w:val="0"/>
          <w:numId w:val="2"/>
        </w:numPr>
        <w:shd w:val="clear" w:color="auto" w:fill="auto"/>
        <w:tabs>
          <w:tab w:val="left" w:pos="266"/>
        </w:tabs>
        <w:spacing w:after="0"/>
      </w:pPr>
      <w:r>
        <w:t>použité mazací tuky a čisticí prostředky</w:t>
      </w:r>
    </w:p>
    <w:p w:rsidR="001F01AE" w:rsidRDefault="00CF1887">
      <w:pPr>
        <w:pStyle w:val="Zkladntext1"/>
        <w:numPr>
          <w:ilvl w:val="0"/>
          <w:numId w:val="2"/>
        </w:numPr>
        <w:shd w:val="clear" w:color="auto" w:fill="auto"/>
        <w:tabs>
          <w:tab w:val="left" w:pos="266"/>
        </w:tabs>
        <w:spacing w:after="0"/>
      </w:pPr>
      <w:r>
        <w:t>náklady na přepravné materiálu a osob</w:t>
      </w:r>
    </w:p>
    <w:p w:rsidR="001F01AE" w:rsidRDefault="00CF1887">
      <w:pPr>
        <w:pStyle w:val="Zkladntext1"/>
        <w:numPr>
          <w:ilvl w:val="0"/>
          <w:numId w:val="2"/>
        </w:numPr>
        <w:shd w:val="clear" w:color="auto" w:fill="auto"/>
        <w:tabs>
          <w:tab w:val="left" w:pos="266"/>
        </w:tabs>
      </w:pPr>
      <w:r>
        <w:t>režijní náklady servisního technika</w:t>
      </w:r>
    </w:p>
    <w:p w:rsidR="001F01AE" w:rsidRDefault="00CF1887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Práce mohou být prováděny i mezi stanovenými termíny (havarijní servis), za úhradu dle cenové nabídky v příloze této smlouvy.</w:t>
      </w:r>
    </w:p>
    <w:p w:rsidR="001F01AE" w:rsidRDefault="00CF1887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Smluvní strany se dohodly, že cena za pravidelný i havarijní servis se může každoročně upravit, a to o průměrnou roční míru inflace vyhlášenou Českým statistickým úřadem za předchozí kalendářní rok. O této skutečnosti bude zhotovitel vždy písemně informovat objednatele.</w:t>
      </w:r>
    </w:p>
    <w:p w:rsidR="001F01AE" w:rsidRDefault="00CF1887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Cena náhradních dílů a materiálu bude fakturována dle platného ceníku náhradních dílů ke dni opravy.</w:t>
      </w:r>
    </w:p>
    <w:p w:rsidR="001F01AE" w:rsidRDefault="00CF1887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V ceně nejsou zahrnuty náklady na opravy vad způsobených jinak než běžným užíváním zařízení.</w:t>
      </w:r>
    </w:p>
    <w:p w:rsidR="001F01AE" w:rsidRDefault="00CF1887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600"/>
      </w:pPr>
      <w:r>
        <w:t>Vyzve-li objednatel zhotovitele k provedení opravy zařízení bez zjevného důvodu, budou mu účtovány náklady za „marnou cestu“.</w:t>
      </w:r>
    </w:p>
    <w:p w:rsidR="001F01AE" w:rsidRDefault="00CF1887">
      <w:pPr>
        <w:pStyle w:val="Nadpis70"/>
        <w:keepNext/>
        <w:keepLines/>
        <w:shd w:val="clear" w:color="auto" w:fill="auto"/>
        <w:spacing w:after="0"/>
      </w:pPr>
      <w:bookmarkStart w:id="11" w:name="bookmark12"/>
      <w:r>
        <w:t>Platební podmínky</w:t>
      </w:r>
      <w:bookmarkEnd w:id="11"/>
    </w:p>
    <w:p w:rsidR="001F01AE" w:rsidRDefault="00CF1887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</w:pPr>
      <w:r>
        <w:t xml:space="preserve">Platba bude probíhat na základě faktury vystavené zhotovitelem po provedení servisní prohlídky, splatné do 14 (čtrnácti) dnů ode dne vystavení. Fakturu bude zasílat zhotovitel objednateli písemně prostřednictvím České pošty, </w:t>
      </w:r>
      <w:proofErr w:type="spellStart"/>
      <w:r>
        <w:t>s.p</w:t>
      </w:r>
      <w:proofErr w:type="spellEnd"/>
      <w:r>
        <w:t>. na adresu objednatele uvedenou v záhlaví této smlouvy.</w:t>
      </w:r>
    </w:p>
    <w:p w:rsidR="001F01AE" w:rsidRDefault="00CF1887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spacing w:after="400"/>
      </w:pPr>
      <w:r>
        <w:t>V případě nedodržení termínu splatnosti faktury, zaplatí objednatel zhotoviteli smluvní pokutu ve výši 0,1 % z dlužné částky za každý i započatý den prodlení. Smluvní pokuta je splatná okamžikem porušení závazku ze strany objednatele. Právo na náhradu škody tím není dotčeno.</w:t>
      </w:r>
    </w:p>
    <w:p w:rsidR="001F01AE" w:rsidRDefault="00CF1887">
      <w:pPr>
        <w:pStyle w:val="Nadpis70"/>
        <w:keepNext/>
        <w:keepLines/>
        <w:shd w:val="clear" w:color="auto" w:fill="auto"/>
        <w:spacing w:after="0"/>
      </w:pPr>
      <w:bookmarkStart w:id="12" w:name="bookmark13"/>
      <w:r>
        <w:t>Odpovědnost</w:t>
      </w:r>
      <w:bookmarkEnd w:id="12"/>
    </w:p>
    <w:p w:rsidR="001F01AE" w:rsidRDefault="00CF1887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after="0" w:line="480" w:lineRule="auto"/>
      </w:pPr>
      <w:r>
        <w:t xml:space="preserve">Na vyměněné díly je poskytována záruka </w:t>
      </w:r>
      <w:r w:rsidR="00B477D8">
        <w:t>…</w:t>
      </w:r>
      <w:r>
        <w:t xml:space="preserve"> </w:t>
      </w:r>
      <w:proofErr w:type="gramStart"/>
      <w:r>
        <w:t>(</w:t>
      </w:r>
      <w:r w:rsidR="00B477D8">
        <w:t>….</w:t>
      </w:r>
      <w:proofErr w:type="gramEnd"/>
      <w:r w:rsidR="00B477D8">
        <w:t>.</w:t>
      </w:r>
      <w:r>
        <w:t>) měsíců ode dne výměny.</w:t>
      </w:r>
    </w:p>
    <w:p w:rsidR="001F01AE" w:rsidRDefault="00CF1887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line="480" w:lineRule="auto"/>
      </w:pPr>
      <w:r>
        <w:t xml:space="preserve">Na práci je poskytována záruka </w:t>
      </w:r>
      <w:r w:rsidR="00B477D8">
        <w:t>…</w:t>
      </w:r>
      <w:r>
        <w:t xml:space="preserve"> </w:t>
      </w:r>
      <w:proofErr w:type="gramStart"/>
      <w:r>
        <w:t>(</w:t>
      </w:r>
      <w:r w:rsidR="00B477D8">
        <w:t>….</w:t>
      </w:r>
      <w:proofErr w:type="gramEnd"/>
      <w:r w:rsidR="00B477D8">
        <w:t>.</w:t>
      </w:r>
      <w:r>
        <w:t>) měsíce ode dne provedení.</w:t>
      </w:r>
    </w:p>
    <w:p w:rsidR="001F01AE" w:rsidRDefault="00CF1887">
      <w:pPr>
        <w:pStyle w:val="Nadpis70"/>
        <w:keepNext/>
        <w:keepLines/>
        <w:shd w:val="clear" w:color="auto" w:fill="auto"/>
        <w:spacing w:after="0"/>
      </w:pPr>
      <w:bookmarkStart w:id="13" w:name="bookmark14"/>
      <w:r>
        <w:t>Další ujednání:</w:t>
      </w:r>
      <w:bookmarkEnd w:id="13"/>
    </w:p>
    <w:p w:rsidR="001F01AE" w:rsidRDefault="00CF1887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</w:pPr>
      <w:r>
        <w:t>Práce budou prováděny v pracovní dny mezi 7-15 hodinou.</w:t>
      </w:r>
    </w:p>
    <w:p w:rsidR="001F01AE" w:rsidRDefault="00CF1887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spacing w:after="0"/>
      </w:pPr>
      <w:r>
        <w:t>Objednatel se zavazuje předávat zhotoviteli informace potřebné k zajištění činnosti této smlouvy.</w:t>
      </w:r>
    </w:p>
    <w:p w:rsidR="001F01AE" w:rsidRDefault="00CF1887">
      <w:pPr>
        <w:pStyle w:val="Zkladntext1"/>
        <w:shd w:val="clear" w:color="auto" w:fill="auto"/>
        <w:spacing w:after="0"/>
      </w:pPr>
      <w:r>
        <w:t>Před zahájením servisních prací musí objednatel zajistit po dobu nezbytně nutnou k odstranění závady:</w:t>
      </w:r>
    </w:p>
    <w:p w:rsidR="001F01AE" w:rsidRDefault="00CF1887">
      <w:pPr>
        <w:pStyle w:val="Zkladntext1"/>
        <w:numPr>
          <w:ilvl w:val="0"/>
          <w:numId w:val="6"/>
        </w:numPr>
        <w:shd w:val="clear" w:color="auto" w:fill="auto"/>
        <w:tabs>
          <w:tab w:val="left" w:pos="740"/>
        </w:tabs>
        <w:spacing w:after="0"/>
        <w:ind w:left="380"/>
        <w:jc w:val="left"/>
      </w:pPr>
      <w:r>
        <w:t xml:space="preserve">přerušení užívání stavebního </w:t>
      </w:r>
      <w:proofErr w:type="spellStart"/>
      <w:proofErr w:type="gramStart"/>
      <w:r>
        <w:t>otvoru,na</w:t>
      </w:r>
      <w:proofErr w:type="spellEnd"/>
      <w:proofErr w:type="gramEnd"/>
      <w:r>
        <w:t xml:space="preserve"> kterém je zařízení namontováno,</w:t>
      </w:r>
    </w:p>
    <w:p w:rsidR="001F01AE" w:rsidRDefault="00CF1887">
      <w:pPr>
        <w:pStyle w:val="Zkladntext1"/>
        <w:numPr>
          <w:ilvl w:val="0"/>
          <w:numId w:val="6"/>
        </w:numPr>
        <w:shd w:val="clear" w:color="auto" w:fill="auto"/>
        <w:tabs>
          <w:tab w:val="left" w:pos="740"/>
        </w:tabs>
        <w:spacing w:after="0"/>
        <w:ind w:left="380"/>
        <w:jc w:val="left"/>
      </w:pPr>
      <w:r>
        <w:t>volný prostor min. 2 m od zařízení z obou stran po celé jeho šířce a výšce</w:t>
      </w:r>
    </w:p>
    <w:p w:rsidR="001F01AE" w:rsidRDefault="00CF1887">
      <w:pPr>
        <w:pStyle w:val="Zkladntext1"/>
        <w:numPr>
          <w:ilvl w:val="0"/>
          <w:numId w:val="6"/>
        </w:numPr>
        <w:shd w:val="clear" w:color="auto" w:fill="auto"/>
        <w:tabs>
          <w:tab w:val="left" w:pos="740"/>
        </w:tabs>
        <w:spacing w:after="0"/>
        <w:ind w:left="380"/>
        <w:jc w:val="left"/>
      </w:pPr>
      <w:r>
        <w:t>přístupovou cestu pro materiál, nářadí, žebřík, lešení, zvedací plošinu</w:t>
      </w:r>
    </w:p>
    <w:p w:rsidR="001F01AE" w:rsidRDefault="00CF1887">
      <w:pPr>
        <w:pStyle w:val="Zkladntext1"/>
        <w:numPr>
          <w:ilvl w:val="0"/>
          <w:numId w:val="6"/>
        </w:numPr>
        <w:shd w:val="clear" w:color="auto" w:fill="auto"/>
        <w:tabs>
          <w:tab w:val="left" w:pos="740"/>
        </w:tabs>
        <w:spacing w:after="0"/>
        <w:ind w:left="380"/>
        <w:jc w:val="left"/>
      </w:pPr>
      <w:r>
        <w:t>takové podmínky, aby zhotovitel mohl dodržet veškerá pravidla BOZP</w:t>
      </w:r>
    </w:p>
    <w:p w:rsidR="001F01AE" w:rsidRDefault="00CF1887">
      <w:pPr>
        <w:pStyle w:val="Zkladntext1"/>
        <w:shd w:val="clear" w:color="auto" w:fill="auto"/>
      </w:pPr>
      <w:r>
        <w:t>Objednatel umožní zhotoviteli přístup do svých prostor a zajistí vhodné parkovací místo co nejblíže servisovanému za</w:t>
      </w:r>
      <w:r>
        <w:softHyphen/>
        <w:t>řízení, za účelem provedení výše uvedených prací a provedené výsledky činnosti převzít.</w:t>
      </w:r>
    </w:p>
    <w:p w:rsidR="001F01AE" w:rsidRDefault="00CF1887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</w:pPr>
      <w:r>
        <w:t>Zhotovitel může pověřit zhotovením díla pouze osobu odborně vyškolenou pro provádění předmětných prací.</w:t>
      </w:r>
    </w:p>
    <w:p w:rsidR="001F01AE" w:rsidRDefault="00CF1887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</w:pPr>
      <w:r>
        <w:t>Tato smlouva se uzavírá na dobu neurčitou s tříměsíční výpovědní lhůtou. Výpovědní lhůta počíná běžet prvního dne následujícího měsíce po doručení výpovědi druhé smluvní straně.</w:t>
      </w:r>
    </w:p>
    <w:p w:rsidR="001F01AE" w:rsidRDefault="00CF1887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</w:pPr>
      <w:r>
        <w:t xml:space="preserve">Objednatel je oprávněn kontrolovat provádění díla a zjistí-li, že zhotovitel provádí dílo v rozporu se svými </w:t>
      </w:r>
      <w:r>
        <w:lastRenderedPageBreak/>
        <w:t>povinnostmi, je oprávněn žádat po zhotoviteli odstranění vad vzniklých vadným prováděním a provádění díla řádným způsobem.</w:t>
      </w:r>
    </w:p>
    <w:p w:rsidR="001F01AE" w:rsidRDefault="00CF1887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spacing w:after="0"/>
      </w:pPr>
      <w:r>
        <w:t>Zhotovitel je povinen do 24 hodin od obdržení telefonické a následně písemné objednávky (Telefonicky na</w:t>
      </w:r>
    </w:p>
    <w:p w:rsidR="001F01AE" w:rsidRDefault="00304308">
      <w:pPr>
        <w:pStyle w:val="Zkladntext1"/>
        <w:shd w:val="clear" w:color="auto" w:fill="auto"/>
      </w:pPr>
      <w:r>
        <w:rPr>
          <w:b/>
          <w:bCs/>
        </w:rPr>
        <w:t>…</w:t>
      </w:r>
      <w:proofErr w:type="gramStart"/>
      <w:r>
        <w:rPr>
          <w:b/>
          <w:bCs/>
        </w:rPr>
        <w:t>…….</w:t>
      </w:r>
      <w:proofErr w:type="gramEnd"/>
      <w:r w:rsidR="00CF1887">
        <w:rPr>
          <w:b/>
          <w:bCs/>
        </w:rPr>
        <w:t xml:space="preserve">, </w:t>
      </w:r>
      <w:r w:rsidR="00CF1887">
        <w:t xml:space="preserve">e-mailem </w:t>
      </w:r>
      <w:r>
        <w:t>………….)</w:t>
      </w:r>
      <w:r w:rsidR="00CF1887">
        <w:rPr>
          <w:lang w:val="en-US" w:eastAsia="en-US" w:bidi="en-US"/>
        </w:rPr>
        <w:t xml:space="preserve"> </w:t>
      </w:r>
      <w:r w:rsidR="00CF1887">
        <w:t>zahájit úkony směřující k odstranění nahlášené závady.</w:t>
      </w:r>
    </w:p>
    <w:p w:rsidR="001F01AE" w:rsidRDefault="00CF1887">
      <w:pPr>
        <w:pStyle w:val="Zkladntext1"/>
        <w:numPr>
          <w:ilvl w:val="0"/>
          <w:numId w:val="5"/>
        </w:numPr>
        <w:shd w:val="clear" w:color="auto" w:fill="auto"/>
        <w:tabs>
          <w:tab w:val="left" w:pos="330"/>
        </w:tabs>
      </w:pPr>
      <w:r>
        <w:t>Nebude-li pak možné provést opravu na místě, bude dohodnut termín odstranění závady.</w:t>
      </w:r>
    </w:p>
    <w:p w:rsidR="001F01AE" w:rsidRDefault="00CF1887">
      <w:pPr>
        <w:pStyle w:val="Zkladntext1"/>
        <w:numPr>
          <w:ilvl w:val="0"/>
          <w:numId w:val="5"/>
        </w:numPr>
        <w:shd w:val="clear" w:color="auto" w:fill="auto"/>
        <w:tabs>
          <w:tab w:val="left" w:pos="330"/>
        </w:tabs>
      </w:pPr>
      <w:r>
        <w:t>V ostatním se řídí práva a povinnosti smluvních stran § 2586 a násl. zákona č. 89/2012 Sb. - Občanský zákoník v platném znění.</w:t>
      </w:r>
    </w:p>
    <w:p w:rsidR="001F01AE" w:rsidRDefault="00CF1887">
      <w:pPr>
        <w:pStyle w:val="Zkladntext1"/>
        <w:numPr>
          <w:ilvl w:val="0"/>
          <w:numId w:val="5"/>
        </w:numPr>
        <w:shd w:val="clear" w:color="auto" w:fill="auto"/>
        <w:tabs>
          <w:tab w:val="left" w:pos="330"/>
        </w:tabs>
        <w:spacing w:after="400"/>
      </w:pPr>
      <w:r>
        <w:t>Zhotovitel odpovídá za provedení činnosti v souladu s českými právními předpisy.</w:t>
      </w:r>
    </w:p>
    <w:p w:rsidR="001F01AE" w:rsidRDefault="00CF1887">
      <w:pPr>
        <w:pStyle w:val="Nadpis70"/>
        <w:keepNext/>
        <w:keepLines/>
        <w:shd w:val="clear" w:color="auto" w:fill="auto"/>
        <w:spacing w:after="0"/>
      </w:pPr>
      <w:bookmarkStart w:id="14" w:name="bookmark15"/>
      <w:r>
        <w:t>Závěrečná ustanovení:</w:t>
      </w:r>
      <w:bookmarkEnd w:id="14"/>
    </w:p>
    <w:p w:rsidR="001F01AE" w:rsidRDefault="00CF1887">
      <w:pPr>
        <w:pStyle w:val="Zkladntext1"/>
        <w:numPr>
          <w:ilvl w:val="0"/>
          <w:numId w:val="7"/>
        </w:numPr>
        <w:shd w:val="clear" w:color="auto" w:fill="auto"/>
        <w:tabs>
          <w:tab w:val="left" w:pos="330"/>
        </w:tabs>
      </w:pPr>
      <w:r>
        <w:t>Účastníci této smlouvy po jejím přečtení prohlašují, že souhlasí s jejím obsahem, že tato smlouva byla sepsána na základě pravdivých údajů, jejich pravé a svobodné vůle a nebyla ujednána v tísni ani za jednostranně nevýhodných podmínek. Na důkaz toho připojují své podpisy.</w:t>
      </w:r>
    </w:p>
    <w:p w:rsidR="001F01AE" w:rsidRDefault="00CF1887">
      <w:pPr>
        <w:pStyle w:val="Zkladntext1"/>
        <w:numPr>
          <w:ilvl w:val="0"/>
          <w:numId w:val="7"/>
        </w:numPr>
        <w:shd w:val="clear" w:color="auto" w:fill="auto"/>
        <w:tabs>
          <w:tab w:val="left" w:pos="330"/>
        </w:tabs>
      </w:pPr>
      <w:r>
        <w:t>Všechny spory vznikající z této smlouvy a v souvislosti s ní budou rozhodovány s konečnou platností u Rozhodčího soudu při Hospodářské komoře České republiky a Agrární komoře České republiky podle jeho Řádu a Pravidel třemi rozhodci. Smluvní strany se dohody, že rozhodčí řízení bude probíhat v kontaktním místě Rozhodčího soudu při HK ČR a AK ČR v Ostravě.</w:t>
      </w:r>
    </w:p>
    <w:p w:rsidR="001F01AE" w:rsidRDefault="00CF1887">
      <w:pPr>
        <w:pStyle w:val="Zkladntext1"/>
        <w:numPr>
          <w:ilvl w:val="0"/>
          <w:numId w:val="7"/>
        </w:numPr>
        <w:shd w:val="clear" w:color="auto" w:fill="auto"/>
        <w:tabs>
          <w:tab w:val="left" w:pos="349"/>
        </w:tabs>
        <w:jc w:val="left"/>
      </w:pPr>
      <w:r>
        <w:t>Tato smlouva je platná a účinná dnem podpisu obou smluvních stran.</w:t>
      </w:r>
    </w:p>
    <w:p w:rsidR="001F01AE" w:rsidRDefault="00CF1887">
      <w:pPr>
        <w:pStyle w:val="Zkladntext1"/>
        <w:numPr>
          <w:ilvl w:val="0"/>
          <w:numId w:val="7"/>
        </w:numPr>
        <w:shd w:val="clear" w:color="auto" w:fill="auto"/>
        <w:tabs>
          <w:tab w:val="left" w:pos="349"/>
        </w:tabs>
        <w:jc w:val="left"/>
      </w:pPr>
      <w:r>
        <w:t>Smlouva je vyhotovena ve dvou stejnopisech z nich každá ze smluvních stran obdrží po jednom vyhotovení.</w:t>
      </w:r>
    </w:p>
    <w:p w:rsidR="001F01AE" w:rsidRDefault="00CF1887">
      <w:pPr>
        <w:pStyle w:val="Zkladntext1"/>
        <w:numPr>
          <w:ilvl w:val="0"/>
          <w:numId w:val="7"/>
        </w:numPr>
        <w:shd w:val="clear" w:color="auto" w:fill="auto"/>
        <w:tabs>
          <w:tab w:val="left" w:pos="349"/>
        </w:tabs>
        <w:jc w:val="left"/>
      </w:pPr>
      <w:r>
        <w:t>Jakékoliv ujednání a změny nebo doplňky k této smlouvě jsou pro obě strany závazné jen tehdy, jsou-li vyhotoveny písemně jako dodatek k této smlouvě a jsou oboustranně podepsány.</w:t>
      </w:r>
    </w:p>
    <w:p w:rsidR="001F01AE" w:rsidRDefault="00CF1887">
      <w:pPr>
        <w:pStyle w:val="Zkladntext1"/>
        <w:numPr>
          <w:ilvl w:val="0"/>
          <w:numId w:val="7"/>
        </w:numPr>
        <w:shd w:val="clear" w:color="auto" w:fill="auto"/>
        <w:tabs>
          <w:tab w:val="left" w:pos="349"/>
        </w:tabs>
        <w:spacing w:after="0"/>
        <w:jc w:val="left"/>
      </w:pPr>
      <w:r>
        <w:t>Nedílnou součásti této smlouvy jsou:</w:t>
      </w:r>
    </w:p>
    <w:p w:rsidR="001F01AE" w:rsidRDefault="00CF1887">
      <w:pPr>
        <w:pStyle w:val="Zkladntext1"/>
        <w:shd w:val="clear" w:color="auto" w:fill="auto"/>
        <w:spacing w:after="0"/>
        <w:jc w:val="left"/>
      </w:pPr>
      <w:r>
        <w:t>Příloha č. 1 Seznam zařízení: Cenová nabídka číslo: ………</w:t>
      </w:r>
    </w:p>
    <w:p w:rsidR="001F01AE" w:rsidRDefault="00CF1887">
      <w:pPr>
        <w:pStyle w:val="Zkladntext1"/>
        <w:shd w:val="clear" w:color="auto" w:fill="auto"/>
        <w:spacing w:after="400"/>
        <w:jc w:val="left"/>
      </w:pPr>
      <w:r>
        <w:t>Příloha č. 2 Plná moc pana ……</w:t>
      </w:r>
    </w:p>
    <w:p w:rsidR="001F01AE" w:rsidRDefault="00CF1887">
      <w:pPr>
        <w:pStyle w:val="Zkladntext1"/>
        <w:shd w:val="clear" w:color="auto" w:fill="auto"/>
        <w:spacing w:after="620"/>
        <w:ind w:left="4460" w:firstLine="20"/>
        <w:jc w:val="left"/>
      </w:pPr>
      <w:r>
        <w:rPr>
          <w:noProof/>
        </w:rPr>
        <mc:AlternateContent>
          <mc:Choice Requires="wps">
            <w:drawing>
              <wp:anchor distT="0" distB="542290" distL="114300" distR="114300" simplePos="0" relativeHeight="125829380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12700</wp:posOffset>
                </wp:positionV>
                <wp:extent cx="655320" cy="1555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01AE" w:rsidRDefault="00CF1887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Pržně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56.25pt;margin-top:1pt;width:51.6pt;height:12.25pt;z-index:125829380;visibility:visible;mso-wrap-style:square;mso-wrap-distance-left:9pt;mso-wrap-distance-top:0;mso-wrap-distance-right:9pt;mso-wrap-distance-bottom:4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" filled="f" stroked="f">
                <v:textbox style="mso-fit-shape-to-text:t" inset="0,0,0,0">
                  <w:txbxContent>
                    <w:p w:rsidR="001F01AE" w:rsidRDefault="00CF1887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V Pržně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9750" distB="0" distL="117475" distR="193675" simplePos="0" relativeHeight="125829382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552450</wp:posOffset>
                </wp:positionV>
                <wp:extent cx="572770" cy="1587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01AE" w:rsidRDefault="00CF1887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56.45pt;margin-top:43.5pt;width:45.1pt;height:12.5pt;z-index:125829382;visibility:visible;mso-wrap-style:square;mso-wrap-distance-left:9.25pt;mso-wrap-distance-top:42.5pt;mso-wrap-distance-right:15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" filled="f" stroked="f">
                <v:textbox style="mso-fit-shape-to-text:t" inset="0,0,0,0">
                  <w:txbxContent>
                    <w:p w:rsidR="001F01AE" w:rsidRDefault="00CF1887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Objednatel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Ve Valašském Meziříčí dne</w:t>
      </w:r>
    </w:p>
    <w:p w:rsidR="001F01AE" w:rsidRDefault="00CF1887">
      <w:pPr>
        <w:pStyle w:val="Zkladntext60"/>
        <w:shd w:val="clear" w:color="auto" w:fill="auto"/>
        <w:ind w:left="4460" w:firstLine="20"/>
      </w:pPr>
      <w:r>
        <w:t>Zhotovitel</w:t>
      </w:r>
    </w:p>
    <w:p w:rsidR="001F01AE" w:rsidRDefault="001F01AE">
      <w:pPr>
        <w:spacing w:line="14" w:lineRule="exact"/>
      </w:pPr>
    </w:p>
    <w:p w:rsidR="00304308" w:rsidRDefault="00304308">
      <w:pPr>
        <w:spacing w:line="14" w:lineRule="exact"/>
      </w:pPr>
    </w:p>
    <w:p w:rsidR="00304308" w:rsidRDefault="00304308">
      <w:pPr>
        <w:spacing w:line="14" w:lineRule="exact"/>
      </w:pPr>
    </w:p>
    <w:p w:rsidR="00304308" w:rsidRDefault="00304308">
      <w:pPr>
        <w:spacing w:line="14" w:lineRule="exact"/>
      </w:pPr>
    </w:p>
    <w:p w:rsidR="00304308" w:rsidRDefault="00304308">
      <w:pPr>
        <w:spacing w:line="14" w:lineRule="exact"/>
      </w:pPr>
    </w:p>
    <w:p w:rsidR="001F01AE" w:rsidRDefault="00CF1887">
      <w:pPr>
        <w:pStyle w:val="Zkladntext60"/>
        <w:shd w:val="clear" w:color="auto" w:fill="auto"/>
        <w:ind w:left="2460"/>
      </w:pPr>
      <w:r>
        <w:br w:type="page"/>
      </w:r>
    </w:p>
    <w:p w:rsidR="001F01AE" w:rsidRDefault="001F01AE">
      <w:pPr>
        <w:spacing w:line="14" w:lineRule="exact"/>
      </w:pPr>
    </w:p>
    <w:p w:rsidR="001F01AE" w:rsidRDefault="00CF1887">
      <w:pPr>
        <w:pStyle w:val="Nadpis40"/>
        <w:keepNext/>
        <w:keepLines/>
        <w:shd w:val="clear" w:color="auto" w:fill="auto"/>
        <w:spacing w:after="160" w:line="240" w:lineRule="auto"/>
      </w:pPr>
      <w:bookmarkStart w:id="15" w:name="bookmark17"/>
      <w:r>
        <w:t>na zajištění údržby zařízení, včetně programu Preventivní servis, podle nařízení vlády č. 378/2001 Sb.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571"/>
        <w:gridCol w:w="566"/>
        <w:gridCol w:w="571"/>
        <w:gridCol w:w="571"/>
        <w:gridCol w:w="571"/>
        <w:gridCol w:w="792"/>
        <w:gridCol w:w="994"/>
        <w:gridCol w:w="2376"/>
        <w:gridCol w:w="902"/>
        <w:gridCol w:w="1258"/>
      </w:tblGrid>
      <w:tr w:rsidR="001F01AE">
        <w:trPr>
          <w:trHeight w:hRule="exact" w:val="27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Nabídka číslo: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AE" w:rsidRDefault="001F01A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Zpracoval: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Dne: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AE" w:rsidRDefault="001F01AE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1F01AE">
        <w:trPr>
          <w:trHeight w:hRule="exact" w:val="22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E-mail: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mobil: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1F01AE">
        <w:trPr>
          <w:trHeight w:hRule="exact" w:val="149"/>
          <w:jc w:val="center"/>
        </w:trPr>
        <w:tc>
          <w:tcPr>
            <w:tcW w:w="103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46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Zpracováno pro</w:t>
            </w:r>
          </w:p>
        </w:tc>
        <w:tc>
          <w:tcPr>
            <w:tcW w:w="91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 w:line="180" w:lineRule="auto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Náš svět, příspěvková organizace</w:t>
            </w:r>
          </w:p>
        </w:tc>
      </w:tr>
      <w:tr w:rsidR="001F01AE">
        <w:trPr>
          <w:trHeight w:hRule="exact" w:val="26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Ulice: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Pržno 239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Jméno: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tabs>
                <w:tab w:val="left" w:pos="1282"/>
              </w:tabs>
              <w:spacing w:after="0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Příjmení: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F01AE">
        <w:trPr>
          <w:trHeight w:hRule="exact" w:val="2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Město: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Pržno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PSČ: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739 11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F01AE">
        <w:trPr>
          <w:trHeight w:hRule="exact" w:val="27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Akce: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Náš svět Pržno 239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F01AE" w:rsidRDefault="001F01AE">
      <w:pPr>
        <w:spacing w:after="106" w:line="14" w:lineRule="exact"/>
      </w:pPr>
    </w:p>
    <w:p w:rsidR="001F01AE" w:rsidRDefault="00CF1887">
      <w:pPr>
        <w:pStyle w:val="Nadpis70"/>
        <w:keepNext/>
        <w:keepLines/>
        <w:shd w:val="clear" w:color="auto" w:fill="auto"/>
        <w:spacing w:after="340"/>
        <w:jc w:val="left"/>
      </w:pPr>
      <w:bookmarkStart w:id="16" w:name="bookmark18"/>
      <w:r>
        <w:rPr>
          <w:rFonts w:ascii="Calibri" w:eastAsia="Calibri" w:hAnsi="Calibri" w:cs="Calibri"/>
        </w:rPr>
        <w:t>Vážený zákazníku, údržbu a servis vašeho zařízení můžeme provádět v následujících programech:</w:t>
      </w:r>
      <w:bookmarkEnd w:id="16"/>
    </w:p>
    <w:p w:rsidR="001F01AE" w:rsidRDefault="00CF1887">
      <w:pPr>
        <w:pStyle w:val="Zkladntext20"/>
        <w:shd w:val="clear" w:color="auto" w:fill="auto"/>
        <w:spacing w:line="233" w:lineRule="auto"/>
      </w:pPr>
      <w:proofErr w:type="gramStart"/>
      <w:r>
        <w:rPr>
          <w:b/>
          <w:bCs/>
          <w:sz w:val="18"/>
          <w:szCs w:val="18"/>
        </w:rPr>
        <w:t xml:space="preserve">Objednávka </w:t>
      </w:r>
      <w:r>
        <w:t>- zákazník</w:t>
      </w:r>
      <w:proofErr w:type="gramEnd"/>
      <w:r>
        <w:t xml:space="preserve"> nemá sjednánu smlouvu o Preventivním servisu zařízení a je na jeho rozhodnutí, kdy objedná servisní zásah během základní (běžné) pracovní doby. SPEDOS Servis s.r.o. provádí servisní práce a údržbu na zařízení podle objednávky zákazníka. Veškerá činnost i použitý materiál je zákazníkem placen mimo případy záruční opravy. V případě tohoto typu servisu a oprav zařízení je zákazník plně zodpovědný za stav zařízení, které není sledováno servisní organizací formou Preventivních prohlídek plánovaných SPEDOS Servis s.r.o. Podle provozu a stavu zařízení. Při tomto režimu může dojít k vážnějším poškozením a opotřebením, která jsou ve svém souhrnu finančně nákladnější.</w:t>
      </w:r>
    </w:p>
    <w:p w:rsidR="001F01AE" w:rsidRDefault="00CF1887">
      <w:pPr>
        <w:pStyle w:val="Zkladntext20"/>
        <w:shd w:val="clear" w:color="auto" w:fill="auto"/>
        <w:spacing w:after="340"/>
      </w:pPr>
      <w:proofErr w:type="gramStart"/>
      <w:r>
        <w:rPr>
          <w:b/>
          <w:bCs/>
          <w:sz w:val="18"/>
          <w:szCs w:val="18"/>
        </w:rPr>
        <w:t xml:space="preserve">Smluvní </w:t>
      </w:r>
      <w:r>
        <w:t>- zákazník</w:t>
      </w:r>
      <w:proofErr w:type="gramEnd"/>
      <w:r>
        <w:t xml:space="preserve"> má sjednánu smlouvu o Preventivním servisu, při které SPEDOS Servis s.r.o. provádí plánované kontroly a údržbu zařízení, včetně výměn spotřebních dílů podle jejich stupně opotřebení a dle sjednaného budgetu. Další požadavky na servisní zásahy jsou prováděny s vyšší prioritou proti Standardnímu (nesmluvnímu) servisu a podle obsahu smlouvy je prováděna plánovaná preventivní údržba a kontrola </w:t>
      </w:r>
      <w:proofErr w:type="gramStart"/>
      <w:r>
        <w:t>s</w:t>
      </w:r>
      <w:proofErr w:type="gramEnd"/>
      <w:r>
        <w:t xml:space="preserve"> stavu zařízení během základní (běžné) pracovní doby.</w:t>
      </w:r>
    </w:p>
    <w:p w:rsidR="001F01AE" w:rsidRDefault="00CF1887">
      <w:pPr>
        <w:pStyle w:val="Nadpis70"/>
        <w:keepNext/>
        <w:keepLines/>
        <w:shd w:val="clear" w:color="auto" w:fill="auto"/>
        <w:spacing w:after="60"/>
        <w:jc w:val="left"/>
      </w:pPr>
      <w:bookmarkStart w:id="17" w:name="bookmark19"/>
      <w:r>
        <w:rPr>
          <w:rFonts w:ascii="Calibri" w:eastAsia="Calibri" w:hAnsi="Calibri" w:cs="Calibri"/>
        </w:rPr>
        <w:t>Dále lze dohodnout:</w:t>
      </w:r>
      <w:bookmarkEnd w:id="17"/>
    </w:p>
    <w:p w:rsidR="001F01AE" w:rsidRDefault="00CF1887">
      <w:pPr>
        <w:pStyle w:val="Zkladntext20"/>
        <w:shd w:val="clear" w:color="auto" w:fill="auto"/>
        <w:spacing w:line="214" w:lineRule="auto"/>
      </w:pPr>
      <w:proofErr w:type="gramStart"/>
      <w:r>
        <w:rPr>
          <w:b/>
          <w:bCs/>
          <w:sz w:val="18"/>
          <w:szCs w:val="18"/>
        </w:rPr>
        <w:t xml:space="preserve">Pohotovost </w:t>
      </w:r>
      <w:r>
        <w:t>- zákazník</w:t>
      </w:r>
      <w:proofErr w:type="gramEnd"/>
      <w:r>
        <w:t xml:space="preserve"> má ve smlouvě sjednány podmínky provádění Havarijního servisu mimo pracovní dobu</w:t>
      </w:r>
    </w:p>
    <w:p w:rsidR="001F01AE" w:rsidRDefault="00CF1887">
      <w:pPr>
        <w:pStyle w:val="Nadpis70"/>
        <w:keepNext/>
        <w:keepLines/>
        <w:shd w:val="clear" w:color="auto" w:fill="auto"/>
        <w:spacing w:after="60"/>
        <w:jc w:val="left"/>
      </w:pPr>
      <w:bookmarkStart w:id="18" w:name="bookmark20"/>
      <w:r>
        <w:rPr>
          <w:rFonts w:ascii="Calibri" w:eastAsia="Calibri" w:hAnsi="Calibri" w:cs="Calibri"/>
        </w:rPr>
        <w:t>Každý den k dispozici:</w:t>
      </w:r>
      <w:bookmarkEnd w:id="18"/>
    </w:p>
    <w:p w:rsidR="001F01AE" w:rsidRDefault="00CF1887">
      <w:pPr>
        <w:pStyle w:val="Zkladntext20"/>
        <w:shd w:val="clear" w:color="auto" w:fill="auto"/>
        <w:spacing w:after="340" w:line="233" w:lineRule="auto"/>
      </w:pPr>
      <w:r>
        <w:rPr>
          <w:b/>
          <w:bCs/>
          <w:sz w:val="18"/>
          <w:szCs w:val="18"/>
        </w:rPr>
        <w:t xml:space="preserve">Zelená linka </w:t>
      </w:r>
      <w:r w:rsidR="00304308">
        <w:rPr>
          <w:b/>
          <w:bCs/>
          <w:sz w:val="18"/>
          <w:szCs w:val="18"/>
        </w:rPr>
        <w:t>………</w:t>
      </w:r>
      <w:r>
        <w:rPr>
          <w:b/>
          <w:bCs/>
          <w:sz w:val="18"/>
          <w:szCs w:val="18"/>
        </w:rPr>
        <w:t xml:space="preserve"> </w:t>
      </w:r>
      <w:r>
        <w:t>- telefonní pomoc zákazníkům při provozních problémech, kdy školení pracovníci Servisního oddělení instruují vaše zaměstnance k provedení základních úkonů, jež mohou odstranit jednoduché poruchy. Pro přímou pomoc u zákazníka platí podmínky obdobné Standardním nebo Smluvním servisním zásahům.</w:t>
      </w:r>
    </w:p>
    <w:p w:rsidR="001F01AE" w:rsidRDefault="00CF1887">
      <w:pPr>
        <w:pStyle w:val="Nadpis70"/>
        <w:keepNext/>
        <w:keepLines/>
        <w:shd w:val="clear" w:color="auto" w:fill="auto"/>
        <w:spacing w:after="60"/>
        <w:jc w:val="left"/>
      </w:pPr>
      <w:bookmarkStart w:id="19" w:name="bookmark21"/>
      <w:r>
        <w:rPr>
          <w:rFonts w:ascii="Calibri" w:eastAsia="Calibri" w:hAnsi="Calibri" w:cs="Calibri"/>
        </w:rPr>
        <w:t>Preventivní prohlídka obsahuje:</w:t>
      </w:r>
      <w:bookmarkEnd w:id="19"/>
    </w:p>
    <w:p w:rsidR="001F01AE" w:rsidRDefault="00CF1887">
      <w:pPr>
        <w:pStyle w:val="Zkladntext20"/>
        <w:numPr>
          <w:ilvl w:val="0"/>
          <w:numId w:val="8"/>
        </w:numPr>
        <w:shd w:val="clear" w:color="auto" w:fill="auto"/>
        <w:tabs>
          <w:tab w:val="left" w:pos="243"/>
        </w:tabs>
        <w:spacing w:after="60"/>
      </w:pPr>
      <w:r>
        <w:t xml:space="preserve">provedení stanovených úkonů Preventivní prohlídky </w:t>
      </w:r>
      <w:proofErr w:type="gramStart"/>
      <w:r>
        <w:t>( viz</w:t>
      </w:r>
      <w:proofErr w:type="gramEnd"/>
      <w:r>
        <w:t xml:space="preserve"> protokol Preventivní servis )</w:t>
      </w:r>
    </w:p>
    <w:p w:rsidR="001F01AE" w:rsidRDefault="00CF1887">
      <w:pPr>
        <w:pStyle w:val="Zkladntext20"/>
        <w:numPr>
          <w:ilvl w:val="0"/>
          <w:numId w:val="8"/>
        </w:numPr>
        <w:shd w:val="clear" w:color="auto" w:fill="auto"/>
        <w:tabs>
          <w:tab w:val="left" w:pos="243"/>
        </w:tabs>
        <w:spacing w:after="60"/>
      </w:pPr>
      <w:r>
        <w:t xml:space="preserve">drobný materiál spotřebovaný při provádění Preventivní prohlídky </w:t>
      </w:r>
      <w:proofErr w:type="gramStart"/>
      <w:r>
        <w:t>( mazací</w:t>
      </w:r>
      <w:proofErr w:type="gramEnd"/>
      <w:r>
        <w:t xml:space="preserve"> tuky, čistící prostředky, základní spojovací materiál )</w:t>
      </w:r>
    </w:p>
    <w:p w:rsidR="001F01AE" w:rsidRDefault="00CF1887">
      <w:pPr>
        <w:pStyle w:val="Zkladntext20"/>
        <w:numPr>
          <w:ilvl w:val="0"/>
          <w:numId w:val="8"/>
        </w:numPr>
        <w:shd w:val="clear" w:color="auto" w:fill="auto"/>
        <w:tabs>
          <w:tab w:val="left" w:pos="243"/>
        </w:tabs>
        <w:spacing w:after="60"/>
      </w:pPr>
      <w:r>
        <w:t>označení zařízení štítkem s informací o termínu příští prohlídky</w:t>
      </w:r>
    </w:p>
    <w:p w:rsidR="001F01AE" w:rsidRDefault="00CF1887">
      <w:pPr>
        <w:pStyle w:val="Zkladntext20"/>
        <w:numPr>
          <w:ilvl w:val="0"/>
          <w:numId w:val="8"/>
        </w:numPr>
        <w:shd w:val="clear" w:color="auto" w:fill="auto"/>
        <w:tabs>
          <w:tab w:val="left" w:pos="243"/>
        </w:tabs>
        <w:spacing w:after="60"/>
      </w:pPr>
      <w:r>
        <w:t>včetně dopravy a všech režijních nákladů</w:t>
      </w:r>
    </w:p>
    <w:p w:rsidR="001F01AE" w:rsidRDefault="00CF1887">
      <w:pPr>
        <w:pStyle w:val="Zkladntext20"/>
        <w:numPr>
          <w:ilvl w:val="0"/>
          <w:numId w:val="8"/>
        </w:numPr>
        <w:shd w:val="clear" w:color="auto" w:fill="auto"/>
        <w:tabs>
          <w:tab w:val="left" w:pos="243"/>
        </w:tabs>
        <w:spacing w:after="60"/>
      </w:pPr>
      <w:r>
        <w:t>evidence a organizace programu Preventivní prohlídky</w:t>
      </w:r>
    </w:p>
    <w:p w:rsidR="001F01AE" w:rsidRDefault="00CF1887">
      <w:pPr>
        <w:pStyle w:val="Zkladntext20"/>
        <w:numPr>
          <w:ilvl w:val="0"/>
          <w:numId w:val="8"/>
        </w:numPr>
        <w:shd w:val="clear" w:color="auto" w:fill="auto"/>
        <w:tabs>
          <w:tab w:val="left" w:pos="243"/>
        </w:tabs>
        <w:spacing w:after="60"/>
      </w:pPr>
      <w:r>
        <w:t>administrace Preventivní prohlídky</w:t>
      </w:r>
    </w:p>
    <w:p w:rsidR="001F01AE" w:rsidRDefault="00CF1887">
      <w:pPr>
        <w:pStyle w:val="Zkladntext20"/>
        <w:numPr>
          <w:ilvl w:val="0"/>
          <w:numId w:val="8"/>
        </w:numPr>
        <w:shd w:val="clear" w:color="auto" w:fill="auto"/>
        <w:tabs>
          <w:tab w:val="left" w:pos="243"/>
        </w:tabs>
        <w:spacing w:after="340"/>
      </w:pPr>
      <w:r>
        <w:t>výstup Doporučené výměny</w:t>
      </w:r>
    </w:p>
    <w:p w:rsidR="001F01AE" w:rsidRDefault="00CF1887">
      <w:pPr>
        <w:pStyle w:val="Nadpis20"/>
        <w:keepNext/>
        <w:keepLines/>
        <w:pBdr>
          <w:top w:val="single" w:sz="0" w:space="0" w:color="008001"/>
          <w:left w:val="single" w:sz="0" w:space="0" w:color="008001"/>
          <w:bottom w:val="single" w:sz="0" w:space="0" w:color="008001"/>
          <w:right w:val="single" w:sz="0" w:space="0" w:color="008001"/>
        </w:pBdr>
        <w:shd w:val="clear" w:color="auto" w:fill="008001"/>
        <w:ind w:left="280"/>
      </w:pPr>
      <w:bookmarkStart w:id="20" w:name="bookmark22"/>
      <w:r>
        <w:rPr>
          <w:color w:val="FFFFFF"/>
        </w:rPr>
        <w:t xml:space="preserve">S P E C </w:t>
      </w:r>
      <w:proofErr w:type="gramStart"/>
      <w:r>
        <w:rPr>
          <w:color w:val="FFFFFF"/>
        </w:rPr>
        <w:t>I</w:t>
      </w:r>
      <w:proofErr w:type="gramEnd"/>
      <w:r>
        <w:rPr>
          <w:color w:val="FFFFFF"/>
        </w:rPr>
        <w:t xml:space="preserve"> F I K A C E</w:t>
      </w:r>
      <w:bookmarkEnd w:id="2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522"/>
        <w:gridCol w:w="4315"/>
      </w:tblGrid>
      <w:tr w:rsidR="001F01AE">
        <w:trPr>
          <w:trHeight w:hRule="exact" w:val="278"/>
        </w:trPr>
        <w:tc>
          <w:tcPr>
            <w:tcW w:w="7200" w:type="dxa"/>
            <w:gridSpan w:val="3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Pozice 1.</w:t>
            </w:r>
          </w:p>
        </w:tc>
      </w:tr>
      <w:tr w:rsidR="001F01AE">
        <w:trPr>
          <w:trHeight w:hRule="exact" w:val="264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 xml:space="preserve">Počet zařízení: </w:t>
            </w:r>
            <w:r>
              <w:rPr>
                <w:rFonts w:ascii="Calibri" w:eastAsia="Calibri" w:hAnsi="Calibri" w:cs="Calibri"/>
                <w:b/>
                <w:bCs/>
                <w:color w:val="FF9966"/>
              </w:rPr>
              <w:t>|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01AE" w:rsidRDefault="00304308">
            <w:pPr>
              <w:pStyle w:val="Jin0"/>
              <w:shd w:val="clear" w:color="auto" w:fill="auto"/>
              <w:spacing w:after="0"/>
              <w:ind w:left="26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…..</w:t>
            </w:r>
            <w:r w:rsidR="00CF18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doporučený počet prohlídek ročně </w:t>
            </w:r>
            <w:proofErr w:type="gramStart"/>
            <w:r w:rsidR="0030430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…….</w:t>
            </w:r>
            <w:proofErr w:type="gramEnd"/>
          </w:p>
        </w:tc>
      </w:tr>
    </w:tbl>
    <w:p w:rsidR="001F01AE" w:rsidRDefault="00CF1887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975"/>
        <w:gridCol w:w="3012"/>
        <w:gridCol w:w="1699"/>
        <w:gridCol w:w="1658"/>
        <w:gridCol w:w="1280"/>
      </w:tblGrid>
      <w:tr w:rsidR="001F01AE">
        <w:trPr>
          <w:trHeight w:hRule="exact" w:val="259"/>
          <w:jc w:val="center"/>
        </w:trPr>
        <w:tc>
          <w:tcPr>
            <w:tcW w:w="1781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lastRenderedPageBreak/>
              <w:t xml:space="preserve">Typ </w:t>
            </w:r>
            <w:proofErr w:type="gramStart"/>
            <w:r>
              <w:rPr>
                <w:rFonts w:ascii="Calibri" w:eastAsia="Calibri" w:hAnsi="Calibri" w:cs="Calibri"/>
              </w:rPr>
              <w:t>prohlídky :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prevence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58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255"/>
          <w:jc w:val="center"/>
        </w:trPr>
        <w:tc>
          <w:tcPr>
            <w:tcW w:w="1781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Zařízení: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Výrobce:Spedos</w:t>
            </w:r>
            <w:proofErr w:type="spellEnd"/>
            <w:proofErr w:type="gramEnd"/>
          </w:p>
        </w:tc>
        <w:tc>
          <w:tcPr>
            <w:tcW w:w="1658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514"/>
          <w:jc w:val="center"/>
        </w:trPr>
        <w:tc>
          <w:tcPr>
            <w:tcW w:w="2756" w:type="dxa"/>
            <w:gridSpan w:val="2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Automatické vstupní dveře</w:t>
            </w:r>
          </w:p>
        </w:tc>
        <w:tc>
          <w:tcPr>
            <w:tcW w:w="3012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ind w:left="6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Typ:</w:t>
            </w:r>
          </w:p>
        </w:tc>
        <w:tc>
          <w:tcPr>
            <w:tcW w:w="1658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255"/>
          <w:jc w:val="center"/>
        </w:trPr>
        <w:tc>
          <w:tcPr>
            <w:tcW w:w="5768" w:type="dxa"/>
            <w:gridSpan w:val="3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ind w:left="12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výrobní číslo: 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 smlouvou</w:t>
            </w:r>
          </w:p>
        </w:tc>
        <w:tc>
          <w:tcPr>
            <w:tcW w:w="1658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objednávku</w:t>
            </w:r>
          </w:p>
        </w:tc>
        <w:tc>
          <w:tcPr>
            <w:tcW w:w="1280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259"/>
          <w:jc w:val="center"/>
        </w:trPr>
        <w:tc>
          <w:tcPr>
            <w:tcW w:w="1781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  <w:b/>
                <w:bCs/>
              </w:rPr>
              <w:t>Cena za kus</w:t>
            </w:r>
          </w:p>
        </w:tc>
        <w:tc>
          <w:tcPr>
            <w:tcW w:w="975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3012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Kč</w:t>
            </w:r>
          </w:p>
        </w:tc>
      </w:tr>
      <w:tr w:rsidR="001F01AE">
        <w:trPr>
          <w:trHeight w:hRule="exact" w:val="263"/>
          <w:jc w:val="center"/>
        </w:trPr>
        <w:tc>
          <w:tcPr>
            <w:tcW w:w="1781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  <w:b/>
                <w:bCs/>
              </w:rPr>
              <w:t>Cena za kus se slevou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1F01AE" w:rsidRDefault="00304308">
            <w:pPr>
              <w:pStyle w:val="Jin0"/>
              <w:shd w:val="clear" w:color="auto" w:fill="auto"/>
              <w:spacing w:after="0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…..</w:t>
            </w:r>
            <w:r w:rsidR="00CF18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012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ind w:left="180"/>
            </w:pPr>
            <w:r>
              <w:rPr>
                <w:rFonts w:ascii="Calibri" w:eastAsia="Calibri" w:hAnsi="Calibri" w:cs="Calibri"/>
                <w:b/>
                <w:bCs/>
              </w:rPr>
              <w:t>pouze na prohlídky se smlouvou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Kč</w:t>
            </w:r>
          </w:p>
        </w:tc>
      </w:tr>
      <w:tr w:rsidR="001F01AE">
        <w:trPr>
          <w:trHeight w:hRule="exact" w:val="247"/>
          <w:jc w:val="center"/>
        </w:trPr>
        <w:tc>
          <w:tcPr>
            <w:tcW w:w="1781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  <w:b/>
                <w:bCs/>
              </w:rPr>
              <w:t>Cena celkem</w:t>
            </w:r>
          </w:p>
        </w:tc>
        <w:tc>
          <w:tcPr>
            <w:tcW w:w="975" w:type="dxa"/>
            <w:shd w:val="clear" w:color="auto" w:fill="FFFFFF"/>
            <w:vAlign w:val="bottom"/>
          </w:tcPr>
          <w:p w:rsidR="001F01AE" w:rsidRDefault="00304308">
            <w:pPr>
              <w:pStyle w:val="Jin0"/>
              <w:shd w:val="clear" w:color="auto" w:fill="auto"/>
              <w:spacing w:after="0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</w:t>
            </w:r>
            <w:r w:rsidR="00CF18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3012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tabs>
                <w:tab w:val="left" w:pos="1756"/>
              </w:tabs>
              <w:spacing w:after="0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 prevencí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="00304308">
              <w:rPr>
                <w:rFonts w:ascii="Calibri" w:eastAsia="Calibri" w:hAnsi="Calibri" w:cs="Calibri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 ročně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Kč</w:t>
            </w:r>
          </w:p>
        </w:tc>
      </w:tr>
      <w:tr w:rsidR="001F01AE">
        <w:trPr>
          <w:trHeight w:hRule="exact" w:val="255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Pozice 2.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259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tabs>
                <w:tab w:val="left" w:pos="1600"/>
              </w:tabs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Počet zařízení: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 w:rsidR="0030430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ind w:left="11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doporučený počet prohlídek ročně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0430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….</w:t>
            </w:r>
            <w:proofErr w:type="gramEnd"/>
            <w:r w:rsidR="0030430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8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255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t xml:space="preserve">Typ </w:t>
            </w:r>
            <w:proofErr w:type="gramStart"/>
            <w:r>
              <w:rPr>
                <w:rFonts w:ascii="Calibri" w:eastAsia="Calibri" w:hAnsi="Calibri" w:cs="Calibri"/>
              </w:rPr>
              <w:t>prohlídky :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prevence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58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259"/>
          <w:jc w:val="center"/>
        </w:trPr>
        <w:tc>
          <w:tcPr>
            <w:tcW w:w="1781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Zařízení: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Výrobce:Spedos</w:t>
            </w:r>
            <w:proofErr w:type="spellEnd"/>
            <w:proofErr w:type="gramEnd"/>
          </w:p>
        </w:tc>
        <w:tc>
          <w:tcPr>
            <w:tcW w:w="1658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510"/>
          <w:jc w:val="center"/>
        </w:trPr>
        <w:tc>
          <w:tcPr>
            <w:tcW w:w="2756" w:type="dxa"/>
            <w:gridSpan w:val="2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Automatické vstupní dveře</w:t>
            </w:r>
          </w:p>
        </w:tc>
        <w:tc>
          <w:tcPr>
            <w:tcW w:w="3012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ind w:left="62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Typ:SP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803</w:t>
            </w:r>
          </w:p>
        </w:tc>
        <w:tc>
          <w:tcPr>
            <w:tcW w:w="1658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255"/>
          <w:jc w:val="center"/>
        </w:trPr>
        <w:tc>
          <w:tcPr>
            <w:tcW w:w="5768" w:type="dxa"/>
            <w:gridSpan w:val="3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ind w:left="12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výrobní číslo: DP04-0172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 smlouvou</w:t>
            </w:r>
          </w:p>
        </w:tc>
        <w:tc>
          <w:tcPr>
            <w:tcW w:w="1658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objednávku</w:t>
            </w:r>
          </w:p>
        </w:tc>
        <w:tc>
          <w:tcPr>
            <w:tcW w:w="1280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267"/>
          <w:jc w:val="center"/>
        </w:trPr>
        <w:tc>
          <w:tcPr>
            <w:tcW w:w="1781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3012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1AE" w:rsidRDefault="001F01A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Kč</w:t>
            </w:r>
          </w:p>
        </w:tc>
      </w:tr>
      <w:tr w:rsidR="001F01AE">
        <w:trPr>
          <w:trHeight w:hRule="exact" w:val="255"/>
          <w:jc w:val="center"/>
        </w:trPr>
        <w:tc>
          <w:tcPr>
            <w:tcW w:w="1781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  <w:b/>
                <w:bCs/>
              </w:rPr>
              <w:t>Cena za kus se slevou</w:t>
            </w:r>
          </w:p>
        </w:tc>
        <w:tc>
          <w:tcPr>
            <w:tcW w:w="975" w:type="dxa"/>
            <w:shd w:val="clear" w:color="auto" w:fill="FFFFFF"/>
          </w:tcPr>
          <w:p w:rsidR="001F01AE" w:rsidRDefault="00304308">
            <w:pPr>
              <w:pStyle w:val="Jin0"/>
              <w:shd w:val="clear" w:color="auto" w:fill="auto"/>
              <w:spacing w:after="0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…..</w:t>
            </w:r>
            <w:r w:rsidR="00CF18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012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ind w:left="180"/>
            </w:pPr>
            <w:r>
              <w:rPr>
                <w:rFonts w:ascii="Calibri" w:eastAsia="Calibri" w:hAnsi="Calibri" w:cs="Calibri"/>
                <w:b/>
                <w:bCs/>
              </w:rPr>
              <w:t>pouze na prohlídky se smlouvou</w:t>
            </w:r>
          </w:p>
        </w:tc>
        <w:tc>
          <w:tcPr>
            <w:tcW w:w="1699" w:type="dxa"/>
            <w:shd w:val="clear" w:color="auto" w:fill="FFFFFF"/>
          </w:tcPr>
          <w:p w:rsidR="001F01AE" w:rsidRDefault="001F01A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FFFFF"/>
          </w:tcPr>
          <w:p w:rsidR="001F01AE" w:rsidRDefault="001F01A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Kč</w:t>
            </w:r>
          </w:p>
        </w:tc>
      </w:tr>
      <w:tr w:rsidR="001F01AE">
        <w:trPr>
          <w:trHeight w:hRule="exact" w:val="251"/>
          <w:jc w:val="center"/>
        </w:trPr>
        <w:tc>
          <w:tcPr>
            <w:tcW w:w="1781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  <w:b/>
                <w:bCs/>
              </w:rPr>
              <w:t>Cena celkem</w:t>
            </w:r>
          </w:p>
        </w:tc>
        <w:tc>
          <w:tcPr>
            <w:tcW w:w="975" w:type="dxa"/>
            <w:shd w:val="clear" w:color="auto" w:fill="FFFFFF"/>
          </w:tcPr>
          <w:p w:rsidR="001F01AE" w:rsidRDefault="00304308">
            <w:pPr>
              <w:pStyle w:val="Jin0"/>
              <w:shd w:val="clear" w:color="auto" w:fill="auto"/>
              <w:spacing w:after="0"/>
              <w:ind w:righ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…..</w:t>
            </w:r>
            <w:proofErr w:type="gramEnd"/>
            <w:r w:rsidR="00CF18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3012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tabs>
                <w:tab w:val="left" w:pos="1756"/>
              </w:tabs>
              <w:spacing w:after="0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 prevencí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="00304308">
              <w:rPr>
                <w:rFonts w:ascii="Calibri" w:eastAsia="Calibri" w:hAnsi="Calibri" w:cs="Calibri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 ročně</w:t>
            </w:r>
          </w:p>
        </w:tc>
        <w:tc>
          <w:tcPr>
            <w:tcW w:w="1699" w:type="dxa"/>
            <w:shd w:val="clear" w:color="auto" w:fill="FFFFFF"/>
          </w:tcPr>
          <w:p w:rsidR="001F01AE" w:rsidRDefault="001F01A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FFFFF"/>
          </w:tcPr>
          <w:p w:rsidR="001F01AE" w:rsidRDefault="001F01A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Kč</w:t>
            </w:r>
          </w:p>
        </w:tc>
      </w:tr>
      <w:tr w:rsidR="001F01AE">
        <w:trPr>
          <w:trHeight w:hRule="exact" w:val="267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01AE" w:rsidRDefault="00CF188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C e n a c e l k e </w:t>
            </w:r>
            <w:proofErr w:type="gram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m :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255"/>
          <w:jc w:val="center"/>
        </w:trPr>
        <w:tc>
          <w:tcPr>
            <w:tcW w:w="1781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3012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 smlouvou</w:t>
            </w:r>
          </w:p>
        </w:tc>
        <w:tc>
          <w:tcPr>
            <w:tcW w:w="1658" w:type="dxa"/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objednávku</w:t>
            </w:r>
          </w:p>
        </w:tc>
        <w:tc>
          <w:tcPr>
            <w:tcW w:w="1280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523"/>
          <w:jc w:val="center"/>
        </w:trPr>
        <w:tc>
          <w:tcPr>
            <w:tcW w:w="1781" w:type="dxa"/>
            <w:shd w:val="clear" w:color="auto" w:fill="FFFFFF"/>
            <w:vAlign w:val="center"/>
          </w:tcPr>
          <w:p w:rsidR="001F01AE" w:rsidRDefault="00CF188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slevy</w:t>
            </w:r>
          </w:p>
        </w:tc>
        <w:tc>
          <w:tcPr>
            <w:tcW w:w="3987" w:type="dxa"/>
            <w:gridSpan w:val="2"/>
            <w:shd w:val="clear" w:color="auto" w:fill="FFFFFF"/>
            <w:vAlign w:val="center"/>
          </w:tcPr>
          <w:p w:rsidR="001F01AE" w:rsidRDefault="00CF1887">
            <w:pPr>
              <w:pStyle w:val="Jin0"/>
              <w:shd w:val="clear" w:color="auto" w:fill="auto"/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pouze na prohlídky se smlouvou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01AE" w:rsidRDefault="001F01A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01AE" w:rsidRDefault="001F01A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Kč</w:t>
            </w:r>
          </w:p>
        </w:tc>
      </w:tr>
      <w:tr w:rsidR="001F01AE">
        <w:trPr>
          <w:trHeight w:hRule="exact" w:val="399"/>
          <w:jc w:val="center"/>
        </w:trPr>
        <w:tc>
          <w:tcPr>
            <w:tcW w:w="1781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975" w:type="dxa"/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3012" w:type="dxa"/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DPH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F01AE" w:rsidRDefault="001F01A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FFFFF"/>
            <w:vAlign w:val="center"/>
          </w:tcPr>
          <w:p w:rsidR="001F01AE" w:rsidRDefault="001F01A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1F01AE" w:rsidRDefault="00CF188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Kč</w:t>
            </w:r>
          </w:p>
        </w:tc>
      </w:tr>
    </w:tbl>
    <w:p w:rsidR="001F01AE" w:rsidRDefault="001F01AE">
      <w:pPr>
        <w:spacing w:after="286" w:line="14" w:lineRule="exact"/>
      </w:pPr>
    </w:p>
    <w:p w:rsidR="001F01AE" w:rsidRDefault="00CF1887">
      <w:pPr>
        <w:pStyle w:val="Zkladntext40"/>
        <w:shd w:val="clear" w:color="auto" w:fill="auto"/>
        <w:ind w:right="420"/>
      </w:pPr>
      <w:r>
        <w:t>Řádně uzavřená servisní smlouva s naší společností, Vám zajistí nejen preventivní údržbu zařízení, a tím i co nejdelší životnost, ale také zvýhodněné podmínky havarijního servisu:</w:t>
      </w:r>
    </w:p>
    <w:p w:rsidR="001F01AE" w:rsidRDefault="00CF1887">
      <w:pPr>
        <w:pStyle w:val="Jin0"/>
        <w:pBdr>
          <w:top w:val="single" w:sz="0" w:space="0" w:color="008001"/>
          <w:left w:val="single" w:sz="0" w:space="0" w:color="008001"/>
          <w:bottom w:val="single" w:sz="0" w:space="0" w:color="008001"/>
          <w:right w:val="single" w:sz="0" w:space="0" w:color="008001"/>
        </w:pBdr>
        <w:shd w:val="clear" w:color="auto" w:fill="008001"/>
        <w:spacing w:after="180"/>
        <w:jc w:val="center"/>
        <w:rPr>
          <w:sz w:val="36"/>
          <w:szCs w:val="36"/>
        </w:rPr>
      </w:pPr>
      <w:r>
        <w:rPr>
          <w:rFonts w:ascii="Calibri" w:eastAsia="Calibri" w:hAnsi="Calibri" w:cs="Calibri"/>
          <w:b/>
          <w:bCs/>
          <w:color w:val="FFFFFF"/>
          <w:sz w:val="36"/>
          <w:szCs w:val="36"/>
        </w:rPr>
        <w:t>H A V A R I J N Í S E R V I S</w:t>
      </w:r>
    </w:p>
    <w:p w:rsidR="001F01AE" w:rsidRDefault="00CF1887">
      <w:pPr>
        <w:pStyle w:val="Titulektabulky0"/>
        <w:shd w:val="clear" w:color="auto" w:fill="auto"/>
        <w:ind w:left="12"/>
      </w:pPr>
      <w:r>
        <w:t>SMLOUVA TYPU STANDART: doba dojezdu do 24 hodin od nahlášení havarijního servisu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5"/>
        <w:gridCol w:w="1259"/>
      </w:tblGrid>
      <w:tr w:rsidR="001F01AE">
        <w:trPr>
          <w:trHeight w:hRule="exact" w:val="263"/>
          <w:jc w:val="center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běžná hodinová sazba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FF"/>
              </w:rPr>
              <w:t>Kč</w:t>
            </w:r>
          </w:p>
        </w:tc>
      </w:tr>
      <w:tr w:rsidR="001F01AE">
        <w:trPr>
          <w:trHeight w:hRule="exact" w:val="251"/>
          <w:jc w:val="center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hodinová sazba v pracovních dnech od 17:00 do 06:00 hod.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FF"/>
              </w:rPr>
              <w:t>Kč</w:t>
            </w:r>
          </w:p>
        </w:tc>
      </w:tr>
      <w:tr w:rsidR="001F01AE">
        <w:trPr>
          <w:trHeight w:hRule="exact" w:val="255"/>
          <w:jc w:val="center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víkendy a svátky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FF"/>
              </w:rPr>
              <w:t>Kč</w:t>
            </w:r>
          </w:p>
        </w:tc>
      </w:tr>
      <w:tr w:rsidR="001F01AE">
        <w:trPr>
          <w:trHeight w:hRule="exact" w:val="152"/>
          <w:jc w:val="center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1AE" w:rsidRDefault="001F01AE">
            <w:pPr>
              <w:rPr>
                <w:sz w:val="10"/>
                <w:szCs w:val="10"/>
              </w:rPr>
            </w:pPr>
          </w:p>
        </w:tc>
      </w:tr>
      <w:tr w:rsidR="001F01AE">
        <w:trPr>
          <w:trHeight w:hRule="exact" w:val="346"/>
          <w:jc w:val="center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sazba za ujetý km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AE" w:rsidRDefault="00CF188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Kč</w:t>
            </w:r>
          </w:p>
        </w:tc>
      </w:tr>
    </w:tbl>
    <w:p w:rsidR="001F01AE" w:rsidRDefault="001F01AE">
      <w:pPr>
        <w:spacing w:after="286" w:line="14" w:lineRule="exact"/>
      </w:pPr>
    </w:p>
    <w:p w:rsidR="001F01AE" w:rsidRDefault="00CF1887">
      <w:pPr>
        <w:pStyle w:val="Zkladntext40"/>
        <w:shd w:val="clear" w:color="auto" w:fill="auto"/>
        <w:spacing w:after="0"/>
        <w:jc w:val="both"/>
      </w:pPr>
      <w:r>
        <w:rPr>
          <w:b/>
          <w:bCs/>
        </w:rPr>
        <w:t xml:space="preserve">PLATNOST NABÍDKY: </w:t>
      </w:r>
      <w:r>
        <w:t>1 měsíc ode dne vystavení</w:t>
      </w:r>
    </w:p>
    <w:p w:rsidR="001F01AE" w:rsidRDefault="00CF1887">
      <w:pPr>
        <w:pStyle w:val="Zkladntext40"/>
        <w:shd w:val="clear" w:color="auto" w:fill="auto"/>
        <w:spacing w:after="300"/>
        <w:jc w:val="both"/>
      </w:pPr>
      <w:r>
        <w:rPr>
          <w:b/>
          <w:bCs/>
        </w:rPr>
        <w:t>Tato nabídka, dle ustanovení § 2622 zákona číslo 89/2012 Sb. - Občanský zákoník v platném znění, je nezávazná.</w:t>
      </w:r>
    </w:p>
    <w:p w:rsidR="001F01AE" w:rsidRDefault="00CF1887">
      <w:pPr>
        <w:pStyle w:val="Zkladntext40"/>
        <w:shd w:val="clear" w:color="auto" w:fill="auto"/>
        <w:tabs>
          <w:tab w:val="left" w:pos="1140"/>
        </w:tabs>
        <w:spacing w:after="560"/>
        <w:jc w:val="both"/>
      </w:pPr>
      <w:r>
        <w:rPr>
          <w:noProof/>
        </w:rPr>
        <mc:AlternateContent>
          <mc:Choice Requires="wps">
            <w:drawing>
              <wp:anchor distT="0" distB="1246505" distL="114300" distR="114300" simplePos="0" relativeHeight="125829413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330200</wp:posOffset>
                </wp:positionV>
                <wp:extent cx="1092200" cy="167005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01AE" w:rsidRDefault="00CF1887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Těším se na spolupráci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29" type="#_x0000_t202" style="position:absolute;left:0;text-align:left;margin-left:37.95pt;margin-top:26pt;width:86pt;height:13.15pt;z-index:125829413;visibility:visible;mso-wrap-style:square;mso-wrap-distance-left:9pt;mso-wrap-distance-top:0;mso-wrap-distance-right:9pt;mso-wrap-distance-bottom:9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" filled="f" stroked="f">
                <v:textbox style="mso-fit-shape-to-text:t" inset="0,0,0,0">
                  <w:txbxContent>
                    <w:p w:rsidR="001F01AE" w:rsidRDefault="00CF1887">
                      <w:pPr>
                        <w:pStyle w:val="Zkladntext40"/>
                        <w:shd w:val="clear" w:color="auto" w:fill="auto"/>
                        <w:spacing w:after="0"/>
                      </w:pPr>
                      <w:r>
                        <w:t>Těším se na spolupráci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CENA:</w:t>
      </w:r>
      <w:r>
        <w:rPr>
          <w:b/>
          <w:bCs/>
        </w:rPr>
        <w:tab/>
      </w:r>
      <w:r>
        <w:t>Cena se rozumí v Kč bez DPH; DPH bude fakturováno dle platných předpisů</w:t>
      </w:r>
    </w:p>
    <w:p w:rsidR="001F01AE" w:rsidRDefault="00304308">
      <w:pPr>
        <w:pStyle w:val="Nadpis70"/>
        <w:keepNext/>
        <w:keepLines/>
        <w:shd w:val="clear" w:color="auto" w:fill="auto"/>
        <w:spacing w:after="0"/>
        <w:ind w:left="5040"/>
        <w:jc w:val="left"/>
      </w:pPr>
      <w:r>
        <w:rPr>
          <w:rFonts w:ascii="Calibri" w:eastAsia="Calibri" w:hAnsi="Calibri" w:cs="Calibri"/>
        </w:rPr>
        <w:t>…………………</w:t>
      </w:r>
    </w:p>
    <w:p w:rsidR="001F01AE" w:rsidRDefault="00CF1887">
      <w:pPr>
        <w:pStyle w:val="Zkladntext40"/>
        <w:shd w:val="clear" w:color="auto" w:fill="auto"/>
        <w:spacing w:after="0"/>
        <w:ind w:left="4240"/>
      </w:pPr>
      <w:r>
        <w:t>obchodní oddělení servisního střediska</w:t>
      </w:r>
    </w:p>
    <w:p w:rsidR="001F01AE" w:rsidRDefault="00CF1887">
      <w:pPr>
        <w:pStyle w:val="Zkladntext40"/>
        <w:shd w:val="clear" w:color="auto" w:fill="auto"/>
        <w:spacing w:after="0"/>
        <w:ind w:left="3740"/>
      </w:pPr>
      <w:r>
        <w:t>SPEDOS Servis s.r.o., Hranická 771, Valašské Meziříčí</w:t>
      </w:r>
    </w:p>
    <w:p w:rsidR="001F01AE" w:rsidRDefault="00304308" w:rsidP="00304308">
      <w:pPr>
        <w:pStyle w:val="Zkladntext40"/>
        <w:shd w:val="clear" w:color="auto" w:fill="auto"/>
        <w:spacing w:after="700" w:line="211" w:lineRule="auto"/>
        <w:ind w:left="5220"/>
      </w:pPr>
      <w:r>
        <w:t>……………..</w:t>
      </w:r>
    </w:p>
    <w:sectPr w:rsidR="001F01AE" w:rsidSect="00304308">
      <w:pgSz w:w="11900" w:h="16840"/>
      <w:pgMar w:top="2062" w:right="1862" w:bottom="1855" w:left="1301" w:header="1634" w:footer="1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802" w:rsidRDefault="00CF1887">
      <w:r>
        <w:separator/>
      </w:r>
    </w:p>
  </w:endnote>
  <w:endnote w:type="continuationSeparator" w:id="0">
    <w:p w:rsidR="00091802" w:rsidRDefault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1AE" w:rsidRDefault="001F01AE"/>
  </w:footnote>
  <w:footnote w:type="continuationSeparator" w:id="0">
    <w:p w:rsidR="001F01AE" w:rsidRDefault="001F01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5DCB"/>
    <w:multiLevelType w:val="multilevel"/>
    <w:tmpl w:val="D95E8ED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71C3B"/>
    <w:multiLevelType w:val="multilevel"/>
    <w:tmpl w:val="90FCBB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A41438"/>
    <w:multiLevelType w:val="multilevel"/>
    <w:tmpl w:val="D7F2D8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429EE"/>
    <w:multiLevelType w:val="multilevel"/>
    <w:tmpl w:val="7B2245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C5A36"/>
    <w:multiLevelType w:val="multilevel"/>
    <w:tmpl w:val="3F8C33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891A7B"/>
    <w:multiLevelType w:val="multilevel"/>
    <w:tmpl w:val="4CC6C2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9B7830"/>
    <w:multiLevelType w:val="multilevel"/>
    <w:tmpl w:val="4A8665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B42196"/>
    <w:multiLevelType w:val="multilevel"/>
    <w:tmpl w:val="3BC083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7F4DD6"/>
    <w:multiLevelType w:val="multilevel"/>
    <w:tmpl w:val="BC0460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AE"/>
    <w:rsid w:val="00091802"/>
    <w:rsid w:val="001F01AE"/>
    <w:rsid w:val="00304308"/>
    <w:rsid w:val="005B2011"/>
    <w:rsid w:val="00B477D8"/>
    <w:rsid w:val="00C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47F74-353D-4EC7-94FC-2AD969F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w w:val="7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left="123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6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outlineLvl w:val="0"/>
    </w:pPr>
    <w:rPr>
      <w:rFonts w:ascii="Tahoma" w:eastAsia="Tahoma" w:hAnsi="Tahoma" w:cs="Tahoma"/>
      <w:sz w:val="52"/>
      <w:szCs w:val="5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60" w:lineRule="auto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0"/>
    </w:pPr>
    <w:rPr>
      <w:rFonts w:ascii="Calibri" w:eastAsia="Calibri" w:hAnsi="Calibri" w:cs="Calibri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70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30"/>
      <w:jc w:val="both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320"/>
      <w:ind w:left="1230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w w:val="70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90" w:line="295" w:lineRule="auto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Calibri" w:eastAsia="Calibri" w:hAnsi="Calibri" w:cs="Calibri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ind w:left="140"/>
      <w:jc w:val="center"/>
      <w:outlineLvl w:val="1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50" w:lineRule="auto"/>
      <w:jc w:val="center"/>
      <w:outlineLvl w:val="4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1453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Renáta Partilová</cp:lastModifiedBy>
  <cp:revision>4</cp:revision>
  <dcterms:created xsi:type="dcterms:W3CDTF">2024-02-29T20:35:00Z</dcterms:created>
  <dcterms:modified xsi:type="dcterms:W3CDTF">2024-02-29T20:59:00Z</dcterms:modified>
</cp:coreProperties>
</file>