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12" w:rsidRDefault="00DE2494">
      <w:pPr>
        <w:pStyle w:val="Nadpis10"/>
        <w:keepNext/>
        <w:keepLines/>
        <w:spacing w:after="100"/>
      </w:pPr>
      <w:bookmarkStart w:id="0" w:name="bookmark0"/>
      <w:r>
        <w:rPr>
          <w:rStyle w:val="Nadpis1"/>
        </w:rPr>
        <w:t>Všeobecné obchodní podmínky</w:t>
      </w:r>
      <w:bookmarkEnd w:id="0"/>
    </w:p>
    <w:p w:rsidR="00A11112" w:rsidRDefault="00DE2494">
      <w:pPr>
        <w:pStyle w:val="Nadpis10"/>
        <w:keepNext/>
        <w:keepLines/>
        <w:spacing w:after="480"/>
      </w:pPr>
      <w:r>
        <w:rPr>
          <w:rStyle w:val="Nadpis1"/>
        </w:rPr>
        <w:t>AD TECHNIK, s.r.o.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 xml:space="preserve">Tyto všeobecné obchodní podmínky (dále jen „VOP“) platí pro prodej zboží a služeb obchodní firmy AD TECHNIK s.r.o. se sídlem Moskevská 1569/65b, Praha 10 - Vršovice, PSČ 101 00, IČO: 26409062 (dále jen </w:t>
      </w:r>
      <w:r>
        <w:rPr>
          <w:rStyle w:val="Zkladntext"/>
        </w:rPr>
        <w:t>„prodávající“). Společnost je zapsaná v obchodním rejstříku vedeném Městským soudem v Praze, oddíl C, vložka 326277.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Podmínky blíže vymezují a upřesňují vzájemná práva a povinnosti smluvních stran, které vzniknou v souvislosti s kupní smlouvou uzavíranou m</w:t>
      </w:r>
      <w:r>
        <w:rPr>
          <w:rStyle w:val="Zkladntext"/>
        </w:rPr>
        <w:t>ezi prodávajícím a jeho zákazníky (kupujícími) a ve svém aktuálním znění tvoří obsah kupní smlouvy, resp. jsou její nedílnou součástí. Tyto VOP jsou dále nedílnou součástí a tvoří obsah smlouvy o dílo (servisní smlouva), uzavírané mezi objednatelem a zhoto</w:t>
      </w:r>
      <w:r>
        <w:rPr>
          <w:rStyle w:val="Zkladntext"/>
        </w:rPr>
        <w:t>vitelem. V případech smlouvy o dílo se osobou označenou v těchto VOP jako kupující rozumí objednatel a osobou označenou jako prodávající rozumí zhotovitel / dodavatel činností.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Kupující uzavřením smlouvy akceptuje tyto VOP prodávajícího.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Veškeré smluvní vz</w:t>
      </w:r>
      <w:r>
        <w:rPr>
          <w:rStyle w:val="Zkladntext"/>
        </w:rPr>
        <w:t>tahy jsou uzavřeny v souladu s právním řádem České republiky.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Je-li smluvní stranou kupující-spotřebitel (§ 419 občanského zákoníku), řídí se vztahy obchodními podmínkami neupravené občanským zákoníkem (zákon č. 89/2012 Sb., dále jen „OZ“), zejména přísluš</w:t>
      </w:r>
      <w:r>
        <w:rPr>
          <w:rStyle w:val="Zkladntext"/>
        </w:rPr>
        <w:t>nými ustanoveními o závazcích ze smluv uzavíraných se spotřebitelem a dalšími souvisejícími ustanoveními, zákonem o ochraně spotřebitele (zákon č. 634/1992 Sb.) a dalšími souvisejícími právními předpisy.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Je-li smluvní stranou kupující-podnikatel (§ 420 a n</w:t>
      </w:r>
      <w:r>
        <w:rPr>
          <w:rStyle w:val="Zkladntext"/>
        </w:rPr>
        <w:t>ásl. OZ), řídí se vztah mezi prodávajícím a kupujícím občanským zákoníkem a dalšími souvisejícími právními předpisy, vše v platném a účinném znění.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Předmětem smlouvy jsou pouze položky výslovně uvedené v kupní smlouvě (dále jen „zboží a služby“), pokud neb</w:t>
      </w:r>
      <w:r>
        <w:rPr>
          <w:rStyle w:val="Zkladntext"/>
        </w:rPr>
        <w:t>ylo sjednáno mezi kupujícím a prodávajícím jinak. Předmětem smluvního vztahu mezi prodávajícím na straně jedné a kupujícím na straně druhé, je prodej zboží a doplňkových či souvisejících služeb. V případě smluvního vztahu, v němž převážná část plnění dodav</w:t>
      </w:r>
      <w:r>
        <w:rPr>
          <w:rStyle w:val="Zkladntext"/>
        </w:rPr>
        <w:t>atele spočívá ve výkonu činnosti, nejde o kupní smlouvu. V těchto případech jde o smlouvu o dílo (servisní smlouva) a smluvní strany vystupují v postavení objednatele a zhotovitele. Na tyto smluvní vztahy se rovněž vztahují předmětné VOP, přičemž osobou oz</w:t>
      </w:r>
      <w:r>
        <w:rPr>
          <w:rStyle w:val="Zkladntext"/>
        </w:rPr>
        <w:t>načenou v těchto VOP jako kupující se rozumí objednatel a osobou označenou jako prodávající se rozumí zhotovitel / dodavatel činností, kupní cenou se rozumí cena za dílo / výkon činností a kupní smlouvou se rozumí smlouva o dílo.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Kupující je povinen uhradi</w:t>
      </w:r>
      <w:r>
        <w:rPr>
          <w:rStyle w:val="Zkladntext"/>
        </w:rPr>
        <w:t>t prodávajícímu za zboží a služby kupní cenu. Ceny zboží jsou stanoveny dle aktuálního ceníku zboží a služeb prodávajícího v době uzavření kupní smlouvy, není-li dohodnuto jinak (dále jen „kupní cena“). Ceny zboží a služeb jsou uváděny v českých korunách v</w:t>
      </w:r>
      <w:r>
        <w:rPr>
          <w:rStyle w:val="Zkladntext"/>
        </w:rPr>
        <w:t>četně DPH, s výjimkami výslovně sjednanými.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Neplyne-li ze smlouvy nebo zvyklostí něco jiného, jsou prodávající a kupující zavázáni splnit své povinnosti současně tak, že kupující je povinen zaplatit prodávajícímu kupní cenu řádně a včas. V případě prodlení</w:t>
      </w:r>
      <w:r>
        <w:rPr>
          <w:rStyle w:val="Zkladntext"/>
        </w:rPr>
        <w:t xml:space="preserve"> s placením ceny se sjednává úrok z prodlení ve výši 0,05% denně z dlužné částky.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Nebezpečí škody přechází na kupujícího převzetím věci.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Vlastnické právo ke zboží přechází na kupujícího až úplným zaplacením kupní ceny a splněním veškerých finančních závazk</w:t>
      </w:r>
      <w:r>
        <w:rPr>
          <w:rStyle w:val="Zkladntext"/>
        </w:rPr>
        <w:t>ů kupujícího vůči prodávajícímu.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Prodávající je povinen dodat zboží a služby v množství, jakosti a provedení, jež určuje kupní smlouva. V případě porušení těchto povinností mají zboží a služby vady.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Zjevná vada musí být uplatněna bez zbytečného odkladu pot</w:t>
      </w:r>
      <w:r>
        <w:rPr>
          <w:rStyle w:val="Zkladntext"/>
        </w:rPr>
        <w:t>é, co ji kupující mohl při včasné prohlídce a dostatečné péči zjistit. Kupující-spotřebitel je oprávněn uplatnit právo z vady, která se vyskytne u spotřebního zboží v době 24 měsíců od převzetí. Právo kupujícího z vadného plnění zakládá vada, kterou má věc</w:t>
      </w:r>
      <w:r>
        <w:rPr>
          <w:rStyle w:val="Zkladntext"/>
        </w:rPr>
        <w:t xml:space="preserve"> při přechodu nebezpečí škody na kupujícího, byť se projeví později.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Zjevná vada musí být uplatněna bez zbytečného odkladu poté, co ji kupující mohl při včasné prohlídce a dostatečné péči zjistit. Kupující-podnikatel je oprávněn uplatnit právo z vady v dob</w:t>
      </w:r>
      <w:r>
        <w:rPr>
          <w:rStyle w:val="Zkladntext"/>
        </w:rPr>
        <w:t>ě 12 měsíců od převzetí. Tato záruční doba se nevztahuje na akumulátory, u kterých je záruční doba 6 měsíců, a spotřební materiál.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Záruční doba může být u vybraného zboží prodloužena. Podmínkou pro prodloužení záruční doby u části vybraného zboží je podpis</w:t>
      </w:r>
      <w:r>
        <w:rPr>
          <w:rStyle w:val="Zkladntext"/>
        </w:rPr>
        <w:t xml:space="preserve"> servisní smlouvy mezi AD TECHNIK, s.r.o. a kupujícím a její následné plnění. V případě neuzavření servisní smlouvy nebo jejího neplnění z důvodů na straně kupujícího - podnikatele platí záruční doba podle odstavce 14). Přehled výrobků s prodlouženou záruč</w:t>
      </w:r>
      <w:r>
        <w:rPr>
          <w:rStyle w:val="Zkladntext"/>
        </w:rPr>
        <w:t>ní dobou a podmínkami, za kterých je záruční doba prodloužena, je uveden v odstavci 36 těchto obchodních podmínek.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</w:pPr>
      <w:r>
        <w:rPr>
          <w:rStyle w:val="Zkladntext"/>
        </w:rPr>
        <w:t>Pro použité zboží strany sjednávají dobu pro uplatnění práv z vadného plnění v trvání 3 měsíců od převzetí.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</w:pPr>
      <w:r>
        <w:rPr>
          <w:rStyle w:val="Zkladntext"/>
        </w:rPr>
        <w:lastRenderedPageBreak/>
        <w:t>Prodávající odpovídá kupujícímu-s</w:t>
      </w:r>
      <w:r>
        <w:rPr>
          <w:rStyle w:val="Zkladntext"/>
        </w:rPr>
        <w:t>potřebiteli, že věc při převzetí nemá vady (jakost při převzetí) dle § 2161 OZ.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Nemá-li věc vlastnosti stanovené v § 2161 OZ, může kupující-spotřebitel požadovat i dodání nové věci bez vad, pokud to není vzhledem k povaze vady nepřiměřené, ale pokud se vad</w:t>
      </w:r>
      <w:r>
        <w:rPr>
          <w:rStyle w:val="Zkladntext"/>
        </w:rPr>
        <w:t>a týká pouze součásti věci, může kupující požadovat jen výměnu součásti; není-li to možné, může odstoupit od smlouvy. Je-li to však vzhledem k povaze vady neúměrné, zejména lze-li vadu odstranit bez zbytečného odkladu, má kupující právo na bezplatné odstra</w:t>
      </w:r>
      <w:r>
        <w:rPr>
          <w:rStyle w:val="Zkladntext"/>
        </w:rPr>
        <w:t>nění vady.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Právo na dodání nové věci, nebo výměnu součásti má kupující-spotřebitel i v případě odstranitelné vady, pokud nemůže věc řádně užívat pro opakovaný výskyt vady po opravě nebo pro větší počet vad. V takovém případě má kupující-spotřebitel i právo</w:t>
      </w:r>
      <w:r>
        <w:rPr>
          <w:rStyle w:val="Zkladntext"/>
        </w:rPr>
        <w:t xml:space="preserve"> od smlouvy odstoupit.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Neodstoupí-li kupující-spotřebitel od smlouvy nebo neuplatní-li právo na dodání nové věci bez vad, na výměnu její součásti nebo na opravu věci, může požadovat přiměřenou slevu. Kupující-spotřebitel má právo na přiměřenou slevu i v př</w:t>
      </w:r>
      <w:r>
        <w:rPr>
          <w:rStyle w:val="Zkladntext"/>
        </w:rPr>
        <w:t>ípadě, že mu prodávající nemůže dodat novou věc bez vad, vyměnit její součást nebo věc opravit, jakož i v případě, že prodávající nezjedná nápravu v přiměřené době nebo že by zjednání nápravy kupujícímu-spotřebiteli působilo značné obtíže.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Projeví-li se va</w:t>
      </w:r>
      <w:r>
        <w:rPr>
          <w:rStyle w:val="Zkladntext"/>
        </w:rPr>
        <w:t>da v průběhu šesti měsíců od převzetí zboží kupujícím-spotřebitelem, má se za to, že věc byla vadná již při převzetí.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Právo z vadného plnění kupujícímu-spotřebiteli nenáleží, pokud kupující-spotřebitel před převzetím věci věděl, že věc má vadu, anebo kupuj</w:t>
      </w:r>
      <w:r>
        <w:rPr>
          <w:rStyle w:val="Zkladntext"/>
        </w:rPr>
        <w:t>ící-spotřebitel vadu sám způsobil.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Právo z vadného plnění se nevztahuje na opotřebení věci způsobené jejím obvyklým užíváním, na vady způsobené nevhodným užíváním nebo ošetřením, vlivem povětrnostních podmínek, neodbornou manipulací, úmyslným poškozením ne</w:t>
      </w:r>
      <w:r>
        <w:rPr>
          <w:rStyle w:val="Zkladntext"/>
        </w:rPr>
        <w:t>bo na vady, na které byl zákazník upozorněn písemně v kupní smlouvě.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</w:pPr>
      <w:r>
        <w:rPr>
          <w:rStyle w:val="Zkladntext"/>
        </w:rPr>
        <w:t>U věcí prodávaných za nižší cenu neodpovídá prodávající za vadu, pro kterou byla sjednána nižší cena.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Má-li věc vadu, z níž je prodávající zavázán, a jedná-li se o věc prodávanou za nižší</w:t>
      </w:r>
      <w:r>
        <w:rPr>
          <w:rStyle w:val="Zkladntext"/>
        </w:rPr>
        <w:t xml:space="preserve"> cenu nebo o věc použitou, má kupující-spotřebitel místo práva na výměnu věci právo na přiměřenou slevu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Pro kupujícího-podnikatele se v případě vadného plnění uplatní ustanovení § 2106 - § 2112 OZ.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V případech smlouvy o dílo práva objednatele z vadného pln</w:t>
      </w:r>
      <w:r>
        <w:rPr>
          <w:rStyle w:val="Zkladntext"/>
        </w:rPr>
        <w:t>ění platí obdobně jako uvedená ustanovení o kupní smlouvě. Objednatel však není oprávněn požadovat provedení náhradního díla, jestliže předmět díla vzhledem k jeho povaze nelze vrátit nebo předat zhotoviteli.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Práva z vadného plnění se uplatňují u prodávají</w:t>
      </w:r>
      <w:r>
        <w:rPr>
          <w:rStyle w:val="Zkladntext"/>
        </w:rPr>
        <w:t>cího / zhotovitele.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Postup reklamace: Reklamace může být kupujícím uplatněna v prodejně prodávajícího, a to ústně spolu s předložením originálu prodejního dokladu, písemně dopisem s přiloženým originálem nebo kopií prodejního dokladu. O ústně podané reklam</w:t>
      </w:r>
      <w:r>
        <w:rPr>
          <w:rStyle w:val="Zkladntext"/>
        </w:rPr>
        <w:t>aci musí být v den jejího podání pořízen písemný záznam.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Prodávající rozhodne o reklamaci kupujícího-spotřebitele ihned, ve složitých případech do 3 pracovních dnů. Do této lhůty se nezapočítává doba přiměřená podle druhu zboží, která je zapotřebí k odborn</w:t>
      </w:r>
      <w:r>
        <w:rPr>
          <w:rStyle w:val="Zkladntext"/>
        </w:rPr>
        <w:t>ému posouzení vady. Reklamace včetně odstranění vady musí být vyřízena bez zbytečného odkladu, nejpozději do 30 dnů ode dne uplatnění reklamace, pokud se prodávající s kupujícím-spotřebitelem nedohodnou na delší lhůtě. Kupující je povinen poskytnout při vy</w:t>
      </w:r>
      <w:r>
        <w:rPr>
          <w:rStyle w:val="Zkladntext"/>
        </w:rPr>
        <w:t>řizování reklamace tzv. účinnou součinnost.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V případě vrácení části nebo celé kupní ceny za zboží kupujícímu, a to z jakéhokoliv důvodu (např. sleva z kupní ceny, odstoupení od smlouvy), bude částka vyplacena kupujícímu převodem na bankovní účet kupujícího</w:t>
      </w:r>
      <w:r>
        <w:rPr>
          <w:rStyle w:val="Zkladntext"/>
        </w:rPr>
        <w:t>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</w:rPr>
        <w:t>Veškeré smluvní vztahy se řídí českým právním řádem.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ind w:left="460" w:hanging="460"/>
        <w:jc w:val="both"/>
      </w:pPr>
      <w:r>
        <w:rPr>
          <w:rStyle w:val="Zkladntext"/>
        </w:rPr>
        <w:t>Tyto obchodní podmínky nabývají účinnosti dnem jejich zveřejnění a jsou v příslušném znění rozhodné pro veškeré objednávky učiněné od tohoto dne včetně a později v budoucnu. Prodávající si vyhrazuje pr</w:t>
      </w:r>
      <w:r>
        <w:rPr>
          <w:rStyle w:val="Zkladntext"/>
        </w:rPr>
        <w:t>ávo na změnu těchto obchodních podmínek.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9" w:lineRule="auto"/>
        <w:ind w:left="460" w:hanging="460"/>
        <w:jc w:val="both"/>
      </w:pPr>
      <w:r>
        <w:rPr>
          <w:rStyle w:val="Zkladntext"/>
        </w:rPr>
        <w:t>Kupní smlouva nevyžaduje písemnou formu. Byla-li kupní smlouva uzavřena písemně, i její změny a dodatky musejí být učiněny v písemné formě.</w:t>
      </w:r>
    </w:p>
    <w:p w:rsidR="00A11112" w:rsidRDefault="00DE2494">
      <w:pPr>
        <w:pStyle w:val="Zkladntext1"/>
        <w:numPr>
          <w:ilvl w:val="0"/>
          <w:numId w:val="1"/>
        </w:numPr>
        <w:tabs>
          <w:tab w:val="left" w:pos="422"/>
        </w:tabs>
        <w:spacing w:line="252" w:lineRule="auto"/>
        <w:ind w:left="460" w:hanging="460"/>
        <w:jc w:val="both"/>
      </w:pPr>
      <w:r>
        <w:rPr>
          <w:rStyle w:val="Zkladntext"/>
        </w:rPr>
        <w:t>Zvláštní ujednání se zákazníkem písemně učiněná ve vlastní kupní smlouvě ma</w:t>
      </w:r>
      <w:r>
        <w:rPr>
          <w:rStyle w:val="Zkladntext"/>
        </w:rPr>
        <w:t>jí přednost před těmi ustanoveními těchto obchodních podmínek, která by s nimi byla v rozporu.</w:t>
      </w:r>
      <w:r>
        <w:br w:type="page"/>
      </w:r>
    </w:p>
    <w:p w:rsidR="00A11112" w:rsidRDefault="00DE2494">
      <w:pPr>
        <w:pStyle w:val="Zkladntext1"/>
        <w:spacing w:after="120" w:line="240" w:lineRule="auto"/>
      </w:pPr>
      <w:r>
        <w:rPr>
          <w:rStyle w:val="Zkladntext"/>
        </w:rPr>
        <w:lastRenderedPageBreak/>
        <w:t>36)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078"/>
        <w:gridCol w:w="816"/>
        <w:gridCol w:w="1330"/>
        <w:gridCol w:w="1330"/>
        <w:gridCol w:w="2558"/>
      </w:tblGrid>
      <w:tr w:rsidR="00A1111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VÝROBCE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PRODUKTOVÁ SKUPINA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ZÁRUČNÍ DOBA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PRODLOUŽENÁ ZÁRUČNÍ DOBA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83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NUTNÉ UZAVŘENÍ SERVISNÍ SMLOUVY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1112" w:rsidRDefault="00DE2494">
            <w:pPr>
              <w:pStyle w:val="Jin0"/>
              <w:spacing w:after="0" w:line="240" w:lineRule="auto"/>
              <w:ind w:firstLine="5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PODMÍNKY ZÁRUKY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AC HYDRAULIC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66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VŠECHNY PRODUKTY S VÝJIMKOU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PÍSTOVÝCH ZVEDÁKŮ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36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10 let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64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Záruční doba 36 měsíců je poskytnuta na hydraulický systém (pumpa a píst). Záruční doba 10 let je poskytnuta na rám, šasi a ocelové konstrukce. Tyto záruční podmínky se nevztahují na pístové zvedáky AC HYDRAULIC.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AC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HYDRAULIC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66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PÍSTOVÉ ZVEDÁKY PRO NÁKLADNÍ AUTOMOBILY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36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62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Tyto podmínky se vztahují k pístovým zvedákům AC HYDRAULIC pro nákladní automobily.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AUTOPSTENHOJ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PÍSTOVÉ ZVEDÁKY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5 let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59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Tyto podmínky se vztahují k pístovým zvedákům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AUTOPSTENHOJ.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AUTOPSTENHOJ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59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DVOUSLOUPOVÉ A ČTYŘSLOUPOVÉ ZVEDÁKY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5 let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62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Tyto podmínky se vztahují k nadzemním zvedákům. Prodloužená záruční doba se vztahuje na matice a vřetena.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BOSCH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62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DIAGNOSTIKA ŘJ (KTS), SERVIS AKU, MALÉ TESTERY, EMISNÍ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PŘÍSTROJE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BOSCH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59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MOTORTESTERY, PŘÍSTROJE PRO SERVIS KLIMATIZACÍ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CARSOFT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DIAGNOSTIKA ŘÍDÍCÍCH JEDNOTEK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CEMB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STROJE PRO PNEUSERVIS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COMPAC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36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HAWEKA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PŘÍSTROJE PRO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MĚŘENÍ</w:t>
            </w:r>
          </w:p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GEOMETRIE VOZIDEL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HUNTER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 S VÝJIMKOU AKUMULÁTORŮ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Záruční doba na akumulátory je 6 měsíců.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ISC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66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PŘÍSTROJE PRO SERVIS KLIMATIZACÍ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KARCHER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MAHA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12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NEDERMAN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DE2494">
            <w:pPr>
              <w:pStyle w:val="Jin0"/>
              <w:spacing w:after="0" w:line="262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VŠECHNY PRODUKTY S VÝJIMKOU HADIC PRO ODSÁVÁNÍ VÝFUKOVÝCH PLYNŮ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NE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Záruka se nevztahuje na odsávací hadice.</w:t>
            </w: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RAVAGLIOLI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ZVEDÁKY A STROJE PRO</w:t>
            </w:r>
          </w:p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PNEUSERVIS OSOBNÍCH VOZIDEL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ROTARY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VŠE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 xml:space="preserve">12 </w:t>
            </w: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36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TECNOLUX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REGLOSKOPY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  <w:tr w:rsidR="00A1111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WAECO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112" w:rsidRDefault="00DE2494">
            <w:pPr>
              <w:pStyle w:val="Jin0"/>
              <w:spacing w:after="0" w:line="266" w:lineRule="auto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PŘÍSTROJE PRO SERVIS KLIMATIZACÍ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12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24 měsíců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2" w:rsidRDefault="00DE2494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ANO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12" w:rsidRDefault="00A11112">
            <w:pPr>
              <w:rPr>
                <w:sz w:val="10"/>
                <w:szCs w:val="10"/>
              </w:rPr>
            </w:pPr>
          </w:p>
        </w:tc>
      </w:tr>
    </w:tbl>
    <w:p w:rsidR="00A11112" w:rsidRDefault="00A11112">
      <w:pPr>
        <w:spacing w:after="119" w:line="1" w:lineRule="exact"/>
      </w:pPr>
    </w:p>
    <w:p w:rsidR="00A11112" w:rsidRDefault="00DE2494">
      <w:pPr>
        <w:pStyle w:val="Zkladntext1"/>
        <w:numPr>
          <w:ilvl w:val="0"/>
          <w:numId w:val="2"/>
        </w:numPr>
        <w:tabs>
          <w:tab w:val="left" w:pos="413"/>
        </w:tabs>
        <w:spacing w:after="120"/>
        <w:ind w:left="440" w:hanging="440"/>
      </w:pPr>
      <w:r>
        <w:rPr>
          <w:rStyle w:val="Zkladntext"/>
        </w:rPr>
        <w:t xml:space="preserve">Případné spory mezi AD TECHNIK, s.r.o. a kupujícím budou řešeny dohodou smluvních stran, případně mimosoudní cestou. </w:t>
      </w:r>
      <w:r>
        <w:rPr>
          <w:rStyle w:val="Zkladntext"/>
        </w:rPr>
        <w:t>Je-li kupujícím spotřebitel, je subjektem mimosoudního řešení spotřebitelských sporů Česká obchodní inspekce (</w:t>
      </w:r>
      <w:hyperlink r:id="rId7" w:history="1">
        <w:r>
          <w:rPr>
            <w:rStyle w:val="Zkladntext"/>
          </w:rPr>
          <w:t>www.coi.cz</w:t>
        </w:r>
      </w:hyperlink>
      <w:r>
        <w:rPr>
          <w:rStyle w:val="Zkladntext"/>
        </w:rPr>
        <w:t xml:space="preserve"> nebo Česká obchodní inspekce - Inspektorát pro Středočeský kraj a Hl. m. Prahu tel.:</w:t>
      </w:r>
      <w:bookmarkStart w:id="1" w:name="_GoBack"/>
      <w:bookmarkEnd w:id="1"/>
      <w:r>
        <w:rPr>
          <w:rStyle w:val="Zkladntext"/>
        </w:rPr>
        <w:t>). Spor lze dále řešit on-line prostřednictvím k tomu určené ODR platformy. Nežli bude přistoupeno k mimosoudnímu řešení sporu, pak AD TECHNIK, s.r.o. doporučuje kupujícímu nejdříve využít kontakt na obchodní</w:t>
      </w:r>
      <w:r>
        <w:rPr>
          <w:rStyle w:val="Zkladntext"/>
        </w:rPr>
        <w:t xml:space="preserve"> oddělení pro vyřešení nastalé situace dohodou smluvních stran.</w:t>
      </w:r>
    </w:p>
    <w:p w:rsidR="00A11112" w:rsidRDefault="00DE2494">
      <w:pPr>
        <w:pStyle w:val="Zkladntext1"/>
        <w:numPr>
          <w:ilvl w:val="0"/>
          <w:numId w:val="2"/>
        </w:numPr>
        <w:tabs>
          <w:tab w:val="left" w:pos="413"/>
        </w:tabs>
        <w:spacing w:after="120"/>
      </w:pPr>
      <w:r>
        <w:rPr>
          <w:rStyle w:val="Zkladntext"/>
        </w:rPr>
        <w:t>Tyto VOP nabývají účinnosti dnem 1.9.2021</w:t>
      </w:r>
    </w:p>
    <w:p w:rsidR="00A11112" w:rsidRDefault="00DE2494">
      <w:pPr>
        <w:pStyle w:val="Zkladntext1"/>
        <w:numPr>
          <w:ilvl w:val="0"/>
          <w:numId w:val="2"/>
        </w:numPr>
        <w:tabs>
          <w:tab w:val="left" w:pos="413"/>
        </w:tabs>
        <w:spacing w:after="120"/>
      </w:pPr>
      <w:r>
        <w:rPr>
          <w:rStyle w:val="Zkladntext"/>
        </w:rPr>
        <w:t xml:space="preserve">Za správnost odpovídá </w:t>
      </w:r>
    </w:p>
    <w:sectPr w:rsidR="00A11112">
      <w:pgSz w:w="11900" w:h="16840"/>
      <w:pgMar w:top="1422" w:right="657" w:bottom="1270" w:left="673" w:header="994" w:footer="8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94" w:rsidRDefault="00DE2494">
      <w:r>
        <w:separator/>
      </w:r>
    </w:p>
  </w:endnote>
  <w:endnote w:type="continuationSeparator" w:id="0">
    <w:p w:rsidR="00DE2494" w:rsidRDefault="00D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94" w:rsidRDefault="00DE2494"/>
  </w:footnote>
  <w:footnote w:type="continuationSeparator" w:id="0">
    <w:p w:rsidR="00DE2494" w:rsidRDefault="00DE24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0B6"/>
    <w:multiLevelType w:val="multilevel"/>
    <w:tmpl w:val="FE407038"/>
    <w:lvl w:ilvl="0">
      <w:start w:val="3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1065F8"/>
    <w:multiLevelType w:val="multilevel"/>
    <w:tmpl w:val="346ECA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12"/>
    <w:rsid w:val="00A11112"/>
    <w:rsid w:val="00B3782D"/>
    <w:rsid w:val="00D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E172-3BDA-4FE4-BC77-AF2BD505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29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10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100" w:line="257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9871</Characters>
  <Application>Microsoft Office Word</Application>
  <DocSecurity>0</DocSecurity>
  <Lines>82</Lines>
  <Paragraphs>23</Paragraphs>
  <ScaleCrop>false</ScaleCrop>
  <Company>HP Inc.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Všeobecné obchodní podmínky ADT_2021_08_24.docx</dc:title>
  <dc:subject/>
  <dc:creator>slepickam</dc:creator>
  <cp:keywords/>
  <cp:lastModifiedBy>SEDLÁČKOVÁ Radmila, DiS.</cp:lastModifiedBy>
  <cp:revision>3</cp:revision>
  <dcterms:created xsi:type="dcterms:W3CDTF">2024-02-29T12:05:00Z</dcterms:created>
  <dcterms:modified xsi:type="dcterms:W3CDTF">2024-02-29T12:06:00Z</dcterms:modified>
</cp:coreProperties>
</file>