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7A" w:rsidRPr="001D7A19" w:rsidRDefault="000D377A" w:rsidP="000D377A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0D377A" w:rsidRPr="001D7A19" w:rsidRDefault="000D377A" w:rsidP="000D377A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>16/220</w:t>
      </w:r>
    </w:p>
    <w:p w:rsidR="000D377A" w:rsidRDefault="000D377A" w:rsidP="000D377A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>719/2017</w:t>
      </w:r>
    </w:p>
    <w:p w:rsidR="000D377A" w:rsidRPr="001D7A19" w:rsidRDefault="000D377A" w:rsidP="000D377A">
      <w:pPr>
        <w:jc w:val="center"/>
        <w:rPr>
          <w:rFonts w:ascii="Arial CE" w:hAnsi="Arial CE" w:cs="Arial"/>
          <w:b/>
          <w:sz w:val="22"/>
          <w:szCs w:val="22"/>
        </w:rPr>
      </w:pPr>
    </w:p>
    <w:p w:rsidR="000D377A" w:rsidRPr="001D7A19" w:rsidRDefault="000D377A" w:rsidP="000D377A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0D377A" w:rsidRPr="001D7A19" w:rsidRDefault="000D377A" w:rsidP="000D377A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0D377A" w:rsidRDefault="000D377A" w:rsidP="000D377A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r w:rsidRPr="0001670A">
        <w:rPr>
          <w:rFonts w:ascii="Arial CE" w:hAnsi="Arial CE" w:cs="Arial"/>
          <w:b/>
          <w:sz w:val="28"/>
          <w:szCs w:val="28"/>
        </w:rPr>
        <w:t>VD Mariánské Lázně - těžba sedimentů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0D377A" w:rsidRDefault="000D377A" w:rsidP="000D377A">
      <w:pPr>
        <w:jc w:val="center"/>
        <w:rPr>
          <w:rFonts w:ascii="Arial CE" w:hAnsi="Arial CE" w:cs="Arial"/>
          <w:b/>
        </w:rPr>
      </w:pPr>
    </w:p>
    <w:p w:rsidR="000D377A" w:rsidRPr="005650C7" w:rsidRDefault="000D377A" w:rsidP="000D377A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0D377A" w:rsidRPr="001D7A19" w:rsidRDefault="000D377A" w:rsidP="000D377A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D377A" w:rsidRPr="001D7A19" w:rsidRDefault="000D377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D377A" w:rsidRPr="001D7A19" w:rsidRDefault="000D377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0D377A" w:rsidRPr="001D7A19" w:rsidRDefault="000D377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D377A" w:rsidRPr="001D7A19" w:rsidRDefault="000D377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0D377A" w:rsidRPr="001D7A19" w:rsidRDefault="000D377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0D377A" w:rsidRPr="001D7A19" w:rsidRDefault="000D377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377A" w:rsidRDefault="000D377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377A" w:rsidRPr="001D7A19" w:rsidRDefault="000D377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0D377A" w:rsidRDefault="000D377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D377A" w:rsidRDefault="000D377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377A" w:rsidRDefault="000D377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377A" w:rsidRDefault="000D377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D377A" w:rsidRPr="001D7A19" w:rsidRDefault="000D377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0D377A" w:rsidRDefault="000D377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377A" w:rsidRDefault="000D377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377A" w:rsidRPr="001D7A19" w:rsidRDefault="000D377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0D377A" w:rsidRDefault="000D377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D377A" w:rsidRDefault="000D377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377A" w:rsidRDefault="000D377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377A" w:rsidRDefault="000D377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D377A" w:rsidRPr="001D7A19" w:rsidRDefault="000D377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377A" w:rsidRDefault="000D377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377A" w:rsidRDefault="000D377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D377A" w:rsidRDefault="000D377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0D377A" w:rsidRPr="001D7A19" w:rsidRDefault="000D377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0D377A" w:rsidRDefault="000D377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0D377A" w:rsidRDefault="000D377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0D377A" w:rsidRDefault="000D377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01670A" w:rsidRPr="00F30BED" w:rsidRDefault="0001670A" w:rsidP="0001670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01670A" w:rsidRPr="001D7A19" w:rsidRDefault="0001670A" w:rsidP="0001670A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01670A" w:rsidRDefault="0001670A" w:rsidP="0001670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01670A" w:rsidRPr="00F30BED" w:rsidRDefault="0001670A" w:rsidP="002218A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1670A" w:rsidRPr="00F30BED" w:rsidRDefault="0001670A" w:rsidP="0001670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01670A" w:rsidRDefault="0001670A" w:rsidP="0001670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01670A" w:rsidRDefault="0001670A" w:rsidP="0001670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01670A" w:rsidRPr="00417FB6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01670A" w:rsidRPr="001C6AC0" w:rsidRDefault="0001670A" w:rsidP="0001670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01670A" w:rsidRPr="00C71EB5" w:rsidRDefault="0001670A" w:rsidP="002218A5">
      <w:pPr>
        <w:tabs>
          <w:tab w:val="left" w:pos="3960"/>
        </w:tabs>
        <w:jc w:val="both"/>
        <w:rPr>
          <w:rStyle w:val="Hypertextovodkaz"/>
          <w:rFonts w:ascii="Arial" w:hAnsi="Arial"/>
        </w:rPr>
      </w:pP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01670A" w:rsidRPr="005E1501" w:rsidRDefault="0001670A" w:rsidP="0001670A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01670A" w:rsidRPr="001D7A19" w:rsidRDefault="0001670A" w:rsidP="0001670A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01670A" w:rsidRPr="001D7A19" w:rsidRDefault="0001670A" w:rsidP="0001670A">
      <w:pPr>
        <w:jc w:val="both"/>
        <w:rPr>
          <w:rFonts w:ascii="Arial CE" w:hAnsi="Arial CE" w:cs="Arial"/>
          <w:sz w:val="22"/>
          <w:szCs w:val="22"/>
        </w:rPr>
      </w:pPr>
    </w:p>
    <w:p w:rsidR="0001670A" w:rsidRPr="001D7A19" w:rsidRDefault="0001670A" w:rsidP="0001670A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01670A" w:rsidRDefault="0001670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A54B1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C60059" w:rsidRPr="00D05406" w:rsidRDefault="00C60059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01670A">
        <w:rPr>
          <w:rFonts w:ascii="Arial CE" w:hAnsi="Arial CE" w:cs="Arial"/>
          <w:sz w:val="22"/>
          <w:szCs w:val="22"/>
        </w:rPr>
        <w:t xml:space="preserve"> včetně břehů a zaměření sedimentů</w:t>
      </w:r>
    </w:p>
    <w:p w:rsidR="00C60059" w:rsidRPr="00D05406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C60059" w:rsidRPr="0001670A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Průzkumné práce</w:t>
      </w:r>
      <w:r w:rsidR="0001670A">
        <w:rPr>
          <w:rFonts w:ascii="Arial CE" w:hAnsi="Arial CE" w:cs="Arial"/>
          <w:sz w:val="22"/>
          <w:szCs w:val="22"/>
        </w:rPr>
        <w:t xml:space="preserve"> - pedologický průzkum</w:t>
      </w:r>
    </w:p>
    <w:p w:rsidR="0001670A" w:rsidRDefault="0001670A" w:rsidP="0001670A">
      <w:pPr>
        <w:pStyle w:val="Odstavecseseznamem"/>
        <w:numPr>
          <w:ilvl w:val="0"/>
          <w:numId w:val="29"/>
        </w:numPr>
        <w:ind w:left="2694" w:hanging="142"/>
        <w:rPr>
          <w:rFonts w:ascii="Arial CE" w:hAnsi="Arial CE" w:cs="Arial"/>
          <w:sz w:val="22"/>
          <w:szCs w:val="22"/>
        </w:rPr>
      </w:pPr>
      <w:r>
        <w:rPr>
          <w:rFonts w:ascii="Arial CE" w:hAnsi="Arial CE"/>
          <w:sz w:val="22"/>
          <w:szCs w:val="22"/>
        </w:rPr>
        <w:t>biologický prů</w:t>
      </w:r>
      <w:r w:rsidRPr="0001670A">
        <w:rPr>
          <w:rFonts w:ascii="Arial CE" w:hAnsi="Arial CE" w:cs="Arial"/>
          <w:sz w:val="22"/>
          <w:szCs w:val="22"/>
        </w:rPr>
        <w:t>zkum</w:t>
      </w:r>
    </w:p>
    <w:p w:rsidR="0001670A" w:rsidRDefault="0001670A" w:rsidP="0001670A">
      <w:pPr>
        <w:pStyle w:val="Odstavecseseznamem"/>
        <w:numPr>
          <w:ilvl w:val="0"/>
          <w:numId w:val="29"/>
        </w:numPr>
        <w:ind w:left="2694" w:hanging="142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laboratorní</w:t>
      </w:r>
      <w:r w:rsidR="008C64A2">
        <w:rPr>
          <w:rFonts w:ascii="Arial CE" w:hAnsi="Arial CE" w:cs="Arial"/>
          <w:sz w:val="22"/>
          <w:szCs w:val="22"/>
        </w:rPr>
        <w:t xml:space="preserve"> – </w:t>
      </w:r>
      <w:proofErr w:type="gramStart"/>
      <w:r w:rsidR="008C64A2">
        <w:rPr>
          <w:rFonts w:ascii="Arial CE" w:hAnsi="Arial CE" w:cs="Arial"/>
          <w:sz w:val="22"/>
          <w:szCs w:val="22"/>
        </w:rPr>
        <w:t xml:space="preserve">zrnitostní </w:t>
      </w:r>
      <w:r>
        <w:rPr>
          <w:rFonts w:ascii="Arial CE" w:hAnsi="Arial CE" w:cs="Arial"/>
          <w:sz w:val="22"/>
          <w:szCs w:val="22"/>
        </w:rPr>
        <w:t xml:space="preserve"> rozbory</w:t>
      </w:r>
      <w:proofErr w:type="gramEnd"/>
      <w:r>
        <w:rPr>
          <w:rFonts w:ascii="Arial CE" w:hAnsi="Arial CE" w:cs="Arial"/>
          <w:sz w:val="22"/>
          <w:szCs w:val="22"/>
        </w:rPr>
        <w:t xml:space="preserve"> sedimentů</w:t>
      </w:r>
    </w:p>
    <w:p w:rsidR="0001670A" w:rsidRPr="0001670A" w:rsidRDefault="0001670A" w:rsidP="0001670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 D model</w:t>
      </w:r>
    </w:p>
    <w:p w:rsidR="0001670A" w:rsidRPr="0001670A" w:rsidRDefault="0001670A" w:rsidP="0001670A">
      <w:pPr>
        <w:autoSpaceDE w:val="0"/>
        <w:autoSpaceDN w:val="0"/>
        <w:adjustRightInd w:val="0"/>
        <w:ind w:left="1416"/>
        <w:jc w:val="both"/>
        <w:rPr>
          <w:rFonts w:ascii="Arial CE" w:hAnsi="Arial CE"/>
          <w:sz w:val="22"/>
          <w:szCs w:val="22"/>
        </w:rPr>
      </w:pPr>
    </w:p>
    <w:p w:rsidR="00F92B39" w:rsidRPr="00D05406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1B6233" w:rsidRDefault="001B6233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3A246A" w:rsidRDefault="003A246A" w:rsidP="00D20A7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A54B19">
        <w:rPr>
          <w:rFonts w:ascii="Arial CE" w:hAnsi="Arial CE" w:cs="Arial"/>
          <w:b/>
          <w:sz w:val="22"/>
          <w:szCs w:val="22"/>
        </w:rPr>
        <w:t>Dokumentace pro vydání rozhodnutí o umístění stavby (dále jen DUR)</w:t>
      </w:r>
    </w:p>
    <w:p w:rsidR="001B6233" w:rsidRPr="001B6233" w:rsidRDefault="001B6233" w:rsidP="001B623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>sah 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D05406" w:rsidRPr="0038627B" w:rsidRDefault="00D0540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D05406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D94A22" w:rsidRPr="006641D6" w:rsidRDefault="00D94A22" w:rsidP="00D94A2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6641D6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D94A22" w:rsidRDefault="00D94A22" w:rsidP="00D94A2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zajistí provedení veškerých průzkumných prací a zároveň prohlašuje, že jím nadefinovaný rozsah průzkumných prací je dostačující jako podklad pro zhotovení kvalitní projektové dokumentace. K provádění průzkumných prací na místě bude přizván TDS prostřednictvím MPR.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2D61FB" w:rsidRPr="00CF4ABF" w:rsidRDefault="002D61FB" w:rsidP="00F460E1">
      <w:pPr>
        <w:suppressAutoHyphens/>
        <w:jc w:val="both"/>
        <w:rPr>
          <w:rFonts w:ascii="Arial CE" w:hAnsi="Arial CE" w:cs="Arial"/>
          <w:b/>
          <w:sz w:val="22"/>
          <w:szCs w:val="22"/>
        </w:rPr>
      </w:pPr>
    </w:p>
    <w:p w:rsidR="003A246A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 w:rsidR="008F1A46"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51206B" w:rsidRPr="00B976FE" w:rsidRDefault="0051206B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>přehled vydaných rozhodnutí</w:t>
      </w:r>
      <w:r w:rsidR="0038627B">
        <w:rPr>
          <w:rFonts w:ascii="Arial CE" w:hAnsi="Arial CE" w:cs="Arial"/>
          <w:sz w:val="22"/>
          <w:szCs w:val="22"/>
        </w:rPr>
        <w:t xml:space="preserve"> k povolení stavby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zajištění podkladů, průzkumů a </w:t>
      </w:r>
      <w:r w:rsidRPr="00896244">
        <w:rPr>
          <w:rFonts w:ascii="Arial CE" w:hAnsi="Arial CE" w:cs="Arial"/>
          <w:sz w:val="22"/>
          <w:szCs w:val="22"/>
        </w:rPr>
        <w:t>zkoušek potřebných pro zpracování PD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472DF" w:rsidRPr="00BB0C43" w:rsidRDefault="004472DF" w:rsidP="007E0A6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v případě změn stávající stavby – popis konstrukce, jejího současného stavu 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7E0A6E" w:rsidRDefault="007E0A6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B6233" w:rsidRDefault="001B6233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4010D4" w:rsidRPr="004010D4">
        <w:rPr>
          <w:rFonts w:ascii="Arial CE" w:hAnsi="Arial CE" w:cs="Arial"/>
          <w:sz w:val="22"/>
          <w:szCs w:val="22"/>
        </w:rPr>
        <w:t>8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Pr="006E033D" w:rsidRDefault="002E1E1F" w:rsidP="002E1E1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Následně bude objednán </w:t>
      </w:r>
      <w:r w:rsidRPr="002E1E1F">
        <w:rPr>
          <w:rFonts w:ascii="Arial CE" w:hAnsi="Arial CE" w:cs="Arial"/>
          <w:sz w:val="22"/>
          <w:szCs w:val="22"/>
        </w:rPr>
        <w:t>geometrický plán.</w:t>
      </w:r>
      <w:r w:rsidRPr="00B976FE">
        <w:rPr>
          <w:rFonts w:ascii="Arial CE" w:hAnsi="Arial CE" w:cs="Arial"/>
          <w:sz w:val="22"/>
          <w:szCs w:val="22"/>
        </w:rPr>
        <w:t xml:space="preserve"> Návrh geometrického plánu </w:t>
      </w:r>
      <w:r w:rsidRPr="006E033D">
        <w:rPr>
          <w:rFonts w:ascii="Arial CE" w:hAnsi="Arial CE" w:cs="Arial"/>
          <w:sz w:val="22"/>
          <w:szCs w:val="22"/>
        </w:rPr>
        <w:t xml:space="preserve">bude </w:t>
      </w:r>
      <w:r w:rsidRPr="00B976FE">
        <w:rPr>
          <w:rFonts w:ascii="Arial CE" w:hAnsi="Arial CE" w:cs="Arial"/>
          <w:sz w:val="22"/>
          <w:szCs w:val="22"/>
        </w:rPr>
        <w:t xml:space="preserve">projednán s objednatelem a </w:t>
      </w:r>
      <w:r>
        <w:rPr>
          <w:rFonts w:ascii="Arial CE" w:hAnsi="Arial CE" w:cs="Arial"/>
          <w:sz w:val="22"/>
          <w:szCs w:val="22"/>
        </w:rPr>
        <w:t>s</w:t>
      </w:r>
      <w:r w:rsidRPr="006E033D">
        <w:rPr>
          <w:rFonts w:ascii="Arial CE" w:hAnsi="Arial CE" w:cs="Arial"/>
          <w:sz w:val="22"/>
          <w:szCs w:val="22"/>
        </w:rPr>
        <w:t xml:space="preserve"> vlastníky dotčených pozemků,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="00043803" w:rsidRPr="006E033D">
        <w:rPr>
          <w:rFonts w:ascii="Arial CE" w:hAnsi="Arial CE" w:cs="Arial"/>
          <w:sz w:val="22"/>
          <w:szCs w:val="22"/>
        </w:rPr>
        <w:t xml:space="preserve"> </w:t>
      </w:r>
      <w:r w:rsidRPr="006E033D">
        <w:rPr>
          <w:rFonts w:ascii="Arial CE" w:hAnsi="Arial CE" w:cs="Arial"/>
          <w:sz w:val="22"/>
          <w:szCs w:val="22"/>
        </w:rPr>
        <w:t>obdrží jejich písemná stanoviska k realizaci akce.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7F75BC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 xml:space="preserve">dnů </w:t>
      </w:r>
      <w:r w:rsidR="00EE792F" w:rsidRPr="00D05406">
        <w:rPr>
          <w:rFonts w:ascii="Arial CE" w:hAnsi="Arial CE" w:cs="Arial"/>
          <w:sz w:val="22"/>
          <w:szCs w:val="22"/>
        </w:rPr>
        <w:t>zbývající</w:t>
      </w:r>
      <w:r w:rsidR="00734CBB" w:rsidRPr="00D05406">
        <w:rPr>
          <w:rFonts w:ascii="Arial CE" w:hAnsi="Arial CE" w:cs="Arial"/>
          <w:sz w:val="22"/>
          <w:szCs w:val="22"/>
        </w:rPr>
        <w:t xml:space="preserve"> </w:t>
      </w:r>
      <w:r w:rsidR="00EE573C" w:rsidRPr="00D05406">
        <w:rPr>
          <w:rFonts w:ascii="Arial CE" w:hAnsi="Arial CE" w:cs="Arial"/>
          <w:sz w:val="22"/>
          <w:szCs w:val="22"/>
        </w:rPr>
        <w:t>2x – u DUR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C7389E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EE792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1D7A19" w:rsidRDefault="0017142A" w:rsidP="001714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7142A" w:rsidRPr="001D7A19" w:rsidRDefault="0017142A" w:rsidP="0017142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8C1E53" w:rsidRDefault="0017142A" w:rsidP="0017142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AE4E5F" w:rsidRPr="00AE4E5F">
        <w:rPr>
          <w:rFonts w:ascii="Arial CE" w:hAnsi="Arial CE" w:cs="Arial"/>
          <w:b/>
          <w:sz w:val="22"/>
          <w:szCs w:val="22"/>
        </w:rPr>
        <w:t>10</w:t>
      </w:r>
      <w:r w:rsidRPr="00AE4E5F">
        <w:rPr>
          <w:rFonts w:ascii="Arial CE" w:hAnsi="Arial CE" w:cs="Arial"/>
          <w:b/>
          <w:sz w:val="22"/>
          <w:szCs w:val="22"/>
        </w:rPr>
        <w:t>.</w:t>
      </w:r>
      <w:r w:rsidR="00AE4E5F" w:rsidRPr="00AE4E5F">
        <w:rPr>
          <w:rFonts w:ascii="Arial CE" w:hAnsi="Arial CE" w:cs="Arial"/>
          <w:b/>
          <w:sz w:val="22"/>
          <w:szCs w:val="22"/>
        </w:rPr>
        <w:t>07</w:t>
      </w:r>
      <w:r w:rsidRPr="00AE4E5F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7142A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AE4E5F">
        <w:rPr>
          <w:rFonts w:ascii="Arial CE" w:hAnsi="Arial CE" w:cs="Arial"/>
          <w:b/>
          <w:sz w:val="22"/>
          <w:szCs w:val="22"/>
        </w:rPr>
        <w:t>31.10.2017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7142A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7142A" w:rsidRPr="001D7A19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</w:t>
      </w:r>
      <w:r w:rsidR="008C64A2">
        <w:rPr>
          <w:rFonts w:ascii="Arial CE" w:hAnsi="Arial CE" w:cs="Arial"/>
          <w:sz w:val="22"/>
          <w:szCs w:val="22"/>
        </w:rPr>
        <w:t>2</w:t>
      </w:r>
      <w:r w:rsidRPr="00280CEE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AE4E5F" w:rsidRPr="00AE4E5F">
        <w:rPr>
          <w:rFonts w:ascii="Arial CE" w:hAnsi="Arial CE" w:cs="Arial"/>
          <w:b/>
          <w:sz w:val="22"/>
          <w:szCs w:val="22"/>
        </w:rPr>
        <w:t>30.11.2017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AE4E5F">
        <w:rPr>
          <w:rFonts w:ascii="Arial CE" w:hAnsi="Arial CE" w:cs="Arial"/>
          <w:b/>
          <w:color w:val="000000"/>
          <w:sz w:val="22"/>
          <w:szCs w:val="22"/>
        </w:rPr>
        <w:t>131 500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>47 000, 00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D05406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640BCD" w:rsidRPr="00D05406">
        <w:rPr>
          <w:rFonts w:ascii="Arial CE" w:hAnsi="Arial CE" w:cs="Arial"/>
          <w:sz w:val="22"/>
          <w:szCs w:val="22"/>
        </w:rPr>
        <w:t>: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>15 0</w:t>
      </w:r>
      <w:r w:rsidR="008E7C8F">
        <w:rPr>
          <w:rFonts w:ascii="Arial CE" w:hAnsi="Arial CE" w:cs="Arial"/>
          <w:sz w:val="22"/>
          <w:szCs w:val="22"/>
        </w:rPr>
        <w:t>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Pr="001D7A19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8C64A2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Projednání – </w:t>
      </w:r>
      <w:r w:rsidR="008C64A2">
        <w:rPr>
          <w:rFonts w:ascii="Arial CE" w:hAnsi="Arial CE" w:cs="Arial"/>
          <w:sz w:val="22"/>
          <w:szCs w:val="22"/>
        </w:rPr>
        <w:t xml:space="preserve">zajištění </w:t>
      </w:r>
      <w:r>
        <w:rPr>
          <w:rFonts w:ascii="Arial CE" w:hAnsi="Arial CE" w:cs="Arial"/>
          <w:sz w:val="22"/>
          <w:szCs w:val="22"/>
        </w:rPr>
        <w:t>náhr</w:t>
      </w:r>
      <w:r w:rsidR="008C64A2">
        <w:rPr>
          <w:rFonts w:ascii="Arial CE" w:hAnsi="Arial CE" w:cs="Arial"/>
          <w:sz w:val="22"/>
          <w:szCs w:val="22"/>
        </w:rPr>
        <w:t>adního</w:t>
      </w:r>
      <w:r>
        <w:rPr>
          <w:rFonts w:ascii="Arial CE" w:hAnsi="Arial CE" w:cs="Arial"/>
          <w:sz w:val="22"/>
          <w:szCs w:val="22"/>
        </w:rPr>
        <w:t xml:space="preserve"> </w:t>
      </w:r>
      <w:r w:rsidR="008C64A2">
        <w:rPr>
          <w:rFonts w:ascii="Arial CE" w:hAnsi="Arial CE" w:cs="Arial"/>
          <w:sz w:val="22"/>
          <w:szCs w:val="22"/>
        </w:rPr>
        <w:t>čerpadla zajištění náhradního zdroje energie při</w:t>
      </w:r>
    </w:p>
    <w:p w:rsidR="00067F4D" w:rsidRDefault="008C64A2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výpadku VN</w:t>
      </w:r>
      <w:r w:rsidR="00AE4E5F"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AE4E5F">
        <w:rPr>
          <w:rFonts w:ascii="Arial CE" w:hAnsi="Arial CE" w:cs="Arial"/>
          <w:sz w:val="22"/>
          <w:szCs w:val="22"/>
        </w:rPr>
        <w:t xml:space="preserve">  7 000,00 </w:t>
      </w:r>
      <w:r w:rsidR="00420D0D" w:rsidRPr="00D05406">
        <w:rPr>
          <w:rFonts w:ascii="Arial CE" w:hAnsi="Arial CE" w:cs="Arial"/>
          <w:sz w:val="22"/>
          <w:szCs w:val="22"/>
        </w:rPr>
        <w:t xml:space="preserve">Kč bez </w:t>
      </w:r>
      <w:r w:rsidR="00420D0D"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3 500,00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Pedologický </w:t>
      </w:r>
      <w:proofErr w:type="spellStart"/>
      <w:r>
        <w:rPr>
          <w:rFonts w:ascii="Arial CE" w:hAnsi="Arial CE" w:cs="Arial"/>
          <w:color w:val="000000"/>
          <w:sz w:val="22"/>
          <w:szCs w:val="22"/>
        </w:rPr>
        <w:t>průkum</w:t>
      </w:r>
      <w:proofErr w:type="spellEnd"/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16 000,00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proofErr w:type="spellStart"/>
      <w:r>
        <w:rPr>
          <w:rFonts w:ascii="Arial CE" w:hAnsi="Arial CE" w:cs="Arial"/>
          <w:color w:val="000000"/>
          <w:sz w:val="22"/>
          <w:szCs w:val="22"/>
        </w:rPr>
        <w:t>Labor</w:t>
      </w:r>
      <w:proofErr w:type="spellEnd"/>
      <w:r>
        <w:rPr>
          <w:rFonts w:ascii="Arial CE" w:hAnsi="Arial CE" w:cs="Arial"/>
          <w:color w:val="000000"/>
          <w:sz w:val="22"/>
          <w:szCs w:val="22"/>
        </w:rPr>
        <w:t>.</w:t>
      </w:r>
      <w:r w:rsidR="008C64A2">
        <w:rPr>
          <w:rFonts w:ascii="Arial CE" w:hAnsi="Arial CE" w:cs="Arial"/>
          <w:color w:val="000000"/>
          <w:sz w:val="22"/>
          <w:szCs w:val="22"/>
        </w:rPr>
        <w:t xml:space="preserve"> </w:t>
      </w:r>
      <w:proofErr w:type="gramStart"/>
      <w:r w:rsidR="008C64A2">
        <w:rPr>
          <w:rFonts w:ascii="Arial CE" w:hAnsi="Arial CE" w:cs="Arial"/>
          <w:color w:val="000000"/>
          <w:sz w:val="22"/>
          <w:szCs w:val="22"/>
        </w:rPr>
        <w:t>zrnitostní</w:t>
      </w:r>
      <w:proofErr w:type="gramEnd"/>
      <w:r w:rsidR="008C64A2">
        <w:rPr>
          <w:rFonts w:ascii="Arial CE" w:hAnsi="Arial CE" w:cs="Arial"/>
          <w:color w:val="000000"/>
          <w:sz w:val="22"/>
          <w:szCs w:val="22"/>
        </w:rPr>
        <w:t xml:space="preserve"> rozbory sedimentů</w:t>
      </w:r>
      <w:r w:rsidR="008C64A2">
        <w:rPr>
          <w:rFonts w:ascii="Arial CE" w:hAnsi="Arial CE" w:cs="Arial"/>
          <w:color w:val="000000"/>
          <w:sz w:val="22"/>
          <w:szCs w:val="22"/>
        </w:rPr>
        <w:tab/>
      </w:r>
      <w:r w:rsidR="008C64A2">
        <w:rPr>
          <w:rFonts w:ascii="Arial CE" w:hAnsi="Arial CE" w:cs="Arial"/>
          <w:color w:val="000000"/>
          <w:sz w:val="22"/>
          <w:szCs w:val="22"/>
        </w:rPr>
        <w:tab/>
      </w:r>
      <w:r w:rsidR="008C64A2">
        <w:rPr>
          <w:rFonts w:ascii="Arial CE" w:hAnsi="Arial CE" w:cs="Arial"/>
          <w:color w:val="000000"/>
          <w:sz w:val="22"/>
          <w:szCs w:val="22"/>
        </w:rPr>
        <w:tab/>
      </w:r>
      <w:r w:rsidR="008C64A2"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>10 000,00 Kč bez 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Biologický průzkum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>18 000,00 Kč bez 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1 D model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>15 000,00 Kč bez DPH</w:t>
      </w:r>
    </w:p>
    <w:p w:rsidR="00AE4E5F" w:rsidRDefault="00AE4E5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</w:t>
      </w:r>
      <w:r w:rsidR="00386361">
        <w:rPr>
          <w:rFonts w:ascii="Arial CE" w:hAnsi="Arial CE" w:cs="Arial"/>
          <w:sz w:val="22"/>
          <w:szCs w:val="22"/>
        </w:rPr>
        <w:t xml:space="preserve"> a převzetí geodetického zaměření, pedologického průzkumu, biologického průzkumu, výsledky laboratorních rozborů sedimentů a 1 D model </w:t>
      </w:r>
      <w:r w:rsidRPr="002E610D">
        <w:rPr>
          <w:rFonts w:ascii="Arial CE" w:hAnsi="Arial CE" w:cs="Arial"/>
          <w:sz w:val="22"/>
          <w:szCs w:val="22"/>
        </w:rPr>
        <w:t>– ve výši 100% ceny</w:t>
      </w:r>
      <w:r w:rsidR="00253CFC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="00253CFC">
        <w:rPr>
          <w:rFonts w:ascii="Arial CE" w:hAnsi="Arial CE" w:cs="Arial"/>
          <w:sz w:val="22"/>
          <w:szCs w:val="22"/>
        </w:rPr>
        <w:t>tj</w:t>
      </w:r>
      <w:proofErr w:type="spellEnd"/>
      <w:r w:rsidR="00253CFC">
        <w:rPr>
          <w:rFonts w:ascii="Arial CE" w:hAnsi="Arial CE" w:cs="Arial"/>
          <w:sz w:val="22"/>
          <w:szCs w:val="22"/>
        </w:rPr>
        <w:t xml:space="preserve"> </w:t>
      </w:r>
      <w:r w:rsidR="00253CFC" w:rsidRPr="00253CFC">
        <w:rPr>
          <w:rFonts w:ascii="Arial CE" w:hAnsi="Arial CE" w:cs="Arial"/>
          <w:b/>
          <w:sz w:val="22"/>
          <w:szCs w:val="22"/>
        </w:rPr>
        <w:t>74 000,00 Kč bez DPH</w:t>
      </w:r>
      <w:r w:rsidR="00253CFC">
        <w:rPr>
          <w:rFonts w:ascii="Arial CE" w:hAnsi="Arial CE" w:cs="Arial"/>
          <w:sz w:val="22"/>
          <w:szCs w:val="22"/>
        </w:rPr>
        <w:t xml:space="preserve">. </w:t>
      </w:r>
      <w:r w:rsidRPr="002E610D">
        <w:rPr>
          <w:rFonts w:ascii="Arial CE" w:hAnsi="Arial CE" w:cs="Arial"/>
          <w:sz w:val="22"/>
          <w:szCs w:val="22"/>
        </w:rPr>
        <w:t xml:space="preserve">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lastRenderedPageBreak/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60169F">
        <w:rPr>
          <w:rFonts w:ascii="Arial CE" w:hAnsi="Arial CE" w:cs="Arial"/>
          <w:sz w:val="22"/>
          <w:szCs w:val="22"/>
        </w:rPr>
        <w:t xml:space="preserve"> DÚR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 w:rsidR="0060169F">
        <w:rPr>
          <w:rFonts w:ascii="Arial CE" w:hAnsi="Arial CE" w:cs="Arial"/>
          <w:sz w:val="22"/>
          <w:szCs w:val="22"/>
        </w:rPr>
        <w:t xml:space="preserve">, tj. </w:t>
      </w:r>
      <w:r w:rsidR="0060169F" w:rsidRPr="0060169F">
        <w:rPr>
          <w:rFonts w:ascii="Arial CE" w:hAnsi="Arial CE" w:cs="Arial"/>
          <w:b/>
          <w:sz w:val="22"/>
          <w:szCs w:val="22"/>
        </w:rPr>
        <w:t>46 000,00 Kč bez DPH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60169F">
        <w:rPr>
          <w:rFonts w:ascii="Arial CE" w:hAnsi="Arial CE" w:cs="Arial"/>
          <w:sz w:val="22"/>
          <w:szCs w:val="22"/>
        </w:rPr>
        <w:t xml:space="preserve"> DÚR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60169F">
        <w:rPr>
          <w:rFonts w:ascii="Arial CE" w:hAnsi="Arial CE" w:cs="Arial"/>
          <w:sz w:val="22"/>
          <w:szCs w:val="22"/>
        </w:rPr>
        <w:t xml:space="preserve">, tj. </w:t>
      </w:r>
      <w:r w:rsidR="0060169F" w:rsidRPr="0060169F">
        <w:rPr>
          <w:rFonts w:ascii="Arial CE" w:hAnsi="Arial CE" w:cs="Arial"/>
          <w:b/>
          <w:sz w:val="22"/>
          <w:szCs w:val="22"/>
        </w:rPr>
        <w:t>11 500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80EBD" w:rsidRPr="00780EBD" w:rsidRDefault="00780EBD" w:rsidP="00780EBD">
      <w:pPr>
        <w:autoSpaceDE w:val="0"/>
        <w:autoSpaceDN w:val="0"/>
        <w:adjustRightInd w:val="0"/>
        <w:spacing w:after="120"/>
        <w:jc w:val="both"/>
        <w:rPr>
          <w:rFonts w:ascii="Arial CE" w:hAnsi="Arial CE"/>
          <w:color w:val="000000"/>
          <w:sz w:val="22"/>
          <w:szCs w:val="22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Zmaří-li se po uzavření smlouvy její základní účel, který v ní byl výslovně vyjádřen, a to v důsledku podstatné změny okolností, za nichž byla smlouva uzavřena, může strana </w:t>
      </w:r>
      <w:r w:rsidRPr="001D7A19">
        <w:rPr>
          <w:rFonts w:ascii="Arial CE" w:hAnsi="Arial CE" w:cs="Arial"/>
          <w:sz w:val="22"/>
          <w:szCs w:val="22"/>
        </w:rPr>
        <w:lastRenderedPageBreak/>
        <w:t>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7F75BC" w:rsidRPr="001B7B90" w:rsidRDefault="007F75BC" w:rsidP="007F75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DA2B2D" w:rsidRPr="00DA2B2D" w:rsidRDefault="00DA2B2D" w:rsidP="00DA2B2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DA2B2D">
        <w:rPr>
          <w:rFonts w:ascii="Arial CE" w:hAnsi="Arial CE" w:cs="Arial"/>
          <w:bCs/>
          <w:color w:val="000000"/>
          <w:sz w:val="22"/>
          <w:szCs w:val="22"/>
        </w:rPr>
        <w:t>Smlouva nabývá platnosti dnem podpisu oprávněnými zástupci obou smluvních stran a účinností zveřejněním v registru smluv.</w:t>
      </w:r>
    </w:p>
    <w:p w:rsidR="00586991" w:rsidRPr="00067F4D" w:rsidRDefault="00586991" w:rsidP="00DA2B2D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60169F" w:rsidRPr="00A4527B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0169F" w:rsidRPr="00241C08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60169F" w:rsidRPr="00241C08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60169F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60169F" w:rsidRPr="00241C08" w:rsidRDefault="0060169F" w:rsidP="0060169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60169F" w:rsidRPr="009200FC" w:rsidRDefault="0060169F" w:rsidP="0060169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dodavatel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A5120E" w:rsidRPr="00862931" w:rsidRDefault="00A5120E" w:rsidP="006016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A5120E" w:rsidRPr="00862931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7C" w:rsidRDefault="00E5017C">
      <w:r>
        <w:separator/>
      </w:r>
    </w:p>
  </w:endnote>
  <w:endnote w:type="continuationSeparator" w:id="0">
    <w:p w:rsidR="00E5017C" w:rsidRDefault="00E5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8A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8A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8A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8A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7C" w:rsidRDefault="00E5017C">
      <w:r>
        <w:separator/>
      </w:r>
    </w:p>
  </w:footnote>
  <w:footnote w:type="continuationSeparator" w:id="0">
    <w:p w:rsidR="00E5017C" w:rsidRDefault="00E5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9704FC1E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AA6CA3E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1"/>
  </w:num>
  <w:num w:numId="7">
    <w:abstractNumId w:val="27"/>
  </w:num>
  <w:num w:numId="8">
    <w:abstractNumId w:val="2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0"/>
  </w:num>
  <w:num w:numId="17">
    <w:abstractNumId w:val="16"/>
  </w:num>
  <w:num w:numId="18">
    <w:abstractNumId w:val="19"/>
  </w:num>
  <w:num w:numId="19">
    <w:abstractNumId w:val="34"/>
  </w:num>
  <w:num w:numId="20">
    <w:abstractNumId w:val="24"/>
  </w:num>
  <w:num w:numId="21">
    <w:abstractNumId w:val="21"/>
  </w:num>
  <w:num w:numId="22">
    <w:abstractNumId w:val="33"/>
  </w:num>
  <w:num w:numId="23">
    <w:abstractNumId w:val="35"/>
  </w:num>
  <w:num w:numId="24">
    <w:abstractNumId w:val="29"/>
  </w:num>
  <w:num w:numId="25">
    <w:abstractNumId w:val="14"/>
  </w:num>
  <w:num w:numId="26">
    <w:abstractNumId w:val="3"/>
  </w:num>
  <w:num w:numId="27">
    <w:abstractNumId w:val="12"/>
  </w:num>
  <w:num w:numId="28">
    <w:abstractNumId w:val="30"/>
  </w:num>
  <w:num w:numId="29">
    <w:abstractNumId w:val="1"/>
  </w:num>
  <w:num w:numId="30">
    <w:abstractNumId w:val="4"/>
  </w:num>
  <w:num w:numId="31">
    <w:abstractNumId w:val="36"/>
  </w:num>
  <w:num w:numId="32">
    <w:abstractNumId w:val="26"/>
  </w:num>
  <w:num w:numId="33">
    <w:abstractNumId w:val="25"/>
  </w:num>
  <w:num w:numId="34">
    <w:abstractNumId w:val="22"/>
  </w:num>
  <w:num w:numId="35">
    <w:abstractNumId w:val="28"/>
  </w:num>
  <w:num w:numId="36">
    <w:abstractNumId w:val="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670A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377A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B6233"/>
    <w:rsid w:val="001C2560"/>
    <w:rsid w:val="001C25CC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18A5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3CFC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4F1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6361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584B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0D2D"/>
    <w:rsid w:val="0060169F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1D6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0EBD"/>
    <w:rsid w:val="00781DA8"/>
    <w:rsid w:val="00785957"/>
    <w:rsid w:val="00786BF1"/>
    <w:rsid w:val="007901CA"/>
    <w:rsid w:val="007905F1"/>
    <w:rsid w:val="00791ACC"/>
    <w:rsid w:val="00791BBC"/>
    <w:rsid w:val="00793BA9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7E2B"/>
    <w:rsid w:val="008606B6"/>
    <w:rsid w:val="00860B26"/>
    <w:rsid w:val="008728C9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64A2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4E5F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173E"/>
    <w:rsid w:val="00C03149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69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572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B2D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0F54"/>
    <w:rsid w:val="00E317CD"/>
    <w:rsid w:val="00E3754D"/>
    <w:rsid w:val="00E40272"/>
    <w:rsid w:val="00E40B7D"/>
    <w:rsid w:val="00E41390"/>
    <w:rsid w:val="00E47A58"/>
    <w:rsid w:val="00E5013A"/>
    <w:rsid w:val="00E5017C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3BCD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DF83-BD6B-4AE8-A2C3-E6EA2335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3106</Words>
  <Characters>18329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21393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2017-06-28T07:54:00Z</cp:lastPrinted>
  <dcterms:created xsi:type="dcterms:W3CDTF">2017-06-28T12:27:00Z</dcterms:created>
  <dcterms:modified xsi:type="dcterms:W3CDTF">2017-06-29T11:33:00Z</dcterms:modified>
</cp:coreProperties>
</file>