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2850EE21" w14:textId="77777777" w:rsidR="00A6099C" w:rsidRPr="001D02A5" w:rsidRDefault="00A6099C" w:rsidP="00A6099C">
      <w:pPr>
        <w:tabs>
          <w:tab w:val="left" w:pos="284"/>
        </w:tabs>
      </w:pPr>
      <w:proofErr w:type="spellStart"/>
      <w:r w:rsidRPr="001D02A5">
        <w:rPr>
          <w:b/>
        </w:rPr>
        <w:t>SeMeT</w:t>
      </w:r>
      <w:proofErr w:type="spellEnd"/>
      <w:r w:rsidRPr="001D02A5">
        <w:rPr>
          <w:b/>
        </w:rPr>
        <w:t xml:space="preserve"> spol. s r.o.</w:t>
      </w:r>
    </w:p>
    <w:p w14:paraId="43CC21FC" w14:textId="77777777" w:rsidR="00A6099C" w:rsidRPr="00A67AE8" w:rsidRDefault="00A6099C" w:rsidP="00A6099C">
      <w:pPr>
        <w:spacing w:after="60" w:line="240" w:lineRule="auto"/>
        <w:rPr>
          <w:rStyle w:val="platne1"/>
          <w:sz w:val="23"/>
          <w:szCs w:val="23"/>
        </w:rPr>
      </w:pPr>
      <w:r w:rsidRPr="00A67AE8">
        <w:rPr>
          <w:sz w:val="23"/>
          <w:szCs w:val="23"/>
        </w:rPr>
        <w:t>IČ</w:t>
      </w:r>
      <w:r>
        <w:rPr>
          <w:sz w:val="23"/>
          <w:szCs w:val="23"/>
        </w:rPr>
        <w:t>O</w:t>
      </w:r>
      <w:r w:rsidRPr="00A67AE8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1D02A5">
        <w:rPr>
          <w:szCs w:val="24"/>
        </w:rPr>
        <w:t>47906286</w:t>
      </w:r>
    </w:p>
    <w:p w14:paraId="09408AA8" w14:textId="77777777" w:rsidR="00A6099C" w:rsidRDefault="00A6099C" w:rsidP="00A6099C">
      <w:pPr>
        <w:spacing w:after="60" w:line="240" w:lineRule="auto"/>
        <w:rPr>
          <w:szCs w:val="24"/>
        </w:rPr>
      </w:pPr>
      <w:r w:rsidRPr="00A67AE8">
        <w:rPr>
          <w:rStyle w:val="platne1"/>
          <w:sz w:val="23"/>
          <w:szCs w:val="23"/>
        </w:rPr>
        <w:t xml:space="preserve">DIČ: </w:t>
      </w:r>
      <w:r w:rsidRPr="001D02A5">
        <w:rPr>
          <w:lang w:eastAsia="zh-CN"/>
        </w:rPr>
        <w:t>CZ</w:t>
      </w:r>
      <w:r w:rsidRPr="001D02A5">
        <w:rPr>
          <w:szCs w:val="24"/>
        </w:rPr>
        <w:t>47906286</w:t>
      </w:r>
    </w:p>
    <w:p w14:paraId="0C13F4CC" w14:textId="25A64C54" w:rsidR="00A6099C" w:rsidRPr="00A67AE8" w:rsidRDefault="00A6099C" w:rsidP="00A6099C">
      <w:pPr>
        <w:spacing w:after="60" w:line="240" w:lineRule="auto"/>
        <w:rPr>
          <w:rStyle w:val="platne1"/>
          <w:sz w:val="23"/>
          <w:szCs w:val="23"/>
        </w:rPr>
      </w:pPr>
      <w:r w:rsidRPr="00A67AE8">
        <w:rPr>
          <w:rStyle w:val="platne1"/>
          <w:sz w:val="23"/>
          <w:szCs w:val="23"/>
        </w:rPr>
        <w:t xml:space="preserve">se sídlem: </w:t>
      </w:r>
      <w:r w:rsidR="000E4247" w:rsidRPr="001D02A5">
        <w:t>Oderská 7, 625 00 Brno</w:t>
      </w:r>
    </w:p>
    <w:p w14:paraId="281CFF67" w14:textId="2B27DE27" w:rsidR="00A6099C" w:rsidRDefault="00A6099C" w:rsidP="00A6099C">
      <w:pPr>
        <w:spacing w:after="60" w:line="240" w:lineRule="auto"/>
      </w:pPr>
      <w:r>
        <w:rPr>
          <w:rStyle w:val="platne1"/>
          <w:sz w:val="23"/>
          <w:szCs w:val="23"/>
        </w:rPr>
        <w:t>zastoupena</w:t>
      </w:r>
      <w:r w:rsidRPr="00A67AE8">
        <w:rPr>
          <w:rStyle w:val="platne1"/>
          <w:sz w:val="23"/>
          <w:szCs w:val="23"/>
        </w:rPr>
        <w:t xml:space="preserve">: </w:t>
      </w:r>
      <w:r w:rsidR="00AF28BB">
        <w:t>Ing. Jiří Zajíček</w:t>
      </w:r>
    </w:p>
    <w:p w14:paraId="43130257" w14:textId="03868C4E" w:rsidR="00D859C2" w:rsidRPr="00512AB9" w:rsidRDefault="00D859C2" w:rsidP="00D859C2">
      <w:r w:rsidRPr="00512AB9">
        <w:t xml:space="preserve">bankovní spojení: </w:t>
      </w:r>
      <w:r w:rsidR="00A6099C" w:rsidRPr="001D02A5">
        <w:rPr>
          <w:szCs w:val="24"/>
        </w:rPr>
        <w:t>Komerční banka</w:t>
      </w:r>
    </w:p>
    <w:p w14:paraId="4B4D9F51" w14:textId="0BDE1699" w:rsidR="00D859C2" w:rsidRPr="00512AB9" w:rsidRDefault="00D859C2" w:rsidP="00D859C2">
      <w:r w:rsidRPr="00512AB9">
        <w:t xml:space="preserve">číslo účtu: </w:t>
      </w:r>
      <w:r w:rsidR="00A6099C" w:rsidRPr="001D02A5">
        <w:rPr>
          <w:szCs w:val="24"/>
        </w:rPr>
        <w:t>7218450217/0100</w:t>
      </w:r>
    </w:p>
    <w:p w14:paraId="2A8DBC5F" w14:textId="77777777" w:rsidR="00A6099C" w:rsidRPr="00A67AE8" w:rsidRDefault="00A6099C" w:rsidP="00A6099C">
      <w:pPr>
        <w:spacing w:after="60" w:line="240" w:lineRule="auto"/>
        <w:rPr>
          <w:sz w:val="23"/>
          <w:szCs w:val="23"/>
        </w:rPr>
      </w:pPr>
      <w:r w:rsidRPr="00A67AE8">
        <w:rPr>
          <w:rStyle w:val="platne1"/>
          <w:sz w:val="23"/>
          <w:szCs w:val="23"/>
        </w:rPr>
        <w:t>zapsaná</w:t>
      </w:r>
      <w:r>
        <w:rPr>
          <w:rStyle w:val="platne1"/>
          <w:sz w:val="23"/>
          <w:szCs w:val="23"/>
        </w:rPr>
        <w:t xml:space="preserve"> v obchodním rejstříku vedeném</w:t>
      </w:r>
      <w:r w:rsidRPr="001D02A5">
        <w:rPr>
          <w:i/>
          <w:szCs w:val="24"/>
        </w:rPr>
        <w:t xml:space="preserve"> OR KS v Brně, oddíl C, vložka 9460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42FB24AC" w:rsidR="00095C75" w:rsidRPr="00CF0C56" w:rsidRDefault="00095C75" w:rsidP="00A05D45">
      <w:pPr>
        <w:pStyle w:val="Odstavecsmlouvy"/>
        <w:numPr>
          <w:ilvl w:val="1"/>
          <w:numId w:val="2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1858FE" w:rsidRPr="001858FE">
        <w:rPr>
          <w:rFonts w:eastAsia="Arial"/>
          <w:b/>
          <w:bCs/>
        </w:rPr>
        <w:t>Parní sterilizátor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76786E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1535D0BD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A6099C">
        <w:t>1</w:t>
      </w:r>
      <w:r w:rsidR="002F4F30" w:rsidRPr="00D859C2">
        <w:t xml:space="preserve"> ks </w:t>
      </w:r>
      <w:r w:rsidR="00A6099C">
        <w:t>parní sterilizátor</w:t>
      </w:r>
      <w:r w:rsidR="008645D8" w:rsidRPr="00D859C2">
        <w:rPr>
          <w:b/>
        </w:rPr>
        <w:t xml:space="preserve"> typ: </w:t>
      </w:r>
      <w:r w:rsidR="00A6099C">
        <w:rPr>
          <w:b/>
        </w:rPr>
        <w:t xml:space="preserve">VACUKLAV </w:t>
      </w:r>
      <w:r w:rsidR="00AE7A0E">
        <w:rPr>
          <w:b/>
        </w:rPr>
        <w:t>123,</w:t>
      </w:r>
      <w:r w:rsidR="004453FF" w:rsidRPr="00D859C2">
        <w:rPr>
          <w:b/>
        </w:rPr>
        <w:t xml:space="preserve"> výrobce </w:t>
      </w:r>
      <w:r w:rsidR="00A6099C">
        <w:rPr>
          <w:b/>
        </w:rPr>
        <w:t>MELAG,</w:t>
      </w:r>
      <w:r w:rsidR="004453FF" w:rsidRPr="00D859C2">
        <w:rPr>
          <w:i/>
        </w:rPr>
        <w:t xml:space="preserve">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706A3CA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</w:t>
      </w:r>
      <w:r w:rsidR="001858FE">
        <w:t xml:space="preserve"> do 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Současně, </w:t>
      </w:r>
      <w:r w:rsidR="19907203" w:rsidRPr="38690F1A">
        <w:rPr>
          <w:b/>
          <w:bCs/>
        </w:rPr>
        <w:t>5 dnů před plánovaným předáním, je prodávající povinen zaslat na uvedený e-mail vyplněnou Importní tabulku</w:t>
      </w:r>
      <w:r w:rsidR="19907203" w:rsidRPr="38690F1A">
        <w:t>, která byla součástí výzvy k podání nabídky, a to v elektronické podobě.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25DCC503" w:rsidR="00BE2371" w:rsidRPr="001858FE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1858FE" w:rsidRPr="001858FE">
        <w:rPr>
          <w:rFonts w:eastAsia="Arial"/>
        </w:rPr>
        <w:t>Nemocniční lékárna, Fakultní Nemocnice Brno, Jihlavská 20, 625 00 Brno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4DF4DD39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AF28BB">
        <w:rPr>
          <w:rFonts w:eastAsia="Arial"/>
          <w:b/>
          <w:bCs/>
        </w:rPr>
        <w:t>XXX</w:t>
      </w:r>
      <w:r w:rsidR="00DE3A3F" w:rsidRPr="009F76B4">
        <w:t>,</w:t>
      </w:r>
      <w:r w:rsidR="00DE3A3F">
        <w:t xml:space="preserve"> tel.: </w:t>
      </w:r>
      <w:r w:rsidR="00AF28BB">
        <w:t>XXX</w:t>
      </w:r>
      <w:r w:rsidR="00DE3A3F">
        <w:t xml:space="preserve"> a písemně na e-mail: </w:t>
      </w:r>
      <w:r w:rsidR="00AF28BB">
        <w:t>XXX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 xml:space="preserve">Zástupci Prodávajícího a Kupujícího </w:t>
      </w:r>
      <w:proofErr w:type="gramStart"/>
      <w:r>
        <w:t>sepíší</w:t>
      </w:r>
      <w:proofErr w:type="gramEnd"/>
      <w:r>
        <w:t xml:space="preserve">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</w:t>
      </w:r>
      <w:r>
        <w:lastRenderedPageBreak/>
        <w:t>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06"/>
        <w:gridCol w:w="3873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10ECBA4A" w:rsidR="00D859C2" w:rsidRPr="005B49AA" w:rsidRDefault="00407FC8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119 900,-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387FC678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2C78D3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6F2FD6B7" w:rsidR="00D859C2" w:rsidRPr="005B49AA" w:rsidRDefault="00407FC8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25 179,-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447366AC" w:rsidR="00D859C2" w:rsidRPr="005B49AA" w:rsidRDefault="00407FC8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145 079,-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</w:t>
      </w:r>
      <w:r w:rsidRPr="00D859C2">
        <w:rPr>
          <w:color w:val="000000"/>
        </w:rPr>
        <w:lastRenderedPageBreak/>
        <w:t xml:space="preserve">k přepracování či doplnění. V takovém případě </w:t>
      </w:r>
      <w:proofErr w:type="gramStart"/>
      <w:r w:rsidRPr="00D859C2">
        <w:rPr>
          <w:color w:val="000000"/>
        </w:rPr>
        <w:t>běží</w:t>
      </w:r>
      <w:proofErr w:type="gramEnd"/>
      <w:r w:rsidRPr="00D859C2">
        <w:rPr>
          <w:color w:val="000000"/>
        </w:rPr>
        <w:t xml:space="preserve">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lastRenderedPageBreak/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 xml:space="preserve">Prodávající se zavazuje, že v případě nutnosti dílenské nebo dlouhodobější opravy Zboží </w:t>
      </w:r>
      <w:proofErr w:type="gramStart"/>
      <w:r w:rsidRPr="00D859C2">
        <w:t>zapůjčí</w:t>
      </w:r>
      <w:proofErr w:type="gramEnd"/>
      <w:r w:rsidRPr="00D859C2">
        <w:t xml:space="preserve">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proofErr w:type="gramStart"/>
      <w:r w:rsidRPr="00D859C2">
        <w:t>0,</w:t>
      </w:r>
      <w:r w:rsidR="009A4F9F" w:rsidRPr="00D859C2">
        <w:t>2</w:t>
      </w:r>
      <w:r w:rsidRPr="00D859C2">
        <w:t>%</w:t>
      </w:r>
      <w:proofErr w:type="gramEnd"/>
      <w:r w:rsidRPr="00D859C2">
        <w:t xml:space="preserve">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</w:t>
      </w:r>
      <w:proofErr w:type="gramStart"/>
      <w:r w:rsidR="00AB2F46" w:rsidRPr="00D859C2">
        <w:t>0,2%</w:t>
      </w:r>
      <w:proofErr w:type="gramEnd"/>
      <w:r w:rsidR="00AB2F46" w:rsidRPr="00D859C2">
        <w:t xml:space="preserve">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</w:t>
      </w:r>
      <w:r w:rsidRPr="00D859C2">
        <w:lastRenderedPageBreak/>
        <w:t xml:space="preserve">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</w:t>
      </w:r>
      <w:proofErr w:type="gramStart"/>
      <w:r>
        <w:t>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76786E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</w:t>
      </w:r>
      <w:proofErr w:type="gramStart"/>
      <w:r w:rsidRPr="00D859C2">
        <w:t>delší</w:t>
      </w:r>
      <w:proofErr w:type="gramEnd"/>
      <w:r w:rsidRPr="00D859C2">
        <w:t xml:space="preserve">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 xml:space="preserve">informace, které jako důvěrné smluvní strana výslovně </w:t>
      </w:r>
      <w:proofErr w:type="gramStart"/>
      <w:r>
        <w:t>označí</w:t>
      </w:r>
      <w:proofErr w:type="gramEnd"/>
      <w:r>
        <w:t>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3C7D3041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9F76B4" w:rsidRPr="009F76B4">
        <w:rPr>
          <w:snapToGrid w:val="0"/>
        </w:rPr>
        <w:t>d</w:t>
      </w:r>
      <w:r w:rsidRPr="009F76B4">
        <w:rPr>
          <w:snapToGrid w:val="0"/>
        </w:rPr>
        <w:t>vou</w:t>
      </w:r>
      <w:r w:rsidR="009F76B4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jedno vyhotovení a Kupující obdrží </w:t>
      </w:r>
      <w:r w:rsidRPr="009F76B4">
        <w:rPr>
          <w:snapToGrid w:val="0"/>
        </w:rPr>
        <w:t>jedno v</w:t>
      </w:r>
      <w:r>
        <w:rPr>
          <w:snapToGrid w:val="0"/>
        </w:rPr>
        <w:t xml:space="preserve">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 xml:space="preserve">. V takovém případě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802"/>
        <w:gridCol w:w="1030"/>
        <w:gridCol w:w="38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66B7C8AD" w:rsidR="00094B12" w:rsidRPr="00D722DC" w:rsidRDefault="00094B12" w:rsidP="002B441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C78D3">
              <w:rPr>
                <w:sz w:val="22"/>
                <w:szCs w:val="22"/>
              </w:rPr>
              <w:t>Brn</w:t>
            </w:r>
            <w:r w:rsidR="000B17D1">
              <w:rPr>
                <w:sz w:val="22"/>
                <w:szCs w:val="22"/>
              </w:rPr>
              <w:t>ě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2C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37F6BB8" w:rsidR="00094B12" w:rsidRPr="001150C5" w:rsidRDefault="002C78D3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SeMeT</w:t>
            </w:r>
            <w:proofErr w:type="spellEnd"/>
            <w:r w:rsidR="00E624B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sp</w:t>
            </w:r>
            <w:r w:rsidR="00E624BA">
              <w:rPr>
                <w:b/>
                <w:sz w:val="22"/>
                <w:szCs w:val="22"/>
              </w:rPr>
              <w:t>ol.</w:t>
            </w:r>
            <w:proofErr w:type="gramEnd"/>
            <w:r w:rsidR="00E624BA">
              <w:rPr>
                <w:b/>
                <w:sz w:val="22"/>
                <w:szCs w:val="22"/>
              </w:rPr>
              <w:t xml:space="preserve"> s r.o.</w:t>
            </w:r>
          </w:p>
          <w:p w14:paraId="17D23793" w14:textId="29AE92B2" w:rsidR="00094B12" w:rsidRPr="00D722DC" w:rsidRDefault="00E624BA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Zajíček,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49E34B17" w14:textId="77777777" w:rsidR="00771C8D" w:rsidRDefault="00771C8D" w:rsidP="00094B12"/>
    <w:p w14:paraId="2FC494F0" w14:textId="77777777" w:rsidR="00771C8D" w:rsidRDefault="00771C8D" w:rsidP="00094B12"/>
    <w:p w14:paraId="033D9470" w14:textId="6C0A6E66" w:rsidR="00771C8D" w:rsidRDefault="00771C8D" w:rsidP="00094B12">
      <w:r>
        <w:t>Parní sterilizátor stolní</w:t>
      </w:r>
    </w:p>
    <w:p w14:paraId="4377F54D" w14:textId="2BBD18A1" w:rsidR="00771C8D" w:rsidRDefault="00771C8D" w:rsidP="00094B12">
      <w:r>
        <w:t xml:space="preserve">typ.: </w:t>
      </w:r>
      <w:proofErr w:type="spellStart"/>
      <w:r>
        <w:t>Vacuklav</w:t>
      </w:r>
      <w:proofErr w:type="spellEnd"/>
      <w:r>
        <w:t xml:space="preserve"> 123</w:t>
      </w:r>
    </w:p>
    <w:p w14:paraId="552FF454" w14:textId="0599EF7C" w:rsidR="00771C8D" w:rsidRDefault="0062135C" w:rsidP="00094B12">
      <w:r>
        <w:t xml:space="preserve">Výrobce: MELAG </w:t>
      </w:r>
      <w:proofErr w:type="spellStart"/>
      <w:r>
        <w:t>Medizintechnik</w:t>
      </w:r>
      <w:proofErr w:type="spellEnd"/>
    </w:p>
    <w:p w14:paraId="1066915D" w14:textId="77777777" w:rsidR="00771C8D" w:rsidRDefault="00771C8D" w:rsidP="00094B12"/>
    <w:p w14:paraId="781CE315" w14:textId="305443B8" w:rsidR="005B68B0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Roboto" w:hAnsi="Roboto" w:cs="Times New Roman"/>
          <w:b/>
          <w:bCs/>
          <w:color w:val="031933"/>
          <w:sz w:val="24"/>
          <w:szCs w:val="24"/>
        </w:rPr>
      </w:pPr>
      <w:r>
        <w:rPr>
          <w:rFonts w:ascii="Roboto" w:hAnsi="Roboto" w:cs="Times New Roman"/>
          <w:b/>
          <w:bCs/>
          <w:color w:val="031933"/>
          <w:sz w:val="24"/>
          <w:szCs w:val="24"/>
        </w:rPr>
        <w:t xml:space="preserve">Parní </w:t>
      </w:r>
      <w:proofErr w:type="gramStart"/>
      <w:r>
        <w:rPr>
          <w:rFonts w:ascii="Roboto" w:hAnsi="Roboto" w:cs="Times New Roman"/>
          <w:b/>
          <w:bCs/>
          <w:color w:val="031933"/>
          <w:sz w:val="24"/>
          <w:szCs w:val="24"/>
        </w:rPr>
        <w:t>sterilizátor -</w:t>
      </w:r>
      <w:r w:rsidRPr="00495BBE">
        <w:rPr>
          <w:rFonts w:ascii="Roboto" w:hAnsi="Roboto" w:cs="Times New Roman"/>
          <w:b/>
          <w:bCs/>
          <w:color w:val="031933"/>
          <w:sz w:val="24"/>
          <w:szCs w:val="24"/>
        </w:rPr>
        <w:t xml:space="preserve"> objemem</w:t>
      </w:r>
      <w:proofErr w:type="gramEnd"/>
      <w:r w:rsidRPr="00495BBE">
        <w:rPr>
          <w:rFonts w:ascii="Roboto" w:hAnsi="Roboto" w:cs="Times New Roman"/>
          <w:b/>
          <w:bCs/>
          <w:color w:val="031933"/>
          <w:sz w:val="24"/>
          <w:szCs w:val="24"/>
        </w:rPr>
        <w:t xml:space="preserve"> komory 23 litrů</w:t>
      </w:r>
    </w:p>
    <w:p w14:paraId="5593C020" w14:textId="2BB6B214" w:rsidR="005B68B0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Roboto" w:hAnsi="Roboto" w:cs="Times New Roman"/>
          <w:b/>
          <w:bCs/>
          <w:color w:val="031933"/>
          <w:sz w:val="24"/>
          <w:szCs w:val="24"/>
        </w:rPr>
      </w:pPr>
      <w:r w:rsidRPr="00495BBE">
        <w:rPr>
          <w:rFonts w:ascii="Roboto" w:hAnsi="Roboto" w:cs="Times New Roman"/>
          <w:b/>
          <w:bCs/>
          <w:color w:val="031933"/>
          <w:sz w:val="24"/>
          <w:szCs w:val="24"/>
        </w:rPr>
        <w:t>určen pro sterilizaci všech druhů materiálů určených k parní sterilizaci</w:t>
      </w:r>
    </w:p>
    <w:p w14:paraId="36500B87" w14:textId="77777777" w:rsidR="005B68B0" w:rsidRPr="00495BBE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5BBE">
        <w:rPr>
          <w:rFonts w:ascii="Roboto" w:hAnsi="Roboto" w:cs="Times New Roman"/>
          <w:b/>
          <w:bCs/>
          <w:color w:val="031933"/>
          <w:sz w:val="24"/>
          <w:szCs w:val="24"/>
        </w:rPr>
        <w:t>Charakteristika:</w:t>
      </w:r>
    </w:p>
    <w:p w14:paraId="37D708B8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Varianta s manuálním plněním</w:t>
      </w:r>
    </w:p>
    <w:p w14:paraId="4F764A0B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Prodloužená komora pro více materiálu v jedné vsázce</w:t>
      </w:r>
    </w:p>
    <w:p w14:paraId="0803619D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Vsázka max. 6 kg nástrojů/</w:t>
      </w:r>
      <w:proofErr w:type="gramStart"/>
      <w:r w:rsidRPr="00495BBE">
        <w:rPr>
          <w:rFonts w:ascii="Roboto" w:hAnsi="Roboto" w:cs="Times New Roman"/>
          <w:color w:val="031933"/>
          <w:sz w:val="24"/>
          <w:szCs w:val="24"/>
        </w:rPr>
        <w:t>2kg</w:t>
      </w:r>
      <w:proofErr w:type="gramEnd"/>
      <w:r w:rsidRPr="00495BBE">
        <w:rPr>
          <w:rFonts w:ascii="Roboto" w:hAnsi="Roboto" w:cs="Times New Roman"/>
          <w:color w:val="031933"/>
          <w:sz w:val="24"/>
          <w:szCs w:val="24"/>
        </w:rPr>
        <w:t xml:space="preserve"> porézní materiál</w:t>
      </w:r>
    </w:p>
    <w:p w14:paraId="04C480CE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Smart-</w:t>
      </w:r>
      <w:proofErr w:type="spellStart"/>
      <w:r w:rsidRPr="00495BBE">
        <w:rPr>
          <w:rFonts w:ascii="Roboto" w:hAnsi="Roboto" w:cs="Times New Roman"/>
          <w:color w:val="031933"/>
          <w:sz w:val="24"/>
          <w:szCs w:val="24"/>
        </w:rPr>
        <w:t>Touch</w:t>
      </w:r>
      <w:proofErr w:type="spellEnd"/>
      <w:r w:rsidRPr="00495BBE">
        <w:rPr>
          <w:rFonts w:ascii="Roboto" w:hAnsi="Roboto" w:cs="Times New Roman"/>
          <w:color w:val="031933"/>
          <w:sz w:val="24"/>
          <w:szCs w:val="24"/>
        </w:rPr>
        <w:t xml:space="preserve"> displej s </w:t>
      </w:r>
      <w:r>
        <w:rPr>
          <w:rFonts w:ascii="Roboto" w:hAnsi="Roboto" w:cs="Times New Roman"/>
          <w:color w:val="031933"/>
          <w:sz w:val="24"/>
          <w:szCs w:val="24"/>
        </w:rPr>
        <w:t>kontrolkami LED stavu procesů</w:t>
      </w:r>
    </w:p>
    <w:p w14:paraId="018E1E3B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>
        <w:rPr>
          <w:rFonts w:ascii="Roboto" w:hAnsi="Roboto" w:cs="Times New Roman"/>
          <w:color w:val="031933"/>
          <w:sz w:val="24"/>
          <w:szCs w:val="24"/>
        </w:rPr>
        <w:t>J</w:t>
      </w:r>
      <w:r w:rsidRPr="00495BBE">
        <w:rPr>
          <w:rFonts w:ascii="Roboto" w:hAnsi="Roboto" w:cs="Times New Roman"/>
          <w:color w:val="031933"/>
          <w:sz w:val="24"/>
          <w:szCs w:val="24"/>
        </w:rPr>
        <w:t>ednoduché a přehledné ovládání</w:t>
      </w:r>
    </w:p>
    <w:p w14:paraId="442A642C" w14:textId="4AE32472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>
        <w:rPr>
          <w:rFonts w:ascii="Roboto" w:hAnsi="Roboto" w:cs="Times New Roman"/>
          <w:color w:val="031933"/>
          <w:sz w:val="24"/>
          <w:szCs w:val="24"/>
        </w:rPr>
        <w:t>V</w:t>
      </w:r>
      <w:r w:rsidRPr="00495BBE">
        <w:rPr>
          <w:rFonts w:ascii="Roboto" w:hAnsi="Roboto" w:cs="Times New Roman"/>
          <w:color w:val="031933"/>
          <w:sz w:val="24"/>
          <w:szCs w:val="24"/>
        </w:rPr>
        <w:t>ýkonná třída B s kvali</w:t>
      </w:r>
      <w:r w:rsidR="008A3210">
        <w:rPr>
          <w:rFonts w:ascii="Roboto" w:hAnsi="Roboto" w:cs="Times New Roman"/>
          <w:color w:val="031933"/>
          <w:sz w:val="24"/>
          <w:szCs w:val="24"/>
        </w:rPr>
        <w:t>t</w:t>
      </w:r>
      <w:r w:rsidRPr="00495BBE">
        <w:rPr>
          <w:rFonts w:ascii="Roboto" w:hAnsi="Roboto" w:cs="Times New Roman"/>
          <w:color w:val="031933"/>
          <w:sz w:val="24"/>
          <w:szCs w:val="24"/>
        </w:rPr>
        <w:t>ním sušením</w:t>
      </w:r>
    </w:p>
    <w:p w14:paraId="2951C24E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Pohotovostní režim – úspora energie</w:t>
      </w:r>
    </w:p>
    <w:p w14:paraId="4097F2DE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Dokumentace procesu USB nebo síťové připojení</w:t>
      </w:r>
    </w:p>
    <w:p w14:paraId="204D01E5" w14:textId="77777777" w:rsidR="005B68B0" w:rsidRPr="00495BBE" w:rsidRDefault="005B68B0" w:rsidP="005B68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Jednoduchá péče – plnění vodou, čištění nádrže, výměna filtrů</w:t>
      </w:r>
    </w:p>
    <w:p w14:paraId="569457C6" w14:textId="77777777" w:rsidR="005B68B0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Roboto" w:hAnsi="Roboto" w:cs="Times New Roman"/>
          <w:color w:val="031933"/>
          <w:sz w:val="24"/>
          <w:szCs w:val="24"/>
        </w:rPr>
      </w:pPr>
    </w:p>
    <w:p w14:paraId="203E7B92" w14:textId="77777777" w:rsidR="005B68B0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 xml:space="preserve">Rozměry přístroje: 500 x 470 x 640 mm </w:t>
      </w:r>
      <w:proofErr w:type="gramStart"/>
      <w:r w:rsidRPr="00495BBE">
        <w:rPr>
          <w:rFonts w:ascii="Roboto" w:hAnsi="Roboto" w:cs="Times New Roman"/>
          <w:color w:val="031933"/>
          <w:sz w:val="24"/>
          <w:szCs w:val="24"/>
        </w:rPr>
        <w:t>( v</w:t>
      </w:r>
      <w:proofErr w:type="gramEnd"/>
      <w:r w:rsidRPr="00495BBE">
        <w:rPr>
          <w:rFonts w:ascii="Roboto" w:hAnsi="Roboto" w:cs="Times New Roman"/>
          <w:color w:val="031933"/>
          <w:sz w:val="24"/>
          <w:szCs w:val="24"/>
        </w:rPr>
        <w:t> x š x hl)</w:t>
      </w:r>
    </w:p>
    <w:p w14:paraId="181751C1" w14:textId="77777777" w:rsidR="005B68B0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>Rozměry komory: 250 mm/ průměr x 450 mm/ hloubka</w:t>
      </w:r>
    </w:p>
    <w:p w14:paraId="51A8180D" w14:textId="77777777" w:rsidR="005B68B0" w:rsidRPr="00495BBE" w:rsidRDefault="005B68B0" w:rsidP="005B68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31933"/>
          <w:sz w:val="24"/>
          <w:szCs w:val="24"/>
        </w:rPr>
      </w:pPr>
      <w:r w:rsidRPr="00495BBE">
        <w:rPr>
          <w:rFonts w:ascii="Roboto" w:hAnsi="Roboto" w:cs="Times New Roman"/>
          <w:color w:val="031933"/>
          <w:sz w:val="24"/>
          <w:szCs w:val="24"/>
        </w:rPr>
        <w:t xml:space="preserve">Max. příkon při provozu: </w:t>
      </w:r>
      <w:proofErr w:type="gramStart"/>
      <w:r w:rsidRPr="00495BBE">
        <w:rPr>
          <w:rFonts w:ascii="Roboto" w:hAnsi="Roboto" w:cs="Times New Roman"/>
          <w:color w:val="031933"/>
          <w:sz w:val="24"/>
          <w:szCs w:val="24"/>
        </w:rPr>
        <w:t>2100W</w:t>
      </w:r>
      <w:proofErr w:type="gramEnd"/>
    </w:p>
    <w:p w14:paraId="139CD13C" w14:textId="68DCC275" w:rsidR="00A05D45" w:rsidRPr="00994805" w:rsidRDefault="00A05D45" w:rsidP="00994805">
      <w:pPr>
        <w:ind w:left="284" w:hanging="5"/>
      </w:pPr>
    </w:p>
    <w:sectPr w:rsidR="00A05D45" w:rsidRPr="0099480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205C" w14:textId="77777777" w:rsidR="00EB447D" w:rsidRDefault="00EB447D" w:rsidP="00FF18EB">
      <w:pPr>
        <w:spacing w:line="240" w:lineRule="auto"/>
      </w:pPr>
      <w:r>
        <w:separator/>
      </w:r>
    </w:p>
    <w:p w14:paraId="3CA72657" w14:textId="77777777" w:rsidR="00EB447D" w:rsidRDefault="00EB447D"/>
  </w:endnote>
  <w:endnote w:type="continuationSeparator" w:id="0">
    <w:p w14:paraId="29A229AF" w14:textId="77777777" w:rsidR="00EB447D" w:rsidRDefault="00EB447D" w:rsidP="00FF18EB">
      <w:pPr>
        <w:spacing w:line="240" w:lineRule="auto"/>
      </w:pPr>
      <w:r>
        <w:continuationSeparator/>
      </w:r>
    </w:p>
    <w:p w14:paraId="4D25F5B7" w14:textId="77777777" w:rsidR="00EB447D" w:rsidRDefault="00EB4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4057C65A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2B4417" w:rsidRPr="002B4417">
          <w:rPr>
            <w:rFonts w:ascii="Arial" w:hAnsi="Arial"/>
            <w:noProof/>
            <w:sz w:val="20"/>
            <w:lang w:val="cs-CZ"/>
          </w:rPr>
          <w:t>6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5C6A" w14:textId="77777777" w:rsidR="00EB447D" w:rsidRDefault="00EB447D" w:rsidP="00FF18EB">
      <w:pPr>
        <w:spacing w:line="240" w:lineRule="auto"/>
      </w:pPr>
      <w:r>
        <w:separator/>
      </w:r>
    </w:p>
    <w:p w14:paraId="21EB1791" w14:textId="77777777" w:rsidR="00EB447D" w:rsidRDefault="00EB447D"/>
  </w:footnote>
  <w:footnote w:type="continuationSeparator" w:id="0">
    <w:p w14:paraId="6E0B483E" w14:textId="77777777" w:rsidR="00EB447D" w:rsidRDefault="00EB447D" w:rsidP="00FF18EB">
      <w:pPr>
        <w:spacing w:line="240" w:lineRule="auto"/>
      </w:pPr>
      <w:r>
        <w:continuationSeparator/>
      </w:r>
    </w:p>
    <w:p w14:paraId="41DF5FEB" w14:textId="77777777" w:rsidR="00EB447D" w:rsidRDefault="00EB4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9637" w14:textId="7BE3357B" w:rsidR="00FB6BD0" w:rsidRPr="00FB6BD0" w:rsidRDefault="00FB6BD0" w:rsidP="00FB6BD0">
    <w:pPr>
      <w:pStyle w:val="Zhlav"/>
      <w:jc w:val="right"/>
      <w:rPr>
        <w:lang w:val="cs-CZ"/>
      </w:rPr>
    </w:pPr>
    <w:r>
      <w:rPr>
        <w:lang w:val="cs-CZ"/>
      </w:rPr>
      <w:t>KP-0570-</w:t>
    </w:r>
    <w:proofErr w:type="gramStart"/>
    <w:r>
      <w:rPr>
        <w:lang w:val="cs-CZ"/>
      </w:rPr>
      <w:t>2024-Mc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4626"/>
    <w:multiLevelType w:val="multilevel"/>
    <w:tmpl w:val="C08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4966">
    <w:abstractNumId w:val="1"/>
  </w:num>
  <w:num w:numId="2" w16cid:durableId="1326007658">
    <w:abstractNumId w:val="7"/>
  </w:num>
  <w:num w:numId="3" w16cid:durableId="45181673">
    <w:abstractNumId w:val="7"/>
  </w:num>
  <w:num w:numId="4" w16cid:durableId="1342463439">
    <w:abstractNumId w:val="11"/>
  </w:num>
  <w:num w:numId="5" w16cid:durableId="1692219879">
    <w:abstractNumId w:val="8"/>
  </w:num>
  <w:num w:numId="6" w16cid:durableId="1496843687">
    <w:abstractNumId w:val="2"/>
  </w:num>
  <w:num w:numId="7" w16cid:durableId="738794202">
    <w:abstractNumId w:val="6"/>
  </w:num>
  <w:num w:numId="8" w16cid:durableId="307176749">
    <w:abstractNumId w:val="12"/>
  </w:num>
  <w:num w:numId="9" w16cid:durableId="1976401882">
    <w:abstractNumId w:val="4"/>
  </w:num>
  <w:num w:numId="10" w16cid:durableId="685517350">
    <w:abstractNumId w:val="9"/>
  </w:num>
  <w:num w:numId="11" w16cid:durableId="1221475860">
    <w:abstractNumId w:val="10"/>
  </w:num>
  <w:num w:numId="12" w16cid:durableId="345794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774691">
    <w:abstractNumId w:val="7"/>
  </w:num>
  <w:num w:numId="14" w16cid:durableId="705444939">
    <w:abstractNumId w:val="0"/>
  </w:num>
  <w:num w:numId="15" w16cid:durableId="1513254056">
    <w:abstractNumId w:val="3"/>
  </w:num>
  <w:num w:numId="16" w16cid:durableId="10775513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7D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E4247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8FE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4417"/>
    <w:rsid w:val="002B7B6F"/>
    <w:rsid w:val="002C1071"/>
    <w:rsid w:val="002C2981"/>
    <w:rsid w:val="002C78D3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07FC8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242F4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A31F8"/>
    <w:rsid w:val="005A3B45"/>
    <w:rsid w:val="005A6D97"/>
    <w:rsid w:val="005B68B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135C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230A0"/>
    <w:rsid w:val="00735D41"/>
    <w:rsid w:val="0073763C"/>
    <w:rsid w:val="00743435"/>
    <w:rsid w:val="00744E5D"/>
    <w:rsid w:val="0075205D"/>
    <w:rsid w:val="0076786E"/>
    <w:rsid w:val="00771C8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3210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9F76B4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099C"/>
    <w:rsid w:val="00A71BE8"/>
    <w:rsid w:val="00A739A7"/>
    <w:rsid w:val="00A73C62"/>
    <w:rsid w:val="00A74BD6"/>
    <w:rsid w:val="00A75857"/>
    <w:rsid w:val="00A92F5B"/>
    <w:rsid w:val="00A9354F"/>
    <w:rsid w:val="00A937E1"/>
    <w:rsid w:val="00A94318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E7A0E"/>
    <w:rsid w:val="00AF0406"/>
    <w:rsid w:val="00AF0AFE"/>
    <w:rsid w:val="00AF126C"/>
    <w:rsid w:val="00AF1391"/>
    <w:rsid w:val="00AF2763"/>
    <w:rsid w:val="00AF28BB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6200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765D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24BA"/>
    <w:rsid w:val="00E710A0"/>
    <w:rsid w:val="00E80D56"/>
    <w:rsid w:val="00E826DA"/>
    <w:rsid w:val="00E84314"/>
    <w:rsid w:val="00E9244D"/>
    <w:rsid w:val="00E928B3"/>
    <w:rsid w:val="00EA0F46"/>
    <w:rsid w:val="00EB447D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B6BD0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36A31"/>
  <w15:docId w15:val="{12E653E5-4843-4C23-B849-43B689F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3D6EF32E-A965-4A57-A0B0-BC0A4543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E5DAF-49B2-45A5-B2A4-820C2AB21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4543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dc:description>verze 7-7-2016
KS - zdravotnický prostředek</dc:description>
  <cp:lastModifiedBy>Mičánková Lucie</cp:lastModifiedBy>
  <cp:revision>15</cp:revision>
  <cp:lastPrinted>2024-01-22T13:37:00Z</cp:lastPrinted>
  <dcterms:created xsi:type="dcterms:W3CDTF">2024-01-21T18:14:00Z</dcterms:created>
  <dcterms:modified xsi:type="dcterms:W3CDTF">2024-02-28T14:07:00Z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