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1C35" w14:textId="7FB9BC77" w:rsidR="00496994" w:rsidRDefault="00496994" w:rsidP="00496994">
      <w:pPr>
        <w:pStyle w:val="csx2"/>
        <w:ind w:left="705" w:hanging="705"/>
        <w:jc w:val="both"/>
        <w:rPr>
          <w:rFonts w:ascii="Arial" w:hAnsi="Arial" w:cs="Arial"/>
          <w:b/>
          <w:noProof/>
          <w:sz w:val="22"/>
          <w:szCs w:val="22"/>
          <w:lang w:val="cs-CZ"/>
        </w:rPr>
      </w:pPr>
      <w:r w:rsidRPr="00CD5F8A">
        <w:rPr>
          <w:rFonts w:ascii="Arial" w:hAnsi="Arial" w:cs="Arial"/>
          <w:b/>
          <w:sz w:val="22"/>
          <w:szCs w:val="22"/>
        </w:rPr>
        <w:t xml:space="preserve">č. </w:t>
      </w:r>
      <w:r w:rsidRPr="00CD5F8A">
        <w:rPr>
          <w:rFonts w:ascii="Arial" w:hAnsi="Arial" w:cs="Arial"/>
          <w:b/>
          <w:sz w:val="22"/>
          <w:szCs w:val="22"/>
          <w:lang w:val="cs-CZ"/>
        </w:rPr>
        <w:t xml:space="preserve">smlouvy TSK: </w:t>
      </w:r>
      <w:r w:rsidR="00695107" w:rsidRPr="00CD5F8A">
        <w:rPr>
          <w:rFonts w:ascii="Arial" w:hAnsi="Arial" w:cs="Arial"/>
          <w:b/>
          <w:noProof/>
          <w:sz w:val="22"/>
          <w:szCs w:val="22"/>
          <w:lang w:val="cs-CZ"/>
        </w:rPr>
        <w:t>3/20/4056/138</w:t>
      </w:r>
      <w:r w:rsidR="00AA1657">
        <w:rPr>
          <w:rFonts w:ascii="Arial" w:hAnsi="Arial" w:cs="Arial"/>
          <w:b/>
          <w:noProof/>
          <w:sz w:val="22"/>
          <w:szCs w:val="22"/>
          <w:lang w:val="cs-CZ"/>
        </w:rPr>
        <w:t>/1</w:t>
      </w:r>
    </w:p>
    <w:p w14:paraId="13800C3B" w14:textId="32DF0B34" w:rsidR="00780B7D" w:rsidRPr="00CD5F8A" w:rsidRDefault="00780B7D" w:rsidP="00496994">
      <w:pPr>
        <w:pStyle w:val="csx2"/>
        <w:ind w:left="705" w:hanging="705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noProof/>
          <w:sz w:val="22"/>
          <w:szCs w:val="22"/>
          <w:lang w:val="cs-CZ"/>
        </w:rPr>
        <w:t>č. smlouvy Pontex: 20 219 00</w:t>
      </w:r>
    </w:p>
    <w:p w14:paraId="36595E80" w14:textId="77777777" w:rsidR="00496994" w:rsidRPr="00CD5F8A" w:rsidRDefault="00496994" w:rsidP="0049699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E8A23C1" w14:textId="77777777" w:rsidR="0098197A" w:rsidRPr="00CD5F8A" w:rsidRDefault="0098197A" w:rsidP="00496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5846D8" w14:textId="11C7C7D3" w:rsidR="00496994" w:rsidRPr="00CD5F8A" w:rsidRDefault="00B41825" w:rsidP="00496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D5F8A">
        <w:rPr>
          <w:rFonts w:ascii="Arial" w:hAnsi="Arial" w:cs="Arial"/>
          <w:b/>
          <w:bCs/>
          <w:sz w:val="22"/>
          <w:szCs w:val="22"/>
        </w:rPr>
        <w:t>DOHODA O VYPOŘÁDÁNÍ</w:t>
      </w:r>
    </w:p>
    <w:p w14:paraId="1293882F" w14:textId="77777777" w:rsidR="00B41825" w:rsidRPr="00CD5F8A" w:rsidRDefault="00B41825" w:rsidP="00B4182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0582EAE" w14:textId="77777777" w:rsidR="00496994" w:rsidRPr="00CD5F8A" w:rsidRDefault="00496994" w:rsidP="00B4182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D06A442" w14:textId="3B134099" w:rsidR="00496994" w:rsidRPr="00CD5F8A" w:rsidRDefault="00C3785D" w:rsidP="00B418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D5F8A">
        <w:rPr>
          <w:rFonts w:ascii="Arial" w:hAnsi="Arial" w:cs="Arial"/>
          <w:b/>
          <w:bCs/>
          <w:sz w:val="22"/>
          <w:szCs w:val="22"/>
        </w:rPr>
        <w:t>Článek I.</w:t>
      </w:r>
    </w:p>
    <w:p w14:paraId="40DC2427" w14:textId="460769CB" w:rsidR="00B41825" w:rsidRPr="00CD5F8A" w:rsidRDefault="00B41825" w:rsidP="00B418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D5F8A">
        <w:rPr>
          <w:rFonts w:ascii="Arial" w:hAnsi="Arial" w:cs="Arial"/>
          <w:b/>
          <w:bCs/>
          <w:sz w:val="22"/>
          <w:szCs w:val="22"/>
        </w:rPr>
        <w:t>smluvní stran</w:t>
      </w:r>
      <w:r w:rsidR="00C3785D" w:rsidRPr="00CD5F8A">
        <w:rPr>
          <w:rFonts w:ascii="Arial" w:hAnsi="Arial" w:cs="Arial"/>
          <w:b/>
          <w:bCs/>
          <w:sz w:val="22"/>
          <w:szCs w:val="22"/>
        </w:rPr>
        <w:t>y</w:t>
      </w:r>
    </w:p>
    <w:p w14:paraId="5863C508" w14:textId="77777777" w:rsidR="00B41825" w:rsidRPr="00CD5F8A" w:rsidRDefault="00B41825" w:rsidP="00B4182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8AAE15" w14:textId="77777777" w:rsidR="00B41825" w:rsidRPr="00CD5F8A" w:rsidRDefault="00B41825" w:rsidP="00B4182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5B8C2A" w14:textId="2E5F884D" w:rsidR="00BE1C43" w:rsidRPr="00BE1C43" w:rsidRDefault="00BE1C43" w:rsidP="00BE1C4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BE1C43">
        <w:rPr>
          <w:rFonts w:ascii="Arial" w:eastAsia="TimesNewRoman" w:hAnsi="Arial" w:cs="Arial"/>
          <w:b/>
          <w:bCs/>
        </w:rPr>
        <w:t>Technická správa komunikací hl. m. Prahy, a.s.</w:t>
      </w:r>
      <w:r w:rsidRPr="00BE1C43">
        <w:rPr>
          <w:rFonts w:ascii="Arial" w:eastAsia="TimesNewRoman" w:hAnsi="Arial" w:cs="Arial"/>
        </w:rPr>
        <w:t xml:space="preserve"> </w:t>
      </w:r>
    </w:p>
    <w:p w14:paraId="6D1D103B" w14:textId="77777777" w:rsidR="00BE1C43" w:rsidRPr="00CD5F8A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 xml:space="preserve">se sídlem Veletržní 1623/24, 170 00, Praha 7, </w:t>
      </w:r>
    </w:p>
    <w:p w14:paraId="0F0493A2" w14:textId="77777777" w:rsidR="00BE1C43" w:rsidRPr="00CD5F8A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 xml:space="preserve">IČO: 03447286, DIČ: CZ03447286 </w:t>
      </w:r>
    </w:p>
    <w:p w14:paraId="3DA06C6B" w14:textId="77777777" w:rsidR="00BE1C43" w:rsidRPr="00CD5F8A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zapsan</w:t>
      </w:r>
      <w:r>
        <w:rPr>
          <w:rFonts w:ascii="Arial" w:eastAsia="TimesNewRoman" w:hAnsi="Arial" w:cs="Arial"/>
        </w:rPr>
        <w:t>á</w:t>
      </w:r>
      <w:r w:rsidRPr="00CD5F8A">
        <w:rPr>
          <w:rFonts w:ascii="Arial" w:eastAsia="TimesNewRoman" w:hAnsi="Arial" w:cs="Arial"/>
        </w:rPr>
        <w:t xml:space="preserve"> v obchodním rejstříku vedeném Městským soudem v Praze, spis. zn. B</w:t>
      </w:r>
    </w:p>
    <w:p w14:paraId="4E6C120C" w14:textId="77777777" w:rsidR="00BE1C43" w:rsidRPr="00CD5F8A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 xml:space="preserve"> 20059</w:t>
      </w:r>
    </w:p>
    <w:p w14:paraId="22FD33A6" w14:textId="2B4D1098" w:rsidR="00BE1C43" w:rsidRDefault="00BE1C43" w:rsidP="00BE1C43">
      <w:pPr>
        <w:pStyle w:val="Text11"/>
        <w:spacing w:before="0" w:after="0"/>
        <w:ind w:left="0"/>
        <w:rPr>
          <w:rFonts w:ascii="Arial" w:hAnsi="Arial" w:cs="Arial"/>
          <w:szCs w:val="22"/>
        </w:rPr>
      </w:pPr>
      <w:r>
        <w:rPr>
          <w:rFonts w:ascii="Arial" w:eastAsia="TimesNewRoman" w:hAnsi="Arial" w:cs="Arial"/>
          <w:szCs w:val="22"/>
        </w:rPr>
        <w:t xml:space="preserve">            </w:t>
      </w:r>
      <w:r w:rsidRPr="00DF7E65">
        <w:rPr>
          <w:rFonts w:ascii="Arial" w:eastAsia="TimesNewRoman" w:hAnsi="Arial" w:cs="Arial"/>
          <w:szCs w:val="22"/>
        </w:rPr>
        <w:t xml:space="preserve">zastoupena </w:t>
      </w:r>
      <w:r w:rsidRPr="00DF7E65">
        <w:rPr>
          <w:rFonts w:ascii="Arial" w:hAnsi="Arial" w:cs="Arial"/>
          <w:szCs w:val="22"/>
        </w:rPr>
        <w:t xml:space="preserve">Mgr. Jozefem </w:t>
      </w:r>
      <w:proofErr w:type="spellStart"/>
      <w:r w:rsidRPr="00DF7E65">
        <w:rPr>
          <w:rFonts w:ascii="Arial" w:hAnsi="Arial" w:cs="Arial"/>
          <w:szCs w:val="22"/>
        </w:rPr>
        <w:t>Sinčákem</w:t>
      </w:r>
      <w:proofErr w:type="spellEnd"/>
      <w:r w:rsidRPr="00DF7E65">
        <w:rPr>
          <w:rFonts w:ascii="Arial" w:hAnsi="Arial" w:cs="Arial"/>
          <w:szCs w:val="22"/>
        </w:rPr>
        <w:t>, MBA, generálním ředitelem a předsedou</w:t>
      </w:r>
      <w:r>
        <w:rPr>
          <w:rFonts w:ascii="Arial" w:hAnsi="Arial" w:cs="Arial"/>
          <w:szCs w:val="22"/>
        </w:rPr>
        <w:t xml:space="preserve"> </w:t>
      </w:r>
    </w:p>
    <w:p w14:paraId="66B32040" w14:textId="77777777" w:rsidR="00BE1C43" w:rsidRPr="00DF7E65" w:rsidRDefault="00BE1C43" w:rsidP="00BE1C43">
      <w:pPr>
        <w:pStyle w:val="Text11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Pr="00DF7E65">
        <w:rPr>
          <w:rFonts w:ascii="Arial" w:hAnsi="Arial" w:cs="Arial"/>
          <w:szCs w:val="22"/>
        </w:rPr>
        <w:t>představenstva</w:t>
      </w:r>
      <w:r>
        <w:rPr>
          <w:rFonts w:ascii="Arial" w:hAnsi="Arial" w:cs="Arial"/>
          <w:szCs w:val="22"/>
        </w:rPr>
        <w:t xml:space="preserve"> </w:t>
      </w:r>
      <w:r w:rsidRPr="00DF7E65">
        <w:rPr>
          <w:rFonts w:ascii="Arial" w:hAnsi="Arial" w:cs="Arial"/>
          <w:bCs/>
          <w:szCs w:val="22"/>
        </w:rPr>
        <w:t>a Ing. Josefem Richtrem, místopředsedou představenstva</w:t>
      </w:r>
    </w:p>
    <w:p w14:paraId="00E912E4" w14:textId="77777777" w:rsidR="00BE1C43" w:rsidRPr="00DF7E65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>název a číslo účtu: MHMP-TSK hl. m. Prahy, Veletržní 1623/24, 170 00 Praha 7</w:t>
      </w:r>
    </w:p>
    <w:p w14:paraId="08866DED" w14:textId="77777777" w:rsidR="00BE1C43" w:rsidRPr="00DF7E65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 xml:space="preserve">č. </w:t>
      </w:r>
      <w:proofErr w:type="spellStart"/>
      <w:r w:rsidRPr="00DF7E65">
        <w:rPr>
          <w:rFonts w:ascii="Arial" w:eastAsia="TimesNewRoman" w:hAnsi="Arial" w:cs="Arial"/>
        </w:rPr>
        <w:t>ú.</w:t>
      </w:r>
      <w:proofErr w:type="spellEnd"/>
      <w:r w:rsidRPr="00DF7E65">
        <w:rPr>
          <w:rFonts w:ascii="Arial" w:eastAsia="TimesNewRoman" w:hAnsi="Arial" w:cs="Arial"/>
        </w:rPr>
        <w:t xml:space="preserve">: 29022-5157998/6000, bank. spoj.: PPF banka a.s., Evropská 2690/17, 160 41 </w:t>
      </w:r>
    </w:p>
    <w:p w14:paraId="2833E050" w14:textId="77777777" w:rsidR="00BE1C43" w:rsidRPr="00DF7E65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>Praha 6</w:t>
      </w:r>
    </w:p>
    <w:p w14:paraId="6931196A" w14:textId="77777777" w:rsidR="00BE1C43" w:rsidRPr="00DF7E65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 xml:space="preserve">Při podpisu této dohody a veškerých jejích dodatků jsou oprávněni zastupovat   </w:t>
      </w:r>
    </w:p>
    <w:p w14:paraId="1BA8F07B" w14:textId="77777777" w:rsidR="00BE1C43" w:rsidRPr="00DF7E65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 xml:space="preserve">společnost dva členové představenstva společně, z nichž nejméně jeden musí být </w:t>
      </w:r>
    </w:p>
    <w:p w14:paraId="3B1E6F4F" w14:textId="77777777" w:rsidR="00BE1C43" w:rsidRPr="00CD5F8A" w:rsidRDefault="00BE1C43" w:rsidP="00BE1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DF7E65">
        <w:rPr>
          <w:rFonts w:ascii="Arial" w:eastAsia="TimesNewRoman" w:hAnsi="Arial" w:cs="Arial"/>
        </w:rPr>
        <w:t>předsedou anebo místopředsedou představenstva.</w:t>
      </w:r>
      <w:r w:rsidRPr="00CD5F8A" w:rsidDel="00611EE3">
        <w:rPr>
          <w:rFonts w:ascii="Arial" w:eastAsia="TimesNewRoman" w:hAnsi="Arial" w:cs="Arial"/>
        </w:rPr>
        <w:t xml:space="preserve"> </w:t>
      </w:r>
    </w:p>
    <w:p w14:paraId="67A87484" w14:textId="77777777" w:rsidR="00D159BC" w:rsidRPr="00CD5F8A" w:rsidRDefault="00D159BC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37D3D179" w14:textId="0450F283" w:rsidR="00B41825" w:rsidRPr="00CD5F8A" w:rsidRDefault="00B41825" w:rsidP="005D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(dále jen "</w:t>
      </w:r>
      <w:r w:rsidR="005038FA" w:rsidRPr="00CD5F8A">
        <w:rPr>
          <w:rFonts w:ascii="Arial" w:eastAsia="TimesNewRoman" w:hAnsi="Arial" w:cs="Arial"/>
          <w:b/>
          <w:bCs/>
        </w:rPr>
        <w:t>TSK</w:t>
      </w:r>
      <w:r w:rsidRPr="00CD5F8A">
        <w:rPr>
          <w:rFonts w:ascii="Arial" w:eastAsia="TimesNewRoman" w:hAnsi="Arial" w:cs="Arial"/>
        </w:rPr>
        <w:t>")</w:t>
      </w:r>
    </w:p>
    <w:p w14:paraId="3D83A0D4" w14:textId="77777777" w:rsidR="002B7197" w:rsidRPr="00CD5F8A" w:rsidRDefault="002B7197" w:rsidP="002B71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jako objednatel na straně jedné</w:t>
      </w:r>
    </w:p>
    <w:p w14:paraId="7DBDBF87" w14:textId="77777777" w:rsidR="002B7197" w:rsidRPr="00CD5F8A" w:rsidRDefault="002B7197" w:rsidP="002B71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5417E293" w14:textId="77777777" w:rsidR="00B41825" w:rsidRPr="00CD5F8A" w:rsidRDefault="00B41825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335C1684" w14:textId="448AE3FE" w:rsidR="00B41825" w:rsidRPr="00CD5F8A" w:rsidRDefault="00B41825" w:rsidP="005D5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a</w:t>
      </w:r>
    </w:p>
    <w:p w14:paraId="6ED89C1E" w14:textId="77777777" w:rsidR="00B41825" w:rsidRPr="00CD5F8A" w:rsidRDefault="00B41825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114DEEB7" w14:textId="77777777" w:rsidR="00D159BC" w:rsidRPr="00CD5F8A" w:rsidRDefault="00D159BC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</w:p>
    <w:p w14:paraId="7F9A25BB" w14:textId="7229EF02" w:rsidR="00695107" w:rsidRPr="00CD5F8A" w:rsidRDefault="00695107" w:rsidP="00695107">
      <w:pPr>
        <w:spacing w:after="0"/>
        <w:rPr>
          <w:rFonts w:ascii="Arial" w:hAnsi="Arial" w:cs="Arial"/>
          <w:b/>
        </w:rPr>
      </w:pPr>
      <w:r w:rsidRPr="00CD5F8A">
        <w:rPr>
          <w:rFonts w:ascii="Arial" w:hAnsi="Arial" w:cs="Arial"/>
          <w:b/>
        </w:rPr>
        <w:t>2.  Pontex, spol. s r.o.</w:t>
      </w:r>
    </w:p>
    <w:p w14:paraId="57A6818D" w14:textId="4B217DED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se sídlem: Bezová 1658/1, 147 00  Praha 4, Braník </w:t>
      </w:r>
    </w:p>
    <w:p w14:paraId="29C4D990" w14:textId="1A6948A3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Zapsána v obchodním rejstříku Městského soudu v Praze, spis. zn.  C 2994                 </w:t>
      </w:r>
    </w:p>
    <w:p w14:paraId="7FDB2CE5" w14:textId="6C35F7DC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IČO: 40763439</w:t>
      </w:r>
    </w:p>
    <w:p w14:paraId="16564741" w14:textId="13DED4A8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DIČ: CZ40763439</w:t>
      </w:r>
    </w:p>
    <w:p w14:paraId="7B8AD702" w14:textId="281BDAA8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Bankovní spojení: ČSOB a.s., </w:t>
      </w:r>
      <w:proofErr w:type="spellStart"/>
      <w:r w:rsidRPr="00CD5F8A">
        <w:rPr>
          <w:rFonts w:ascii="Arial" w:hAnsi="Arial" w:cs="Arial"/>
          <w:bCs/>
        </w:rPr>
        <w:t>č.ú</w:t>
      </w:r>
      <w:proofErr w:type="spellEnd"/>
      <w:r w:rsidRPr="00CD5F8A">
        <w:rPr>
          <w:rFonts w:ascii="Arial" w:hAnsi="Arial" w:cs="Arial"/>
          <w:bCs/>
        </w:rPr>
        <w:t>.: 474022543/0300</w:t>
      </w:r>
    </w:p>
    <w:p w14:paraId="18675FD7" w14:textId="75C820BE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Zastoupena: Ing. </w:t>
      </w:r>
      <w:r w:rsidR="00780B7D">
        <w:rPr>
          <w:rFonts w:ascii="Arial" w:hAnsi="Arial" w:cs="Arial"/>
          <w:bCs/>
        </w:rPr>
        <w:t>Petrem Součkem</w:t>
      </w:r>
      <w:r w:rsidRPr="00CD5F8A">
        <w:rPr>
          <w:rFonts w:ascii="Arial" w:hAnsi="Arial" w:cs="Arial"/>
          <w:bCs/>
        </w:rPr>
        <w:t>, jednatelem,</w:t>
      </w:r>
    </w:p>
    <w:p w14:paraId="50D4752D" w14:textId="511C0A8A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ab/>
        <w:t xml:space="preserve">            </w:t>
      </w:r>
      <w:r w:rsidR="007178CE">
        <w:rPr>
          <w:rFonts w:ascii="Arial" w:hAnsi="Arial" w:cs="Arial"/>
          <w:bCs/>
        </w:rPr>
        <w:t xml:space="preserve">  </w:t>
      </w:r>
      <w:r w:rsidR="00780B7D">
        <w:rPr>
          <w:rFonts w:ascii="Arial" w:hAnsi="Arial" w:cs="Arial"/>
          <w:bCs/>
        </w:rPr>
        <w:t>Ing. Martinem Havlíkem</w:t>
      </w:r>
      <w:r w:rsidRPr="00CD5F8A">
        <w:rPr>
          <w:rFonts w:ascii="Arial" w:hAnsi="Arial" w:cs="Arial"/>
          <w:bCs/>
        </w:rPr>
        <w:t>, jednatelem,</w:t>
      </w:r>
    </w:p>
    <w:p w14:paraId="01A0106D" w14:textId="27C5659B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ab/>
      </w:r>
      <w:r w:rsidRPr="00CD5F8A">
        <w:rPr>
          <w:rFonts w:ascii="Arial" w:hAnsi="Arial" w:cs="Arial"/>
          <w:bCs/>
        </w:rPr>
        <w:tab/>
      </w:r>
      <w:r w:rsidR="007178CE">
        <w:rPr>
          <w:rFonts w:ascii="Arial" w:hAnsi="Arial" w:cs="Arial"/>
          <w:bCs/>
        </w:rPr>
        <w:t xml:space="preserve">   </w:t>
      </w:r>
      <w:r w:rsidR="00780B7D">
        <w:rPr>
          <w:rFonts w:ascii="Arial" w:hAnsi="Arial" w:cs="Arial"/>
          <w:bCs/>
        </w:rPr>
        <w:t xml:space="preserve">Ing. Václavem </w:t>
      </w:r>
      <w:proofErr w:type="spellStart"/>
      <w:r w:rsidR="00780B7D">
        <w:rPr>
          <w:rFonts w:ascii="Arial" w:hAnsi="Arial" w:cs="Arial"/>
          <w:bCs/>
        </w:rPr>
        <w:t>Hvízdalem</w:t>
      </w:r>
      <w:proofErr w:type="spellEnd"/>
      <w:r w:rsidR="00780B7D">
        <w:rPr>
          <w:rFonts w:ascii="Arial" w:hAnsi="Arial" w:cs="Arial"/>
          <w:bCs/>
        </w:rPr>
        <w:t>,</w:t>
      </w:r>
      <w:r w:rsidRPr="00CD5F8A">
        <w:rPr>
          <w:rFonts w:ascii="Arial" w:hAnsi="Arial" w:cs="Arial"/>
          <w:bCs/>
        </w:rPr>
        <w:t xml:space="preserve"> jednatelem</w:t>
      </w:r>
    </w:p>
    <w:p w14:paraId="74A2C73D" w14:textId="36ACAFB5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(Každý z jednatelů je oprávněn jednat a podepisovat za společnost samostatně.)</w:t>
      </w:r>
    </w:p>
    <w:p w14:paraId="23C25E5B" w14:textId="700B64D9" w:rsidR="00695107" w:rsidRPr="00CD5F8A" w:rsidRDefault="00695107" w:rsidP="00695107">
      <w:pPr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                     ve věcech smluvních Ing. </w:t>
      </w:r>
      <w:r w:rsidR="000B296A">
        <w:rPr>
          <w:rFonts w:ascii="Arial" w:hAnsi="Arial" w:cs="Arial"/>
          <w:bCs/>
        </w:rPr>
        <w:t>Martin Havlík</w:t>
      </w:r>
      <w:r w:rsidRPr="00CD5F8A">
        <w:rPr>
          <w:rFonts w:ascii="Arial" w:hAnsi="Arial" w:cs="Arial"/>
          <w:bCs/>
        </w:rPr>
        <w:t>, jednatel</w:t>
      </w:r>
    </w:p>
    <w:p w14:paraId="72AA9D5A" w14:textId="5014A453" w:rsidR="00695107" w:rsidRPr="00CD5F8A" w:rsidRDefault="00695107" w:rsidP="00695107">
      <w:pPr>
        <w:pStyle w:val="Zkladntext2"/>
        <w:spacing w:after="0"/>
        <w:rPr>
          <w:rFonts w:ascii="Arial" w:hAnsi="Arial" w:cs="Arial"/>
          <w:bCs/>
        </w:rPr>
      </w:pPr>
      <w:r w:rsidRPr="00CD5F8A">
        <w:rPr>
          <w:rFonts w:ascii="Arial" w:hAnsi="Arial" w:cs="Arial"/>
          <w:bCs/>
        </w:rPr>
        <w:t xml:space="preserve">                          ve věcech technických: </w:t>
      </w:r>
      <w:proofErr w:type="spellStart"/>
      <w:r w:rsidR="00FB2EF6">
        <w:rPr>
          <w:rFonts w:ascii="Arial" w:hAnsi="Arial" w:cs="Arial"/>
          <w:bCs/>
        </w:rPr>
        <w:t>xxxxxxxxxxxxx</w:t>
      </w:r>
      <w:proofErr w:type="spellEnd"/>
    </w:p>
    <w:p w14:paraId="1DEB17BC" w14:textId="6E79E6F2" w:rsidR="00B41825" w:rsidRPr="00CD5F8A" w:rsidRDefault="00B41825" w:rsidP="00C13F86">
      <w:pPr>
        <w:pStyle w:val="Default"/>
        <w:ind w:firstLine="284"/>
        <w:jc w:val="both"/>
        <w:rPr>
          <w:rFonts w:ascii="Arial" w:eastAsia="TimesNewRoman" w:hAnsi="Arial" w:cs="Arial"/>
          <w:sz w:val="22"/>
          <w:szCs w:val="22"/>
        </w:rPr>
      </w:pPr>
      <w:r w:rsidRPr="00CD5F8A">
        <w:rPr>
          <w:rFonts w:ascii="Arial" w:eastAsia="TimesNewRoman" w:hAnsi="Arial" w:cs="Arial"/>
          <w:sz w:val="22"/>
          <w:szCs w:val="22"/>
        </w:rPr>
        <w:t>(dále jen "</w:t>
      </w:r>
      <w:r w:rsidR="00695107" w:rsidRPr="00CD5F8A">
        <w:rPr>
          <w:rFonts w:ascii="Arial" w:eastAsia="TimesNewRoman" w:hAnsi="Arial" w:cs="Arial"/>
          <w:b/>
          <w:bCs/>
          <w:sz w:val="22"/>
          <w:szCs w:val="22"/>
        </w:rPr>
        <w:t>Pontex</w:t>
      </w:r>
      <w:r w:rsidRPr="00CD5F8A">
        <w:rPr>
          <w:rFonts w:ascii="Arial" w:eastAsia="TimesNewRoman" w:hAnsi="Arial" w:cs="Arial"/>
          <w:sz w:val="22"/>
          <w:szCs w:val="22"/>
        </w:rPr>
        <w:t>")</w:t>
      </w:r>
    </w:p>
    <w:p w14:paraId="609E2AF7" w14:textId="5B6CC821" w:rsidR="002B7197" w:rsidRPr="00CD5F8A" w:rsidRDefault="002B7197" w:rsidP="002B7197">
      <w:pPr>
        <w:pStyle w:val="Default"/>
        <w:ind w:firstLine="284"/>
        <w:jc w:val="center"/>
        <w:rPr>
          <w:rFonts w:ascii="Arial" w:eastAsia="TimesNewRoman" w:hAnsi="Arial" w:cs="Arial"/>
          <w:sz w:val="22"/>
          <w:szCs w:val="22"/>
        </w:rPr>
      </w:pPr>
      <w:r w:rsidRPr="00CD5F8A">
        <w:rPr>
          <w:rFonts w:ascii="Arial" w:eastAsia="TimesNewRoman" w:hAnsi="Arial" w:cs="Arial"/>
          <w:sz w:val="22"/>
          <w:szCs w:val="22"/>
        </w:rPr>
        <w:t>jako zhotovitel na straně druhé</w:t>
      </w:r>
    </w:p>
    <w:p w14:paraId="5EFA4F27" w14:textId="77777777" w:rsidR="00B41825" w:rsidRPr="00CD5F8A" w:rsidRDefault="00B41825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166BFC" w14:textId="77777777" w:rsidR="00C7213F" w:rsidRPr="00CD5F8A" w:rsidRDefault="00C7213F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B91976" w14:textId="646D13FA" w:rsidR="00C7213F" w:rsidRPr="00CD5F8A" w:rsidRDefault="00C7213F" w:rsidP="00695107">
      <w:pPr>
        <w:ind w:left="284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(</w:t>
      </w:r>
      <w:r w:rsidR="005038FA" w:rsidRPr="00CD5F8A">
        <w:rPr>
          <w:rFonts w:ascii="Arial" w:eastAsia="TimesNewRoman" w:hAnsi="Arial" w:cs="Arial"/>
        </w:rPr>
        <w:t>TSK</w:t>
      </w:r>
      <w:r w:rsidRPr="00CD5F8A">
        <w:rPr>
          <w:rFonts w:ascii="Arial" w:hAnsi="Arial" w:cs="Arial"/>
        </w:rPr>
        <w:t xml:space="preserve"> a </w:t>
      </w:r>
      <w:r w:rsidR="00695107" w:rsidRPr="00CD5F8A">
        <w:rPr>
          <w:rFonts w:ascii="Arial" w:hAnsi="Arial" w:cs="Arial"/>
        </w:rPr>
        <w:t>Pontex</w:t>
      </w:r>
      <w:r w:rsidRPr="00CD5F8A">
        <w:rPr>
          <w:rFonts w:ascii="Arial" w:hAnsi="Arial" w:cs="Arial"/>
        </w:rPr>
        <w:t xml:space="preserve"> dále též jako „</w:t>
      </w:r>
      <w:r w:rsidRPr="00CD5F8A">
        <w:rPr>
          <w:rFonts w:ascii="Arial" w:hAnsi="Arial" w:cs="Arial"/>
          <w:b/>
        </w:rPr>
        <w:t>smluvní strany</w:t>
      </w:r>
      <w:r w:rsidRPr="00CD5F8A">
        <w:rPr>
          <w:rFonts w:ascii="Arial" w:hAnsi="Arial" w:cs="Arial"/>
        </w:rPr>
        <w:t>“ a samostatně dále též jako „</w:t>
      </w:r>
      <w:r w:rsidRPr="00CD5F8A">
        <w:rPr>
          <w:rFonts w:ascii="Arial" w:hAnsi="Arial" w:cs="Arial"/>
          <w:b/>
        </w:rPr>
        <w:t>smluvní strana</w:t>
      </w:r>
      <w:r w:rsidRPr="00CD5F8A">
        <w:rPr>
          <w:rFonts w:ascii="Arial" w:hAnsi="Arial" w:cs="Arial"/>
        </w:rPr>
        <w:t>“)</w:t>
      </w:r>
    </w:p>
    <w:p w14:paraId="7440903E" w14:textId="5EFA5B55" w:rsidR="00F84924" w:rsidRPr="00CD5F8A" w:rsidRDefault="00F84924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ADB52" w14:textId="77777777" w:rsidR="00F84924" w:rsidRPr="00CD5F8A" w:rsidRDefault="00F84924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6BB37C" w14:textId="7A116ECA" w:rsidR="00D159BC" w:rsidRPr="00CD5F8A" w:rsidRDefault="00D159BC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F8A">
        <w:rPr>
          <w:rFonts w:ascii="Arial" w:hAnsi="Arial" w:cs="Arial"/>
          <w:sz w:val="22"/>
          <w:szCs w:val="22"/>
        </w:rPr>
        <w:lastRenderedPageBreak/>
        <w:t xml:space="preserve">uzavřeli níže uvedeného dne, měsíce a roku v souladu s ustanovením </w:t>
      </w:r>
      <w:r w:rsidR="003541F1" w:rsidRPr="00CD5F8A">
        <w:rPr>
          <w:rFonts w:ascii="Arial" w:hAnsi="Arial" w:cs="Arial"/>
          <w:sz w:val="22"/>
          <w:szCs w:val="22"/>
        </w:rPr>
        <w:t xml:space="preserve">§ 1746 odst. 2 zákona č. 89/2012 Sb., </w:t>
      </w:r>
      <w:r w:rsidRPr="00CD5F8A">
        <w:rPr>
          <w:rFonts w:ascii="Arial" w:hAnsi="Arial" w:cs="Arial"/>
          <w:sz w:val="22"/>
          <w:szCs w:val="22"/>
        </w:rPr>
        <w:t xml:space="preserve">občanský zákoník, ve znění pozdějších předpisů (dále jen „občanský zákoník“), tuto dohodu o </w:t>
      </w:r>
      <w:r w:rsidR="005D55C1" w:rsidRPr="00CD5F8A">
        <w:rPr>
          <w:rFonts w:ascii="Arial" w:hAnsi="Arial" w:cs="Arial"/>
          <w:sz w:val="22"/>
          <w:szCs w:val="22"/>
        </w:rPr>
        <w:t xml:space="preserve">vypořádání </w:t>
      </w:r>
      <w:r w:rsidRPr="00CD5F8A">
        <w:rPr>
          <w:rFonts w:ascii="Arial" w:hAnsi="Arial" w:cs="Arial"/>
          <w:sz w:val="22"/>
          <w:szCs w:val="22"/>
        </w:rPr>
        <w:t>(dále jen „</w:t>
      </w:r>
      <w:r w:rsidRPr="00CD5F8A">
        <w:rPr>
          <w:rFonts w:ascii="Arial" w:hAnsi="Arial" w:cs="Arial"/>
          <w:b/>
          <w:bCs/>
          <w:sz w:val="22"/>
          <w:szCs w:val="22"/>
        </w:rPr>
        <w:t>Dohoda</w:t>
      </w:r>
      <w:r w:rsidRPr="00CD5F8A">
        <w:rPr>
          <w:rFonts w:ascii="Arial" w:hAnsi="Arial" w:cs="Arial"/>
          <w:sz w:val="22"/>
          <w:szCs w:val="22"/>
        </w:rPr>
        <w:t>“)</w:t>
      </w:r>
      <w:r w:rsidR="00BE57E0" w:rsidRPr="00CD5F8A">
        <w:rPr>
          <w:rFonts w:ascii="Arial" w:hAnsi="Arial" w:cs="Arial"/>
          <w:sz w:val="22"/>
          <w:szCs w:val="22"/>
        </w:rPr>
        <w:t>:</w:t>
      </w:r>
    </w:p>
    <w:p w14:paraId="43BB6C6D" w14:textId="77777777" w:rsidR="00B41825" w:rsidRPr="00CD5F8A" w:rsidRDefault="00B41825" w:rsidP="00B418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55D5BE5" w14:textId="77777777" w:rsidR="003541F1" w:rsidRPr="00CD5F8A" w:rsidRDefault="003541F1" w:rsidP="00B418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3B6299" w14:textId="23ECCE27" w:rsidR="00B41825" w:rsidRPr="00CD5F8A" w:rsidRDefault="008815BE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>Článek</w:t>
      </w:r>
      <w:r w:rsidR="00A27BF7" w:rsidRPr="00CD5F8A">
        <w:rPr>
          <w:rFonts w:ascii="Arial" w:hAnsi="Arial" w:cs="Arial"/>
          <w:b/>
          <w:bCs/>
          <w:color w:val="auto"/>
          <w:sz w:val="22"/>
          <w:szCs w:val="22"/>
        </w:rPr>
        <w:t xml:space="preserve"> II.</w:t>
      </w:r>
    </w:p>
    <w:p w14:paraId="2EE8C8B7" w14:textId="6553C6CE" w:rsidR="00B41825" w:rsidRPr="00CD5F8A" w:rsidRDefault="00B41825" w:rsidP="00B418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 xml:space="preserve">Smluvní strany uzavírají tuto </w:t>
      </w:r>
      <w:r w:rsidR="00C83693" w:rsidRPr="00CD5F8A">
        <w:rPr>
          <w:rFonts w:ascii="Arial" w:hAnsi="Arial" w:cs="Arial"/>
          <w:color w:val="auto"/>
          <w:sz w:val="22"/>
          <w:szCs w:val="22"/>
        </w:rPr>
        <w:t>D</w:t>
      </w:r>
      <w:r w:rsidRPr="00CD5F8A">
        <w:rPr>
          <w:rFonts w:ascii="Arial" w:hAnsi="Arial" w:cs="Arial"/>
          <w:color w:val="auto"/>
          <w:sz w:val="22"/>
          <w:szCs w:val="22"/>
        </w:rPr>
        <w:t>ohodu vzhledem k tomu, že:</w:t>
      </w:r>
    </w:p>
    <w:p w14:paraId="3368DCDD" w14:textId="77777777" w:rsidR="00B41825" w:rsidRPr="00CD5F8A" w:rsidRDefault="00B41825" w:rsidP="00B418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2DDC8C0" w14:textId="72A7D716" w:rsidR="00400B4F" w:rsidRDefault="005B637B" w:rsidP="00520F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d</w:t>
      </w:r>
      <w:r w:rsidR="00571B73" w:rsidRPr="00CD5F8A">
        <w:rPr>
          <w:rFonts w:ascii="Arial" w:hAnsi="Arial" w:cs="Arial"/>
        </w:rPr>
        <w:t xml:space="preserve">ne </w:t>
      </w:r>
      <w:r w:rsidR="00695107" w:rsidRPr="00CD5F8A">
        <w:rPr>
          <w:rFonts w:ascii="Arial" w:hAnsi="Arial" w:cs="Arial"/>
        </w:rPr>
        <w:t>13.</w:t>
      </w:r>
      <w:r w:rsidR="00780B7D">
        <w:rPr>
          <w:rFonts w:ascii="Arial" w:hAnsi="Arial" w:cs="Arial"/>
        </w:rPr>
        <w:t xml:space="preserve"> </w:t>
      </w:r>
      <w:r w:rsidR="00695107" w:rsidRPr="00CD5F8A">
        <w:rPr>
          <w:rFonts w:ascii="Arial" w:hAnsi="Arial" w:cs="Arial"/>
        </w:rPr>
        <w:t>08.</w:t>
      </w:r>
      <w:r w:rsidR="00780B7D">
        <w:rPr>
          <w:rFonts w:ascii="Arial" w:hAnsi="Arial" w:cs="Arial"/>
        </w:rPr>
        <w:t xml:space="preserve"> </w:t>
      </w:r>
      <w:r w:rsidR="00695107" w:rsidRPr="00CD5F8A">
        <w:rPr>
          <w:rFonts w:ascii="Arial" w:hAnsi="Arial" w:cs="Arial"/>
        </w:rPr>
        <w:t>2020</w:t>
      </w:r>
      <w:r w:rsidR="00C94C39" w:rsidRPr="00CD5F8A">
        <w:rPr>
          <w:rFonts w:ascii="Arial" w:hAnsi="Arial" w:cs="Arial"/>
        </w:rPr>
        <w:t xml:space="preserve"> spolu uzavřely </w:t>
      </w:r>
      <w:r w:rsidR="00695107" w:rsidRPr="00CD5F8A">
        <w:rPr>
          <w:rFonts w:ascii="Arial" w:hAnsi="Arial" w:cs="Arial"/>
        </w:rPr>
        <w:t>smlouvu o dílo a o výkonu autorského dozoru</w:t>
      </w:r>
      <w:r w:rsidR="00C94C39" w:rsidRPr="00CD5F8A">
        <w:rPr>
          <w:rFonts w:ascii="Arial" w:hAnsi="Arial" w:cs="Arial"/>
        </w:rPr>
        <w:t xml:space="preserve"> </w:t>
      </w:r>
      <w:r w:rsidR="00780B7D">
        <w:rPr>
          <w:rFonts w:ascii="Arial" w:hAnsi="Arial" w:cs="Arial"/>
        </w:rPr>
        <w:t xml:space="preserve">                 </w:t>
      </w:r>
      <w:r w:rsidR="00C94C39" w:rsidRPr="00CD5F8A">
        <w:rPr>
          <w:rFonts w:ascii="Arial" w:hAnsi="Arial" w:cs="Arial"/>
        </w:rPr>
        <w:t>č.</w:t>
      </w:r>
      <w:r w:rsidR="00C94C39" w:rsidRPr="00CD5F8A">
        <w:rPr>
          <w:rFonts w:ascii="Arial" w:hAnsi="Arial" w:cs="Arial"/>
          <w:bCs/>
        </w:rPr>
        <w:t xml:space="preserve"> </w:t>
      </w:r>
      <w:r w:rsidR="00695107" w:rsidRPr="00CD5F8A">
        <w:rPr>
          <w:rFonts w:ascii="Arial" w:hAnsi="Arial" w:cs="Arial"/>
          <w:bCs/>
        </w:rPr>
        <w:t xml:space="preserve">3/20/4056/138 </w:t>
      </w:r>
      <w:r w:rsidR="00B41825" w:rsidRPr="00CD5F8A">
        <w:rPr>
          <w:rFonts w:ascii="Arial" w:eastAsia="TimesNewRoman" w:hAnsi="Arial" w:cs="Arial"/>
        </w:rPr>
        <w:t>(dále jen „</w:t>
      </w:r>
      <w:r w:rsidR="00397C9E" w:rsidRPr="00CD5F8A">
        <w:rPr>
          <w:rFonts w:ascii="Arial" w:eastAsia="TimesNewRoman" w:hAnsi="Arial" w:cs="Arial"/>
          <w:b/>
          <w:bCs/>
        </w:rPr>
        <w:t>S</w:t>
      </w:r>
      <w:r w:rsidR="00B41825" w:rsidRPr="00CD5F8A">
        <w:rPr>
          <w:rFonts w:ascii="Arial" w:eastAsia="TimesNewRoman" w:hAnsi="Arial" w:cs="Arial"/>
          <w:b/>
          <w:bCs/>
        </w:rPr>
        <w:t>mlouva</w:t>
      </w:r>
      <w:r w:rsidR="00B41825" w:rsidRPr="00CD5F8A">
        <w:rPr>
          <w:rFonts w:ascii="Arial" w:eastAsia="TimesNewRoman" w:hAnsi="Arial" w:cs="Arial"/>
        </w:rPr>
        <w:t xml:space="preserve">“), </w:t>
      </w:r>
      <w:r w:rsidR="00B41825" w:rsidRPr="00CD5F8A">
        <w:rPr>
          <w:rFonts w:ascii="Arial" w:hAnsi="Arial" w:cs="Arial"/>
        </w:rPr>
        <w:t>jejímž předmětem byl</w:t>
      </w:r>
      <w:r w:rsidR="008A45C0" w:rsidRPr="00CD5F8A">
        <w:rPr>
          <w:rFonts w:ascii="Arial" w:hAnsi="Arial" w:cs="Arial"/>
        </w:rPr>
        <w:t>o</w:t>
      </w:r>
      <w:r w:rsidR="00084DDD" w:rsidRPr="00CD5F8A">
        <w:rPr>
          <w:rFonts w:ascii="Arial" w:hAnsi="Arial" w:cs="Arial"/>
        </w:rPr>
        <w:t xml:space="preserve"> </w:t>
      </w:r>
      <w:r w:rsidR="00695107" w:rsidRPr="00CD5F8A">
        <w:rPr>
          <w:rFonts w:ascii="Arial" w:hAnsi="Arial" w:cs="Arial"/>
        </w:rPr>
        <w:t>zpracování projektové dokumentace pro zadání veřejné zakázky, průzkum inženýrských sítí</w:t>
      </w:r>
      <w:r w:rsidR="00A74232">
        <w:rPr>
          <w:rFonts w:ascii="Arial" w:hAnsi="Arial" w:cs="Arial"/>
        </w:rPr>
        <w:t xml:space="preserve"> </w:t>
      </w:r>
      <w:r w:rsidR="00A74232" w:rsidRPr="00CD5F8A">
        <w:rPr>
          <w:rFonts w:ascii="Arial" w:hAnsi="Arial" w:cs="Arial"/>
        </w:rPr>
        <w:t>(dále jen „Dílo“)</w:t>
      </w:r>
      <w:r w:rsidR="00695107" w:rsidRPr="00CD5F8A">
        <w:rPr>
          <w:rFonts w:ascii="Arial" w:hAnsi="Arial" w:cs="Arial"/>
        </w:rPr>
        <w:t xml:space="preserve"> </w:t>
      </w:r>
      <w:r w:rsidR="00A74232">
        <w:rPr>
          <w:rFonts w:ascii="Arial" w:hAnsi="Arial" w:cs="Arial"/>
        </w:rPr>
        <w:t xml:space="preserve">a </w:t>
      </w:r>
      <w:r w:rsidR="00695107" w:rsidRPr="00CD5F8A">
        <w:rPr>
          <w:rFonts w:ascii="Arial" w:hAnsi="Arial" w:cs="Arial"/>
        </w:rPr>
        <w:t>autorský dozor</w:t>
      </w:r>
      <w:r w:rsidR="006F521E" w:rsidRPr="00CD5F8A">
        <w:rPr>
          <w:rFonts w:ascii="Arial" w:hAnsi="Arial" w:cs="Arial"/>
        </w:rPr>
        <w:t xml:space="preserve"> (dále jen „</w:t>
      </w:r>
      <w:r w:rsidR="00A74232">
        <w:rPr>
          <w:rFonts w:ascii="Arial" w:hAnsi="Arial" w:cs="Arial"/>
        </w:rPr>
        <w:t>Autorský dozor</w:t>
      </w:r>
      <w:r w:rsidR="006F521E" w:rsidRPr="00CD5F8A">
        <w:rPr>
          <w:rFonts w:ascii="Arial" w:hAnsi="Arial" w:cs="Arial"/>
        </w:rPr>
        <w:t>“)</w:t>
      </w:r>
      <w:r w:rsidR="0005279D" w:rsidRPr="00CD5F8A">
        <w:rPr>
          <w:rFonts w:ascii="Arial" w:hAnsi="Arial" w:cs="Arial"/>
        </w:rPr>
        <w:t>,</w:t>
      </w:r>
      <w:r w:rsidR="00084DDD" w:rsidRPr="00CD5F8A">
        <w:rPr>
          <w:rFonts w:ascii="Arial" w:hAnsi="Arial" w:cs="Arial"/>
        </w:rPr>
        <w:t xml:space="preserve"> </w:t>
      </w:r>
      <w:r w:rsidR="00E732BC" w:rsidRPr="00CD5F8A">
        <w:rPr>
          <w:rFonts w:ascii="Arial" w:hAnsi="Arial" w:cs="Arial"/>
        </w:rPr>
        <w:t>míst</w:t>
      </w:r>
      <w:r w:rsidR="00AB37F2">
        <w:rPr>
          <w:rFonts w:ascii="Arial" w:hAnsi="Arial" w:cs="Arial"/>
        </w:rPr>
        <w:t>o</w:t>
      </w:r>
      <w:r w:rsidR="00E732BC" w:rsidRPr="00CD5F8A">
        <w:rPr>
          <w:rFonts w:ascii="Arial" w:hAnsi="Arial" w:cs="Arial"/>
        </w:rPr>
        <w:t xml:space="preserve"> </w:t>
      </w:r>
      <w:r w:rsidR="00355F19" w:rsidRPr="00CD5F8A">
        <w:rPr>
          <w:rFonts w:ascii="Arial" w:hAnsi="Arial" w:cs="Arial"/>
        </w:rPr>
        <w:t>realizace Díla</w:t>
      </w:r>
      <w:r w:rsidR="00266D31">
        <w:rPr>
          <w:rFonts w:ascii="Arial" w:hAnsi="Arial" w:cs="Arial"/>
        </w:rPr>
        <w:t xml:space="preserve"> a Autorského dozoru</w:t>
      </w:r>
      <w:r w:rsidR="0005279D" w:rsidRPr="00CD5F8A">
        <w:rPr>
          <w:rFonts w:ascii="Arial" w:hAnsi="Arial" w:cs="Arial"/>
        </w:rPr>
        <w:t>:</w:t>
      </w:r>
      <w:r w:rsidR="00355F19" w:rsidRPr="00CD5F8A">
        <w:rPr>
          <w:rFonts w:ascii="Arial" w:hAnsi="Arial" w:cs="Arial"/>
        </w:rPr>
        <w:t xml:space="preserve"> </w:t>
      </w:r>
      <w:r w:rsidR="00AA1657" w:rsidRPr="00CD5F8A">
        <w:rPr>
          <w:rFonts w:ascii="Arial" w:hAnsi="Arial" w:cs="Arial"/>
        </w:rPr>
        <w:t>Československého exilu,</w:t>
      </w:r>
      <w:r w:rsidR="00AA1657">
        <w:rPr>
          <w:rFonts w:ascii="Arial" w:hAnsi="Arial" w:cs="Arial"/>
        </w:rPr>
        <w:t xml:space="preserve"> </w:t>
      </w:r>
      <w:r w:rsidR="00AA1657" w:rsidRPr="00CD5F8A">
        <w:rPr>
          <w:rFonts w:ascii="Arial" w:hAnsi="Arial" w:cs="Arial"/>
        </w:rPr>
        <w:t>P</w:t>
      </w:r>
      <w:r w:rsidR="00AA1657">
        <w:rPr>
          <w:rFonts w:ascii="Arial" w:hAnsi="Arial" w:cs="Arial"/>
        </w:rPr>
        <w:t xml:space="preserve"> </w:t>
      </w:r>
      <w:r w:rsidR="00AA1657" w:rsidRPr="00CD5F8A">
        <w:rPr>
          <w:rFonts w:ascii="Arial" w:hAnsi="Arial" w:cs="Arial"/>
        </w:rPr>
        <w:t>574,</w:t>
      </w:r>
      <w:r w:rsidR="00AA1657">
        <w:rPr>
          <w:rFonts w:ascii="Arial" w:hAnsi="Arial" w:cs="Arial"/>
        </w:rPr>
        <w:t xml:space="preserve"> </w:t>
      </w:r>
      <w:r w:rsidR="00AA1657" w:rsidRPr="00CD5F8A">
        <w:rPr>
          <w:rFonts w:ascii="Arial" w:hAnsi="Arial" w:cs="Arial"/>
        </w:rPr>
        <w:t>P12</w:t>
      </w:r>
      <w:r w:rsidR="00E44793" w:rsidRPr="00CD5F8A">
        <w:rPr>
          <w:rFonts w:ascii="Arial" w:hAnsi="Arial" w:cs="Arial"/>
        </w:rPr>
        <w:t xml:space="preserve">, </w:t>
      </w:r>
      <w:r w:rsidR="0005279D" w:rsidRPr="00CD5F8A">
        <w:rPr>
          <w:rFonts w:ascii="Arial" w:hAnsi="Arial" w:cs="Arial"/>
        </w:rPr>
        <w:t xml:space="preserve">a </w:t>
      </w:r>
      <w:r w:rsidR="00E91324" w:rsidRPr="00CD5F8A">
        <w:rPr>
          <w:rFonts w:ascii="Arial" w:hAnsi="Arial" w:cs="Arial"/>
        </w:rPr>
        <w:t xml:space="preserve">sídlo Zhotovitele, </w:t>
      </w:r>
      <w:r w:rsidR="00E44793" w:rsidRPr="00CD5F8A">
        <w:rPr>
          <w:rFonts w:ascii="Arial" w:hAnsi="Arial" w:cs="Arial"/>
        </w:rPr>
        <w:t xml:space="preserve">název akce: </w:t>
      </w:r>
      <w:r w:rsidR="00F9286A" w:rsidRPr="00CD5F8A">
        <w:rPr>
          <w:rFonts w:ascii="Arial" w:hAnsi="Arial" w:cs="Arial"/>
        </w:rPr>
        <w:t>„Československého exilu</w:t>
      </w:r>
      <w:r w:rsidR="00777A5D" w:rsidRPr="00CD5F8A">
        <w:rPr>
          <w:rFonts w:ascii="Arial" w:hAnsi="Arial" w:cs="Arial"/>
        </w:rPr>
        <w:t>, P 574, P 12 - zpracování projektové dokumentace pro zadání veřejné zakázky, průzkum inženýrských sítí, autorský dozor“</w:t>
      </w:r>
      <w:r w:rsidR="00037FB1" w:rsidRPr="00CD5F8A">
        <w:rPr>
          <w:rFonts w:ascii="Arial" w:hAnsi="Arial" w:cs="Arial"/>
        </w:rPr>
        <w:t>,</w:t>
      </w:r>
      <w:r w:rsidR="00062050">
        <w:rPr>
          <w:rFonts w:ascii="Arial" w:hAnsi="Arial" w:cs="Arial"/>
        </w:rPr>
        <w:t xml:space="preserve"> </w:t>
      </w:r>
    </w:p>
    <w:p w14:paraId="162CDF3C" w14:textId="77777777" w:rsidR="00062050" w:rsidRDefault="00062050" w:rsidP="00062050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5ABB32B4" w14:textId="4C51B8C8" w:rsidR="00062050" w:rsidRDefault="00062050" w:rsidP="00520F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Dílo </w:t>
      </w:r>
      <w:r w:rsidR="00F71642">
        <w:rPr>
          <w:rFonts w:ascii="Arial" w:hAnsi="Arial" w:cs="Arial"/>
        </w:rPr>
        <w:t xml:space="preserve">vyjma Inženýrské činnosti a vyjma Autorského dozoru </w:t>
      </w:r>
      <w:r>
        <w:rPr>
          <w:rFonts w:ascii="Arial" w:hAnsi="Arial" w:cs="Arial"/>
        </w:rPr>
        <w:t xml:space="preserve">bylo dle Smlouvy </w:t>
      </w:r>
      <w:r w:rsidR="00520F16">
        <w:rPr>
          <w:rFonts w:ascii="Arial" w:hAnsi="Arial" w:cs="Arial"/>
        </w:rPr>
        <w:t>dokončeno do 30.</w:t>
      </w:r>
      <w:r w:rsidR="00780B7D">
        <w:rPr>
          <w:rFonts w:ascii="Arial" w:hAnsi="Arial" w:cs="Arial"/>
        </w:rPr>
        <w:t xml:space="preserve"> </w:t>
      </w:r>
      <w:r w:rsidR="00520F16">
        <w:rPr>
          <w:rFonts w:ascii="Arial" w:hAnsi="Arial" w:cs="Arial"/>
        </w:rPr>
        <w:t>11.</w:t>
      </w:r>
      <w:r w:rsidR="00780B7D">
        <w:rPr>
          <w:rFonts w:ascii="Arial" w:hAnsi="Arial" w:cs="Arial"/>
        </w:rPr>
        <w:t xml:space="preserve"> </w:t>
      </w:r>
      <w:r w:rsidR="00520F16">
        <w:rPr>
          <w:rFonts w:ascii="Arial" w:hAnsi="Arial" w:cs="Arial"/>
        </w:rPr>
        <w:t xml:space="preserve">2020 a bylo </w:t>
      </w:r>
      <w:r w:rsidR="007F6DC3">
        <w:rPr>
          <w:rFonts w:ascii="Arial" w:hAnsi="Arial" w:cs="Arial"/>
        </w:rPr>
        <w:t xml:space="preserve">předáno a </w:t>
      </w:r>
      <w:r w:rsidR="00520F16">
        <w:rPr>
          <w:rFonts w:ascii="Arial" w:hAnsi="Arial" w:cs="Arial"/>
        </w:rPr>
        <w:t>uhrazeno,</w:t>
      </w:r>
    </w:p>
    <w:p w14:paraId="3C4213C6" w14:textId="77777777" w:rsidR="00520F16" w:rsidRPr="00520F16" w:rsidRDefault="00520F16" w:rsidP="00520F16">
      <w:pPr>
        <w:pStyle w:val="Odstavecseseznamem"/>
        <w:rPr>
          <w:rFonts w:ascii="Arial" w:hAnsi="Arial" w:cs="Arial"/>
        </w:rPr>
      </w:pPr>
    </w:p>
    <w:p w14:paraId="2759D4B6" w14:textId="55701F8A" w:rsidR="00520F16" w:rsidRPr="00CD5F8A" w:rsidRDefault="00A56171" w:rsidP="00520F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1C9B">
        <w:rPr>
          <w:rFonts w:ascii="Arial" w:hAnsi="Arial" w:cs="Arial"/>
        </w:rPr>
        <w:t xml:space="preserve">e sjednaného rozsahu Díla </w:t>
      </w:r>
      <w:r>
        <w:rPr>
          <w:rFonts w:ascii="Arial" w:hAnsi="Arial" w:cs="Arial"/>
        </w:rPr>
        <w:t>i</w:t>
      </w:r>
      <w:r w:rsidR="007178CE">
        <w:rPr>
          <w:rFonts w:ascii="Arial" w:hAnsi="Arial" w:cs="Arial"/>
        </w:rPr>
        <w:t xml:space="preserve">nženýrská činnost </w:t>
      </w:r>
      <w:r>
        <w:rPr>
          <w:rFonts w:ascii="Arial" w:hAnsi="Arial" w:cs="Arial"/>
        </w:rPr>
        <w:t>(dále jen „</w:t>
      </w:r>
      <w:r w:rsidRPr="00A56171">
        <w:rPr>
          <w:rFonts w:ascii="Arial" w:hAnsi="Arial" w:cs="Arial"/>
          <w:b/>
          <w:bCs/>
        </w:rPr>
        <w:t>Inženýrská činnost</w:t>
      </w:r>
      <w:r>
        <w:rPr>
          <w:rFonts w:ascii="Arial" w:hAnsi="Arial" w:cs="Arial"/>
        </w:rPr>
        <w:t xml:space="preserve">“) </w:t>
      </w:r>
      <w:r w:rsidR="007178CE">
        <w:rPr>
          <w:rFonts w:ascii="Arial" w:hAnsi="Arial" w:cs="Arial"/>
        </w:rPr>
        <w:t xml:space="preserve">a </w:t>
      </w:r>
      <w:r w:rsidR="00560344">
        <w:rPr>
          <w:rFonts w:ascii="Arial" w:hAnsi="Arial" w:cs="Arial"/>
        </w:rPr>
        <w:t>A</w:t>
      </w:r>
      <w:r w:rsidR="00520F16">
        <w:rPr>
          <w:rFonts w:ascii="Arial" w:hAnsi="Arial" w:cs="Arial"/>
        </w:rPr>
        <w:t>utors</w:t>
      </w:r>
      <w:r w:rsidR="003D2D84">
        <w:rPr>
          <w:rFonts w:ascii="Arial" w:hAnsi="Arial" w:cs="Arial"/>
        </w:rPr>
        <w:t xml:space="preserve">ký dozor </w:t>
      </w:r>
      <w:r w:rsidR="00747CC2">
        <w:rPr>
          <w:rFonts w:ascii="Arial" w:hAnsi="Arial" w:cs="Arial"/>
        </w:rPr>
        <w:t>byl</w:t>
      </w:r>
      <w:r w:rsidR="00F71642">
        <w:rPr>
          <w:rFonts w:ascii="Arial" w:hAnsi="Arial" w:cs="Arial"/>
        </w:rPr>
        <w:t>y</w:t>
      </w:r>
      <w:r w:rsidR="00747CC2">
        <w:rPr>
          <w:rFonts w:ascii="Arial" w:hAnsi="Arial" w:cs="Arial"/>
        </w:rPr>
        <w:t xml:space="preserve"> dokončen</w:t>
      </w:r>
      <w:r w:rsidR="00F71642">
        <w:rPr>
          <w:rFonts w:ascii="Arial" w:hAnsi="Arial" w:cs="Arial"/>
        </w:rPr>
        <w:t>y</w:t>
      </w:r>
      <w:r w:rsidR="00747CC2">
        <w:rPr>
          <w:rFonts w:ascii="Arial" w:hAnsi="Arial" w:cs="Arial"/>
        </w:rPr>
        <w:t xml:space="preserve"> </w:t>
      </w:r>
      <w:r w:rsidR="008150CD">
        <w:rPr>
          <w:rFonts w:ascii="Arial" w:hAnsi="Arial" w:cs="Arial"/>
        </w:rPr>
        <w:t xml:space="preserve">až </w:t>
      </w:r>
      <w:r w:rsidR="007E2D08">
        <w:rPr>
          <w:rFonts w:ascii="Arial" w:hAnsi="Arial" w:cs="Arial"/>
        </w:rPr>
        <w:t xml:space="preserve">ukončením realizace stavby </w:t>
      </w:r>
      <w:r w:rsidR="007E2D08" w:rsidRPr="00CD5F8A">
        <w:rPr>
          <w:rFonts w:ascii="Arial" w:hAnsi="Arial" w:cs="Arial"/>
        </w:rPr>
        <w:t>Československého exilu, P 574, P 12</w:t>
      </w:r>
      <w:r w:rsidR="00C07935">
        <w:rPr>
          <w:rFonts w:ascii="Arial" w:hAnsi="Arial" w:cs="Arial"/>
        </w:rPr>
        <w:t xml:space="preserve">, </w:t>
      </w:r>
      <w:r w:rsidR="00681DFF">
        <w:rPr>
          <w:rFonts w:ascii="Arial" w:hAnsi="Arial" w:cs="Arial"/>
        </w:rPr>
        <w:t>realizované</w:t>
      </w:r>
      <w:r w:rsidR="00C07935">
        <w:rPr>
          <w:rFonts w:ascii="Arial" w:hAnsi="Arial" w:cs="Arial"/>
        </w:rPr>
        <w:t xml:space="preserve"> </w:t>
      </w:r>
      <w:r w:rsidR="00770053">
        <w:rPr>
          <w:rFonts w:ascii="Arial" w:hAnsi="Arial" w:cs="Arial"/>
        </w:rPr>
        <w:t xml:space="preserve">na </w:t>
      </w:r>
      <w:r w:rsidR="00681DFF">
        <w:rPr>
          <w:rFonts w:ascii="Arial" w:hAnsi="Arial" w:cs="Arial"/>
        </w:rPr>
        <w:t xml:space="preserve">základě na </w:t>
      </w:r>
      <w:r w:rsidR="00770053">
        <w:rPr>
          <w:rFonts w:ascii="Arial" w:hAnsi="Arial" w:cs="Arial"/>
        </w:rPr>
        <w:t xml:space="preserve">Smlouvu navazující smlouvy o dílo ze dne </w:t>
      </w:r>
      <w:r w:rsidR="005F0B27">
        <w:rPr>
          <w:rFonts w:ascii="Arial" w:hAnsi="Arial" w:cs="Arial"/>
        </w:rPr>
        <w:t xml:space="preserve">11. 03. 2022, </w:t>
      </w:r>
      <w:r w:rsidR="00770053" w:rsidRPr="00CD5F8A">
        <w:rPr>
          <w:rFonts w:ascii="Arial" w:hAnsi="Arial" w:cs="Arial"/>
        </w:rPr>
        <w:t>č. 3/22/4056/037</w:t>
      </w:r>
      <w:r w:rsidR="00770053">
        <w:rPr>
          <w:rFonts w:ascii="Arial" w:hAnsi="Arial" w:cs="Arial"/>
        </w:rPr>
        <w:t xml:space="preserve">, ve znění </w:t>
      </w:r>
      <w:r w:rsidR="00015A51">
        <w:rPr>
          <w:rFonts w:ascii="Arial" w:hAnsi="Arial" w:cs="Arial"/>
        </w:rPr>
        <w:t xml:space="preserve">jejího dodatku č. 1 </w:t>
      </w:r>
      <w:r w:rsidR="00464ADB">
        <w:rPr>
          <w:rFonts w:ascii="Arial" w:hAnsi="Arial" w:cs="Arial"/>
        </w:rPr>
        <w:t>(dále jen „</w:t>
      </w:r>
      <w:r w:rsidR="00464ADB" w:rsidRPr="002718F5">
        <w:rPr>
          <w:rFonts w:ascii="Arial" w:hAnsi="Arial" w:cs="Arial"/>
          <w:b/>
          <w:bCs/>
        </w:rPr>
        <w:t>Smlouva</w:t>
      </w:r>
      <w:r w:rsidR="002718F5" w:rsidRPr="002718F5">
        <w:rPr>
          <w:rFonts w:ascii="Arial" w:hAnsi="Arial" w:cs="Arial"/>
          <w:b/>
          <w:bCs/>
        </w:rPr>
        <w:t xml:space="preserve"> o dílo</w:t>
      </w:r>
      <w:r w:rsidR="002718F5">
        <w:rPr>
          <w:rFonts w:ascii="Arial" w:hAnsi="Arial" w:cs="Arial"/>
        </w:rPr>
        <w:t>“),</w:t>
      </w:r>
      <w:r w:rsidR="00015A51">
        <w:rPr>
          <w:rFonts w:ascii="Arial" w:hAnsi="Arial" w:cs="Arial"/>
        </w:rPr>
        <w:t xml:space="preserve"> </w:t>
      </w:r>
    </w:p>
    <w:p w14:paraId="42EDA936" w14:textId="56363206" w:rsidR="005F557C" w:rsidRPr="00CD5F8A" w:rsidRDefault="005F557C" w:rsidP="009F3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A64109" w14:textId="3891CEFB" w:rsidR="00DE63FA" w:rsidRPr="00CD5F8A" w:rsidRDefault="0005279D" w:rsidP="008B022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z důvodu ne</w:t>
      </w:r>
      <w:r w:rsidR="00E55072">
        <w:rPr>
          <w:rFonts w:ascii="Arial" w:hAnsi="Arial" w:cs="Arial"/>
        </w:rPr>
        <w:t>odvedení</w:t>
      </w:r>
      <w:r w:rsidR="001B6810">
        <w:rPr>
          <w:rFonts w:ascii="Arial" w:hAnsi="Arial" w:cs="Arial"/>
        </w:rPr>
        <w:t xml:space="preserve"> </w:t>
      </w:r>
      <w:r w:rsidR="00A75274">
        <w:rPr>
          <w:rFonts w:ascii="Arial" w:hAnsi="Arial" w:cs="Arial"/>
        </w:rPr>
        <w:t xml:space="preserve">plného sjednaného </w:t>
      </w:r>
      <w:r w:rsidR="00F71642">
        <w:rPr>
          <w:rFonts w:ascii="Arial" w:hAnsi="Arial" w:cs="Arial"/>
        </w:rPr>
        <w:t>rozsahu</w:t>
      </w:r>
      <w:r w:rsidR="00A75274">
        <w:rPr>
          <w:rFonts w:ascii="Arial" w:hAnsi="Arial" w:cs="Arial"/>
        </w:rPr>
        <w:t xml:space="preserve"> </w:t>
      </w:r>
      <w:r w:rsidR="001B6810">
        <w:rPr>
          <w:rFonts w:ascii="Arial" w:hAnsi="Arial" w:cs="Arial"/>
        </w:rPr>
        <w:t>Autorského dozoru</w:t>
      </w:r>
      <w:r w:rsidR="007178CE">
        <w:rPr>
          <w:rFonts w:ascii="Arial" w:hAnsi="Arial" w:cs="Arial"/>
        </w:rPr>
        <w:t xml:space="preserve"> a Inženýrské činnosti</w:t>
      </w:r>
      <w:r w:rsidR="001B6810">
        <w:rPr>
          <w:rFonts w:ascii="Arial" w:hAnsi="Arial" w:cs="Arial"/>
        </w:rPr>
        <w:t xml:space="preserve"> </w:t>
      </w:r>
      <w:r w:rsidR="007F68D7" w:rsidRPr="00CD5F8A">
        <w:rPr>
          <w:rFonts w:ascii="Arial" w:hAnsi="Arial" w:cs="Arial"/>
        </w:rPr>
        <w:t xml:space="preserve">nebyla vyčerpána </w:t>
      </w:r>
      <w:r w:rsidR="007A4ABC">
        <w:rPr>
          <w:rFonts w:ascii="Arial" w:hAnsi="Arial" w:cs="Arial"/>
        </w:rPr>
        <w:t xml:space="preserve">ze sjednané ceny </w:t>
      </w:r>
      <w:r w:rsidR="007F68D7" w:rsidRPr="00CD5F8A">
        <w:rPr>
          <w:rFonts w:ascii="Arial" w:hAnsi="Arial" w:cs="Arial"/>
        </w:rPr>
        <w:t xml:space="preserve">částka </w:t>
      </w:r>
      <w:r w:rsidR="00084DDD" w:rsidRPr="00CD5F8A">
        <w:rPr>
          <w:rFonts w:ascii="Arial" w:hAnsi="Arial" w:cs="Arial"/>
        </w:rPr>
        <w:t>59</w:t>
      </w:r>
      <w:r w:rsidR="00152777" w:rsidRPr="00CD5F8A">
        <w:rPr>
          <w:rFonts w:ascii="Arial" w:hAnsi="Arial" w:cs="Arial"/>
        </w:rPr>
        <w:t>.</w:t>
      </w:r>
      <w:r w:rsidR="00084DDD" w:rsidRPr="00CD5F8A">
        <w:rPr>
          <w:rFonts w:ascii="Arial" w:hAnsi="Arial" w:cs="Arial"/>
        </w:rPr>
        <w:t>500,00</w:t>
      </w:r>
      <w:r w:rsidR="0051413B" w:rsidRPr="00CD5F8A">
        <w:rPr>
          <w:rFonts w:ascii="Arial" w:hAnsi="Arial" w:cs="Arial"/>
        </w:rPr>
        <w:t xml:space="preserve"> Kč</w:t>
      </w:r>
      <w:r w:rsidR="000C7375">
        <w:rPr>
          <w:rFonts w:ascii="Arial" w:hAnsi="Arial" w:cs="Arial"/>
        </w:rPr>
        <w:t xml:space="preserve">, </w:t>
      </w:r>
    </w:p>
    <w:p w14:paraId="6C19B030" w14:textId="77777777" w:rsidR="00DE63FA" w:rsidRPr="00CD5F8A" w:rsidRDefault="00DE63FA" w:rsidP="00DE63FA">
      <w:pPr>
        <w:pStyle w:val="Odstavecseseznamem"/>
        <w:rPr>
          <w:rFonts w:ascii="Arial" w:hAnsi="Arial" w:cs="Arial"/>
        </w:rPr>
      </w:pPr>
    </w:p>
    <w:p w14:paraId="6CD584FE" w14:textId="2C125943" w:rsidR="00B41825" w:rsidRPr="00CD5F8A" w:rsidRDefault="005F0B27" w:rsidP="00B428F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ukončily</w:t>
      </w:r>
      <w:r w:rsidR="004D53B3" w:rsidRPr="00CD5F8A">
        <w:rPr>
          <w:rFonts w:ascii="Arial" w:hAnsi="Arial" w:cs="Arial"/>
        </w:rPr>
        <w:t xml:space="preserve"> spolupráci </w:t>
      </w:r>
      <w:r w:rsidR="000226F6">
        <w:rPr>
          <w:rFonts w:ascii="Arial" w:hAnsi="Arial" w:cs="Arial"/>
        </w:rPr>
        <w:t>na Autorském dozoru</w:t>
      </w:r>
      <w:r w:rsidR="007178CE">
        <w:rPr>
          <w:rFonts w:ascii="Arial" w:hAnsi="Arial" w:cs="Arial"/>
        </w:rPr>
        <w:t xml:space="preserve"> a Inženýrské činnosti</w:t>
      </w:r>
      <w:r w:rsidR="000226F6">
        <w:rPr>
          <w:rFonts w:ascii="Arial" w:hAnsi="Arial" w:cs="Arial"/>
        </w:rPr>
        <w:t xml:space="preserve"> </w:t>
      </w:r>
      <w:r w:rsidR="004D53B3" w:rsidRPr="00CD5F8A">
        <w:rPr>
          <w:rFonts w:ascii="Arial" w:hAnsi="Arial" w:cs="Arial"/>
        </w:rPr>
        <w:t>dle Smlouvy</w:t>
      </w:r>
      <w:r w:rsidR="000C7375">
        <w:rPr>
          <w:rFonts w:ascii="Arial" w:hAnsi="Arial" w:cs="Arial"/>
        </w:rPr>
        <w:t xml:space="preserve"> </w:t>
      </w:r>
      <w:r w:rsidR="000226F6">
        <w:rPr>
          <w:rFonts w:ascii="Arial" w:hAnsi="Arial" w:cs="Arial"/>
        </w:rPr>
        <w:t>ve spojení se</w:t>
      </w:r>
      <w:r w:rsidR="000C7375">
        <w:rPr>
          <w:rFonts w:ascii="Arial" w:hAnsi="Arial" w:cs="Arial"/>
        </w:rPr>
        <w:t xml:space="preserve"> Smlouv</w:t>
      </w:r>
      <w:r w:rsidR="000226F6">
        <w:rPr>
          <w:rFonts w:ascii="Arial" w:hAnsi="Arial" w:cs="Arial"/>
        </w:rPr>
        <w:t>ou</w:t>
      </w:r>
      <w:r w:rsidR="000C7375">
        <w:rPr>
          <w:rFonts w:ascii="Arial" w:hAnsi="Arial" w:cs="Arial"/>
        </w:rPr>
        <w:t xml:space="preserve"> o dílo</w:t>
      </w:r>
      <w:r w:rsidR="004D53B3" w:rsidRPr="00CD5F8A">
        <w:rPr>
          <w:rFonts w:ascii="Arial" w:hAnsi="Arial" w:cs="Arial"/>
        </w:rPr>
        <w:t xml:space="preserve"> </w:t>
      </w:r>
      <w:r w:rsidR="000226F6">
        <w:rPr>
          <w:rFonts w:ascii="Arial" w:hAnsi="Arial" w:cs="Arial"/>
        </w:rPr>
        <w:t xml:space="preserve">ke </w:t>
      </w:r>
      <w:r w:rsidR="004D53B3" w:rsidRPr="00CD5F8A">
        <w:rPr>
          <w:rFonts w:ascii="Arial" w:hAnsi="Arial" w:cs="Arial"/>
        </w:rPr>
        <w:t>dn</w:t>
      </w:r>
      <w:r w:rsidR="000226F6">
        <w:rPr>
          <w:rFonts w:ascii="Arial" w:hAnsi="Arial" w:cs="Arial"/>
        </w:rPr>
        <w:t>i</w:t>
      </w:r>
      <w:r w:rsidR="004D53B3" w:rsidRPr="00CD5F8A">
        <w:rPr>
          <w:rFonts w:ascii="Arial" w:hAnsi="Arial" w:cs="Arial"/>
        </w:rPr>
        <w:t xml:space="preserve"> </w:t>
      </w:r>
      <w:r w:rsidR="001F6E2C">
        <w:rPr>
          <w:rFonts w:ascii="Arial" w:hAnsi="Arial" w:cs="Arial"/>
        </w:rPr>
        <w:t>23. 11. 2023.</w:t>
      </w:r>
    </w:p>
    <w:p w14:paraId="565BF8DC" w14:textId="77777777" w:rsidR="00B41825" w:rsidRDefault="00B41825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8DA04C" w14:textId="77777777" w:rsidR="00B72631" w:rsidRPr="00CD5F8A" w:rsidRDefault="00B72631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C6059D" w14:textId="69DB3786" w:rsidR="00B41825" w:rsidRPr="00CD5F8A" w:rsidRDefault="008815BE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B41825" w:rsidRPr="00CD5F8A">
        <w:rPr>
          <w:rFonts w:ascii="Arial" w:hAnsi="Arial" w:cs="Arial"/>
          <w:b/>
          <w:bCs/>
          <w:color w:val="auto"/>
          <w:sz w:val="22"/>
          <w:szCs w:val="22"/>
        </w:rPr>
        <w:t>II.</w:t>
      </w:r>
    </w:p>
    <w:p w14:paraId="601EA61A" w14:textId="265D297C" w:rsidR="00B41825" w:rsidRPr="00CD5F8A" w:rsidRDefault="00B41825" w:rsidP="00B41825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Smluvní strany konstatují</w:t>
      </w:r>
      <w:r w:rsidR="00307284" w:rsidRPr="00CD5F8A">
        <w:rPr>
          <w:rFonts w:ascii="Arial" w:hAnsi="Arial" w:cs="Arial"/>
        </w:rPr>
        <w:t xml:space="preserve"> a činí nesporným</w:t>
      </w:r>
      <w:r w:rsidRPr="00CD5F8A">
        <w:rPr>
          <w:rFonts w:ascii="Arial" w:hAnsi="Arial" w:cs="Arial"/>
        </w:rPr>
        <w:t xml:space="preserve">, že: </w:t>
      </w:r>
    </w:p>
    <w:p w14:paraId="4AE21DFA" w14:textId="3562EE36" w:rsidR="00FD2DFE" w:rsidRDefault="00D55BF4" w:rsidP="00B4182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Autorsk</w:t>
      </w:r>
      <w:r w:rsidR="00C93DCC">
        <w:rPr>
          <w:rFonts w:ascii="Arial" w:hAnsi="Arial" w:cs="Arial"/>
          <w:color w:val="auto"/>
          <w:sz w:val="22"/>
          <w:szCs w:val="22"/>
        </w:rPr>
        <w:t>ý</w:t>
      </w:r>
      <w:r>
        <w:rPr>
          <w:rFonts w:ascii="Arial" w:hAnsi="Arial" w:cs="Arial"/>
          <w:color w:val="auto"/>
          <w:sz w:val="22"/>
          <w:szCs w:val="22"/>
        </w:rPr>
        <w:t xml:space="preserve"> dozor </w:t>
      </w:r>
      <w:r w:rsidR="00C93DCC">
        <w:rPr>
          <w:rFonts w:ascii="Arial" w:hAnsi="Arial" w:cs="Arial"/>
          <w:color w:val="auto"/>
          <w:sz w:val="22"/>
          <w:szCs w:val="22"/>
        </w:rPr>
        <w:t xml:space="preserve">dle </w:t>
      </w:r>
      <w:r w:rsidR="00FD2DFE" w:rsidRPr="00CD5F8A">
        <w:rPr>
          <w:rFonts w:ascii="Arial" w:hAnsi="Arial" w:cs="Arial"/>
          <w:color w:val="auto"/>
          <w:sz w:val="22"/>
          <w:szCs w:val="22"/>
        </w:rPr>
        <w:t>Smlouv</w:t>
      </w:r>
      <w:r w:rsidR="001C70E9" w:rsidRPr="00CD5F8A">
        <w:rPr>
          <w:rFonts w:ascii="Arial" w:hAnsi="Arial" w:cs="Arial"/>
          <w:color w:val="auto"/>
          <w:sz w:val="22"/>
          <w:szCs w:val="22"/>
        </w:rPr>
        <w:t>y</w:t>
      </w:r>
      <w:r w:rsidR="00FD2DFE" w:rsidRPr="00CD5F8A">
        <w:rPr>
          <w:rFonts w:ascii="Arial" w:hAnsi="Arial" w:cs="Arial"/>
          <w:color w:val="auto"/>
          <w:sz w:val="22"/>
          <w:szCs w:val="22"/>
        </w:rPr>
        <w:t xml:space="preserve"> byl ukončen k</w:t>
      </w:r>
      <w:r w:rsidR="00C93DCC">
        <w:rPr>
          <w:rFonts w:ascii="Arial" w:hAnsi="Arial" w:cs="Arial"/>
          <w:color w:val="auto"/>
          <w:sz w:val="22"/>
          <w:szCs w:val="22"/>
        </w:rPr>
        <w:t>e dni</w:t>
      </w:r>
      <w:r w:rsidR="00FD2DFE" w:rsidRPr="00CD5F8A">
        <w:rPr>
          <w:rFonts w:ascii="Arial" w:hAnsi="Arial" w:cs="Arial"/>
          <w:color w:val="auto"/>
          <w:sz w:val="22"/>
          <w:szCs w:val="22"/>
        </w:rPr>
        <w:t xml:space="preserve"> </w:t>
      </w:r>
      <w:r w:rsidR="001F6E2C">
        <w:rPr>
          <w:rFonts w:ascii="Arial" w:hAnsi="Arial" w:cs="Arial"/>
          <w:color w:val="auto"/>
          <w:sz w:val="22"/>
          <w:szCs w:val="22"/>
        </w:rPr>
        <w:t>23. 11. 2023,</w:t>
      </w:r>
    </w:p>
    <w:p w14:paraId="7385F550" w14:textId="5A215CEE" w:rsidR="007178CE" w:rsidRPr="00CD5F8A" w:rsidRDefault="007178CE" w:rsidP="00B4182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Inženýrská činnost – projednání PD </w:t>
      </w:r>
      <w:r w:rsidR="001F6E2C">
        <w:rPr>
          <w:rFonts w:ascii="Arial" w:hAnsi="Arial" w:cs="Arial"/>
          <w:color w:val="auto"/>
          <w:sz w:val="22"/>
          <w:szCs w:val="22"/>
        </w:rPr>
        <w:t>– ne</w:t>
      </w:r>
      <w:r>
        <w:rPr>
          <w:rFonts w:ascii="Arial" w:hAnsi="Arial" w:cs="Arial"/>
          <w:color w:val="auto"/>
          <w:sz w:val="22"/>
          <w:szCs w:val="22"/>
        </w:rPr>
        <w:t xml:space="preserve">byla </w:t>
      </w:r>
      <w:r w:rsidR="001F6E2C">
        <w:rPr>
          <w:rFonts w:ascii="Arial" w:hAnsi="Arial" w:cs="Arial"/>
          <w:color w:val="auto"/>
          <w:sz w:val="22"/>
          <w:szCs w:val="22"/>
        </w:rPr>
        <w:t>zahájena, nebyla ze strany TSK vyžadována,</w:t>
      </w:r>
    </w:p>
    <w:p w14:paraId="3656E8B7" w14:textId="3C1E1DC7" w:rsidR="001C70E9" w:rsidRPr="00CD5F8A" w:rsidRDefault="00FD2DFE" w:rsidP="0005209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 xml:space="preserve">ze </w:t>
      </w:r>
      <w:r w:rsidR="00496957" w:rsidRPr="00CD5F8A">
        <w:rPr>
          <w:rFonts w:ascii="Arial" w:hAnsi="Arial" w:cs="Arial"/>
          <w:color w:val="auto"/>
          <w:sz w:val="22"/>
          <w:szCs w:val="22"/>
        </w:rPr>
        <w:t>S</w:t>
      </w:r>
      <w:r w:rsidRPr="00CD5F8A">
        <w:rPr>
          <w:rFonts w:ascii="Arial" w:hAnsi="Arial" w:cs="Arial"/>
          <w:color w:val="auto"/>
          <w:sz w:val="22"/>
          <w:szCs w:val="22"/>
        </w:rPr>
        <w:t>mlouvy nevyčerpána částka</w:t>
      </w:r>
      <w:r w:rsidR="00D55BF4">
        <w:rPr>
          <w:rFonts w:ascii="Arial" w:hAnsi="Arial" w:cs="Arial"/>
          <w:color w:val="auto"/>
          <w:sz w:val="22"/>
          <w:szCs w:val="22"/>
        </w:rPr>
        <w:t xml:space="preserve"> za Autorský dozor</w:t>
      </w:r>
      <w:r w:rsidRPr="00CD5F8A">
        <w:rPr>
          <w:rFonts w:ascii="Arial" w:hAnsi="Arial" w:cs="Arial"/>
          <w:color w:val="auto"/>
          <w:sz w:val="22"/>
          <w:szCs w:val="22"/>
        </w:rPr>
        <w:t xml:space="preserve"> </w:t>
      </w:r>
      <w:r w:rsidR="007178CE">
        <w:rPr>
          <w:rFonts w:ascii="Arial" w:hAnsi="Arial" w:cs="Arial"/>
          <w:color w:val="auto"/>
          <w:sz w:val="22"/>
          <w:szCs w:val="22"/>
        </w:rPr>
        <w:t xml:space="preserve">a </w:t>
      </w:r>
      <w:r w:rsidR="00D91ED1">
        <w:rPr>
          <w:rFonts w:ascii="Arial" w:hAnsi="Arial" w:cs="Arial"/>
          <w:color w:val="auto"/>
          <w:sz w:val="22"/>
          <w:szCs w:val="22"/>
        </w:rPr>
        <w:t>I</w:t>
      </w:r>
      <w:r w:rsidR="001F6E2C">
        <w:rPr>
          <w:rFonts w:ascii="Arial" w:hAnsi="Arial" w:cs="Arial"/>
          <w:color w:val="auto"/>
          <w:sz w:val="22"/>
          <w:szCs w:val="22"/>
        </w:rPr>
        <w:t>nženýrskou</w:t>
      </w:r>
      <w:r w:rsidR="007178CE">
        <w:rPr>
          <w:rFonts w:ascii="Arial" w:hAnsi="Arial" w:cs="Arial"/>
          <w:color w:val="auto"/>
          <w:sz w:val="22"/>
          <w:szCs w:val="22"/>
        </w:rPr>
        <w:t xml:space="preserve"> činnost </w:t>
      </w:r>
      <w:r w:rsidR="00D55BF4">
        <w:rPr>
          <w:rFonts w:ascii="Arial" w:hAnsi="Arial" w:cs="Arial"/>
          <w:color w:val="auto"/>
          <w:sz w:val="22"/>
          <w:szCs w:val="22"/>
        </w:rPr>
        <w:t xml:space="preserve">ve výši </w:t>
      </w:r>
      <w:r w:rsidR="00084DDD" w:rsidRPr="00CD5F8A">
        <w:rPr>
          <w:rFonts w:ascii="Arial" w:hAnsi="Arial" w:cs="Arial"/>
          <w:color w:val="auto"/>
          <w:sz w:val="22"/>
          <w:szCs w:val="22"/>
        </w:rPr>
        <w:t>59</w:t>
      </w:r>
      <w:r w:rsidR="001C70E9" w:rsidRPr="00CD5F8A">
        <w:rPr>
          <w:rFonts w:ascii="Arial" w:hAnsi="Arial" w:cs="Arial"/>
          <w:color w:val="auto"/>
          <w:sz w:val="22"/>
          <w:szCs w:val="22"/>
        </w:rPr>
        <w:t>.</w:t>
      </w:r>
      <w:r w:rsidR="00084DDD" w:rsidRPr="00CD5F8A">
        <w:rPr>
          <w:rFonts w:ascii="Arial" w:hAnsi="Arial" w:cs="Arial"/>
          <w:color w:val="auto"/>
          <w:sz w:val="22"/>
          <w:szCs w:val="22"/>
        </w:rPr>
        <w:t>500,</w:t>
      </w:r>
      <w:r w:rsidR="000C3EE4" w:rsidRPr="00CD5F8A">
        <w:rPr>
          <w:rFonts w:ascii="Arial" w:hAnsi="Arial" w:cs="Arial"/>
          <w:color w:val="auto"/>
          <w:sz w:val="22"/>
          <w:szCs w:val="22"/>
        </w:rPr>
        <w:t>- Kč</w:t>
      </w:r>
      <w:r w:rsidRPr="00CD5F8A">
        <w:rPr>
          <w:rFonts w:ascii="Arial" w:hAnsi="Arial" w:cs="Arial"/>
          <w:color w:val="auto"/>
          <w:sz w:val="22"/>
          <w:szCs w:val="22"/>
        </w:rPr>
        <w:t>,</w:t>
      </w:r>
      <w:r w:rsidR="001C70E9" w:rsidRPr="00CD5F8A">
        <w:rPr>
          <w:rFonts w:ascii="Arial" w:hAnsi="Arial" w:cs="Arial"/>
          <w:color w:val="auto"/>
          <w:sz w:val="22"/>
          <w:szCs w:val="22"/>
        </w:rPr>
        <w:t xml:space="preserve"> </w:t>
      </w:r>
      <w:r w:rsidRPr="00CD5F8A">
        <w:rPr>
          <w:rFonts w:ascii="Arial" w:hAnsi="Arial" w:cs="Arial"/>
          <w:color w:val="auto"/>
          <w:sz w:val="22"/>
          <w:szCs w:val="22"/>
        </w:rPr>
        <w:t xml:space="preserve">nebude </w:t>
      </w:r>
      <w:r w:rsidR="00503797">
        <w:rPr>
          <w:rFonts w:ascii="Arial" w:hAnsi="Arial" w:cs="Arial"/>
          <w:color w:val="auto"/>
          <w:sz w:val="22"/>
          <w:szCs w:val="22"/>
        </w:rPr>
        <w:t>Pontex</w:t>
      </w:r>
      <w:r w:rsidR="001C70E9" w:rsidRPr="00CD5F8A">
        <w:rPr>
          <w:rFonts w:ascii="Arial" w:hAnsi="Arial" w:cs="Arial"/>
          <w:color w:val="auto"/>
          <w:sz w:val="22"/>
          <w:szCs w:val="22"/>
        </w:rPr>
        <w:t xml:space="preserve"> vyplacena z důvodu ne</w:t>
      </w:r>
      <w:r w:rsidR="000D3DC1">
        <w:rPr>
          <w:rFonts w:ascii="Arial" w:hAnsi="Arial" w:cs="Arial"/>
          <w:color w:val="auto"/>
          <w:sz w:val="22"/>
          <w:szCs w:val="22"/>
        </w:rPr>
        <w:t xml:space="preserve">vyčerpání </w:t>
      </w:r>
      <w:r w:rsidR="007178CE">
        <w:rPr>
          <w:rFonts w:ascii="Arial" w:hAnsi="Arial" w:cs="Arial"/>
          <w:color w:val="auto"/>
          <w:sz w:val="22"/>
          <w:szCs w:val="22"/>
        </w:rPr>
        <w:t xml:space="preserve">Inženýrské činnosti a </w:t>
      </w:r>
      <w:r w:rsidR="000D3DC1">
        <w:rPr>
          <w:rFonts w:ascii="Arial" w:hAnsi="Arial" w:cs="Arial"/>
          <w:color w:val="auto"/>
          <w:sz w:val="22"/>
          <w:szCs w:val="22"/>
        </w:rPr>
        <w:t xml:space="preserve">Autorského dozoru </w:t>
      </w:r>
      <w:r w:rsidR="001C70E9" w:rsidRPr="00CD5F8A">
        <w:rPr>
          <w:rFonts w:ascii="Arial" w:hAnsi="Arial" w:cs="Arial"/>
          <w:color w:val="auto"/>
          <w:sz w:val="22"/>
          <w:szCs w:val="22"/>
        </w:rPr>
        <w:t>ve sjednaném rozsahu, odpo</w:t>
      </w:r>
      <w:r w:rsidR="000D61D2" w:rsidRPr="00CD5F8A">
        <w:rPr>
          <w:rFonts w:ascii="Arial" w:hAnsi="Arial" w:cs="Arial"/>
          <w:color w:val="auto"/>
          <w:sz w:val="22"/>
          <w:szCs w:val="22"/>
        </w:rPr>
        <w:t>vídající</w:t>
      </w:r>
      <w:r w:rsidR="000D3DC1">
        <w:rPr>
          <w:rFonts w:ascii="Arial" w:hAnsi="Arial" w:cs="Arial"/>
          <w:color w:val="auto"/>
          <w:sz w:val="22"/>
          <w:szCs w:val="22"/>
        </w:rPr>
        <w:t>m</w:t>
      </w:r>
      <w:r w:rsidR="001C70E9" w:rsidRPr="00CD5F8A">
        <w:rPr>
          <w:rFonts w:ascii="Arial" w:hAnsi="Arial" w:cs="Arial"/>
          <w:color w:val="auto"/>
          <w:sz w:val="22"/>
          <w:szCs w:val="22"/>
        </w:rPr>
        <w:t xml:space="preserve"> uvedené částce, </w:t>
      </w:r>
    </w:p>
    <w:p w14:paraId="75DB627C" w14:textId="2915D484" w:rsidR="00B41825" w:rsidRPr="00CD5F8A" w:rsidRDefault="00FD2DFE" w:rsidP="0005209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 xml:space="preserve">veškeré </w:t>
      </w:r>
      <w:r w:rsidR="000D3DC1">
        <w:rPr>
          <w:rFonts w:ascii="Arial" w:hAnsi="Arial" w:cs="Arial"/>
          <w:color w:val="auto"/>
          <w:sz w:val="22"/>
          <w:szCs w:val="22"/>
        </w:rPr>
        <w:t xml:space="preserve">ostatní </w:t>
      </w:r>
      <w:r w:rsidRPr="00CD5F8A">
        <w:rPr>
          <w:rFonts w:ascii="Arial" w:hAnsi="Arial" w:cs="Arial"/>
          <w:color w:val="auto"/>
          <w:sz w:val="22"/>
          <w:szCs w:val="22"/>
        </w:rPr>
        <w:t xml:space="preserve">závazky ze Smlouvy jsou plně vyrovnány a žádná strana nemá vůči druhé straně dalších nároků. </w:t>
      </w:r>
    </w:p>
    <w:p w14:paraId="06ECC53E" w14:textId="77777777" w:rsidR="00B41825" w:rsidRDefault="00B41825" w:rsidP="00BF39A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5D472E6" w14:textId="77777777" w:rsidR="00B72631" w:rsidRPr="00CD5F8A" w:rsidRDefault="00B72631" w:rsidP="00BF39A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60805A" w14:textId="1FFC16FB" w:rsidR="004B6A7E" w:rsidRPr="00CD5F8A" w:rsidRDefault="004B6A7E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D75650" w:rsidRPr="00CD5F8A">
        <w:rPr>
          <w:rFonts w:ascii="Arial" w:hAnsi="Arial" w:cs="Arial"/>
          <w:b/>
          <w:bCs/>
          <w:color w:val="auto"/>
          <w:sz w:val="22"/>
          <w:szCs w:val="22"/>
        </w:rPr>
        <w:t>III.</w:t>
      </w:r>
    </w:p>
    <w:p w14:paraId="5E0F2FD2" w14:textId="3105FF82" w:rsidR="00AB0EAA" w:rsidRPr="00CD5F8A" w:rsidRDefault="00084DDD" w:rsidP="00AB0EAA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CD5F8A">
        <w:rPr>
          <w:rFonts w:ascii="Arial" w:hAnsi="Arial"/>
          <w:szCs w:val="22"/>
        </w:rPr>
        <w:t xml:space="preserve">Pontex </w:t>
      </w:r>
      <w:r w:rsidR="00AB0EAA" w:rsidRPr="00CD5F8A">
        <w:rPr>
          <w:rFonts w:ascii="Arial" w:hAnsi="Arial"/>
          <w:szCs w:val="22"/>
        </w:rPr>
        <w:t xml:space="preserve">bere výslovně na vědomí Etický kodex pro dodavatele/obchodní partnery TSK a zavazuje se jej při plnění této Dohody dodržovat, nebo zajistit dodržování odpovídajících povinností ve stejném rozsahu na základě vlastního (jiného) etického kodexu. To se týká jak oblasti obecných </w:t>
      </w:r>
      <w:proofErr w:type="spellStart"/>
      <w:r w:rsidR="00AB0EAA" w:rsidRPr="00CD5F8A">
        <w:rPr>
          <w:rFonts w:ascii="Arial" w:hAnsi="Arial"/>
          <w:szCs w:val="22"/>
        </w:rPr>
        <w:t>Compliance</w:t>
      </w:r>
      <w:proofErr w:type="spellEnd"/>
      <w:r w:rsidR="00AB0EAA" w:rsidRPr="00CD5F8A">
        <w:rPr>
          <w:rFonts w:ascii="Arial" w:hAnsi="Arial"/>
          <w:szCs w:val="22"/>
        </w:rPr>
        <w:t xml:space="preserve"> zásad, tak i specifických požadavků vztahujících se k </w:t>
      </w:r>
      <w:r w:rsidR="00AB0EAA" w:rsidRPr="00CD5F8A">
        <w:rPr>
          <w:rFonts w:ascii="Arial" w:hAnsi="Arial"/>
          <w:szCs w:val="22"/>
        </w:rPr>
        <w:lastRenderedPageBreak/>
        <w:t>nulové toleranci korupčního jednání a celkovému dodržování zásad slušnosti, poctivosti a dobrých mravů.</w:t>
      </w:r>
    </w:p>
    <w:p w14:paraId="07AA838D" w14:textId="5D10E283" w:rsidR="00AB0EAA" w:rsidRPr="00CD5F8A" w:rsidRDefault="00084DDD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CD5F8A">
        <w:rPr>
          <w:rFonts w:ascii="Arial" w:hAnsi="Arial"/>
          <w:szCs w:val="22"/>
        </w:rPr>
        <w:t xml:space="preserve">Pontex </w:t>
      </w:r>
      <w:r w:rsidR="00AB0EAA" w:rsidRPr="00CD5F8A">
        <w:rPr>
          <w:rFonts w:ascii="Arial" w:hAnsi="Arial"/>
          <w:szCs w:val="22"/>
        </w:rPr>
        <w:t>bere dále výslovně na vědomí, že Souhrnná smluvní doložka obsahuje i jiné povinnosti nad rámec odst. 1 výše, a to zejména z oblasti absence mezinárodních a národních sankcí, nebo zamezování střetu zájmů ve smyslu zákona č. 159/2006 Sb.</w:t>
      </w:r>
      <w:r w:rsidR="00BF39AE" w:rsidRPr="00CD5F8A">
        <w:rPr>
          <w:rFonts w:ascii="Arial" w:hAnsi="Arial"/>
          <w:szCs w:val="22"/>
        </w:rPr>
        <w:t xml:space="preserve"> Pontex</w:t>
      </w:r>
      <w:r w:rsidR="00AB0EAA" w:rsidRPr="00CD5F8A">
        <w:rPr>
          <w:rFonts w:ascii="Arial" w:hAnsi="Arial"/>
          <w:szCs w:val="22"/>
        </w:rPr>
        <w:t xml:space="preserve"> se zavazuje tyto povinnosti dodržovat.  </w:t>
      </w:r>
    </w:p>
    <w:p w14:paraId="33858028" w14:textId="7195717D" w:rsidR="00AB0EAA" w:rsidRPr="00CD5F8A" w:rsidRDefault="00084DDD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CD5F8A">
        <w:rPr>
          <w:rFonts w:ascii="Arial" w:hAnsi="Arial"/>
          <w:szCs w:val="22"/>
        </w:rPr>
        <w:t xml:space="preserve">Pontex </w:t>
      </w:r>
      <w:r w:rsidR="00AB0EAA" w:rsidRPr="00CD5F8A">
        <w:rPr>
          <w:rFonts w:ascii="Arial" w:hAnsi="Arial"/>
          <w:szCs w:val="22"/>
        </w:rPr>
        <w:t xml:space="preserve">výslovně prohlašuje, že si je vědoma kontrolních i sankčních oprávnění TSK vyplývajících ze všech částí Souhrnné smluvní doložky, a že s nimi souhlasí; a v případě, že proti němu budou uplatněny, se zavazuje je akceptovat. </w:t>
      </w:r>
    </w:p>
    <w:p w14:paraId="7CF4EC1B" w14:textId="369766F7" w:rsidR="00522098" w:rsidRPr="00CD5F8A" w:rsidRDefault="00AB0EAA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CD5F8A">
        <w:rPr>
          <w:rFonts w:ascii="Arial" w:hAnsi="Arial"/>
          <w:szCs w:val="22"/>
        </w:rPr>
        <w:t xml:space="preserve">Podrobně jsou práva a povinnosti smluvních stran rozvedeny v příloze č. </w:t>
      </w:r>
      <w:r w:rsidR="00B83629">
        <w:rPr>
          <w:rFonts w:ascii="Arial" w:hAnsi="Arial"/>
          <w:szCs w:val="22"/>
        </w:rPr>
        <w:t>1</w:t>
      </w:r>
      <w:r w:rsidRPr="00CD5F8A">
        <w:rPr>
          <w:rFonts w:ascii="Arial" w:hAnsi="Arial"/>
          <w:szCs w:val="22"/>
        </w:rPr>
        <w:t xml:space="preserve"> Souhrnná smluvní doložka, která tvoří nedílnou součást Dohody. V uvedeném textu je výraz „</w:t>
      </w:r>
      <w:r w:rsidR="000D61D2" w:rsidRPr="00CD5F8A">
        <w:rPr>
          <w:rFonts w:ascii="Arial" w:hAnsi="Arial"/>
          <w:szCs w:val="22"/>
        </w:rPr>
        <w:t>Pon</w:t>
      </w:r>
      <w:r w:rsidR="00C13F86" w:rsidRPr="00CD5F8A">
        <w:rPr>
          <w:rFonts w:ascii="Arial" w:hAnsi="Arial"/>
          <w:szCs w:val="22"/>
        </w:rPr>
        <w:t>tex</w:t>
      </w:r>
      <w:r w:rsidRPr="00CD5F8A">
        <w:rPr>
          <w:rFonts w:ascii="Arial" w:hAnsi="Arial"/>
          <w:szCs w:val="22"/>
        </w:rPr>
        <w:t xml:space="preserve">“ nahrazen výrazem „dodavatel“, výraz „strany“ výrazem „Smluvní strany“. </w:t>
      </w:r>
    </w:p>
    <w:p w14:paraId="785C862E" w14:textId="77777777" w:rsidR="00522098" w:rsidRDefault="00522098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DBFA4F" w14:textId="77777777" w:rsidR="00B72631" w:rsidRPr="00CD5F8A" w:rsidRDefault="00B72631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1F7DF5" w14:textId="30A9E641" w:rsidR="00522098" w:rsidRPr="00CD5F8A" w:rsidRDefault="00522098" w:rsidP="0052209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D5F8A">
        <w:rPr>
          <w:rFonts w:ascii="Arial" w:hAnsi="Arial" w:cs="Arial"/>
          <w:b/>
          <w:bCs/>
          <w:color w:val="auto"/>
          <w:sz w:val="22"/>
          <w:szCs w:val="22"/>
        </w:rPr>
        <w:t>Článek IV.</w:t>
      </w:r>
    </w:p>
    <w:p w14:paraId="7F28E298" w14:textId="77777777" w:rsidR="004B6A7E" w:rsidRPr="00CD5F8A" w:rsidRDefault="004B6A7E" w:rsidP="004B6A7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E89E29E" w14:textId="6111D95D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Dohoda je vyhotovena ve třech stejnopisech, z toho </w:t>
      </w:r>
      <w:r w:rsidR="00711E24" w:rsidRPr="00CD5F8A">
        <w:rPr>
          <w:rFonts w:ascii="Arial" w:hAnsi="Arial" w:cs="Arial"/>
        </w:rPr>
        <w:t>TSK</w:t>
      </w:r>
      <w:r w:rsidRPr="00CD5F8A">
        <w:rPr>
          <w:rFonts w:ascii="Arial" w:hAnsi="Arial" w:cs="Arial"/>
        </w:rPr>
        <w:t xml:space="preserve"> obdrží dva stejnopisy a </w:t>
      </w:r>
      <w:r w:rsidR="00BF39AE" w:rsidRPr="00CD5F8A">
        <w:rPr>
          <w:rFonts w:ascii="Arial" w:hAnsi="Arial" w:cs="Arial"/>
        </w:rPr>
        <w:t>Pontex</w:t>
      </w:r>
      <w:r w:rsidRPr="00CD5F8A">
        <w:rPr>
          <w:rFonts w:ascii="Arial" w:hAnsi="Arial" w:cs="Arial"/>
        </w:rPr>
        <w:t xml:space="preserve"> jeden stejnopis. V případě, že je Dohoda uzavírána elektronicky za využití uznávaných elektronických podpisů, postačí jedno vyhotovení Dohody, na kterém jsou zaznamenány uznávané elektronické podpisy zástupců smluvních stran dle zákona č. 297/2016 Sb., o službách vytvářejících důvěru v elektronické transakce, ve znění pozdějších předpisů</w:t>
      </w:r>
      <w:r w:rsidR="00D75650" w:rsidRPr="00CD5F8A">
        <w:rPr>
          <w:rFonts w:ascii="Arial" w:hAnsi="Arial" w:cs="Arial"/>
        </w:rPr>
        <w:t xml:space="preserve">. </w:t>
      </w:r>
    </w:p>
    <w:p w14:paraId="0389421B" w14:textId="77777777" w:rsidR="00D75650" w:rsidRPr="00CD5F8A" w:rsidRDefault="00D75650" w:rsidP="00D75650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6AC7BBE9" w14:textId="43B9C559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Smluvní strany se zavazují, že se budou bez zbytečného odkladu vzájemně informovat o skutečnostech rozhodných pro plnění dle Dohody.</w:t>
      </w:r>
      <w:r w:rsidR="00D75650" w:rsidRPr="00CD5F8A">
        <w:rPr>
          <w:rFonts w:ascii="Arial" w:hAnsi="Arial" w:cs="Arial"/>
        </w:rPr>
        <w:t xml:space="preserve"> </w:t>
      </w:r>
    </w:p>
    <w:p w14:paraId="25318497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0B80C4CC" w14:textId="53017967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Dohoda nabývá platnosti dnem jejího podpisu oprávněnými zástupci smluvních stran a účinnosti dnem uveřejnění v registru smluv. Jakákoliv jednání směřující ke změně nebo ukončení této Dohody musí být učiněny v písemné formě.</w:t>
      </w:r>
      <w:r w:rsidR="00D75650" w:rsidRPr="00CD5F8A">
        <w:rPr>
          <w:rFonts w:ascii="Arial" w:hAnsi="Arial" w:cs="Arial"/>
        </w:rPr>
        <w:t xml:space="preserve"> </w:t>
      </w:r>
    </w:p>
    <w:p w14:paraId="30965CD0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660A6FFE" w14:textId="77777777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Smluvní strany prohlašují, že skutečnosti uvedené v Dohodě nepovažují za obchodní tajemství ve smyslu § 504 občanského zákoníku a udělují svolení k jejich užití a zveřejnění bez stanovení jakýchkoli dalších podmínek. </w:t>
      </w:r>
    </w:p>
    <w:p w14:paraId="5429846B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397751B8" w14:textId="17BFD714" w:rsidR="004B6A7E" w:rsidRPr="00CD5F8A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Smluvní strany výslovně sjednávají, že uveřejnění Dohody v registru smluv dle zákona č. 340/2015 Sb., o registru smluv, ve znění pozdějších předpisů zajistí </w:t>
      </w:r>
      <w:r w:rsidR="000616B2" w:rsidRPr="00CD5F8A">
        <w:rPr>
          <w:rFonts w:ascii="Arial" w:hAnsi="Arial" w:cs="Arial"/>
        </w:rPr>
        <w:t xml:space="preserve">TSK. </w:t>
      </w:r>
      <w:r w:rsidR="00F20D1A" w:rsidRPr="00CD5F8A">
        <w:rPr>
          <w:rFonts w:ascii="Arial" w:hAnsi="Arial" w:cs="Arial"/>
        </w:rPr>
        <w:t xml:space="preserve"> </w:t>
      </w:r>
    </w:p>
    <w:p w14:paraId="5AACF90A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19CFB4D7" w14:textId="77777777" w:rsidR="00F84934" w:rsidRPr="00CD5F8A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63C557B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0EFB544F" w14:textId="77777777" w:rsidR="00F84934" w:rsidRPr="00CD5F8A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Smluvní strany prohlašují, že se dohodly na obsahu Dohody, že byla uzavřena po vzájemném projednání, nepříčí se dobrým mravům a neodporuje právním předpisům. Na důkaz toho připojují vlastnoruční podpisy.</w:t>
      </w:r>
    </w:p>
    <w:p w14:paraId="70455DA2" w14:textId="77777777" w:rsidR="00D75650" w:rsidRPr="00CD5F8A" w:rsidRDefault="00D75650" w:rsidP="00D75650">
      <w:pPr>
        <w:spacing w:after="0"/>
        <w:jc w:val="both"/>
        <w:rPr>
          <w:rFonts w:ascii="Arial" w:hAnsi="Arial" w:cs="Arial"/>
        </w:rPr>
      </w:pPr>
    </w:p>
    <w:p w14:paraId="1F5D4E79" w14:textId="0EB348C5" w:rsidR="009D2F64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D5F8A">
        <w:rPr>
          <w:rFonts w:ascii="Arial" w:hAnsi="Arial" w:cs="Arial"/>
        </w:rPr>
        <w:t>Smluvní strany jsou povinny zdržet se jakéhokoliv konání či nekonání, kterým by byl zmařen účel této Dohody.</w:t>
      </w:r>
    </w:p>
    <w:p w14:paraId="4657AAF0" w14:textId="7DFCF0E3" w:rsidR="00777FFD" w:rsidRPr="001F6E2C" w:rsidRDefault="00777FFD" w:rsidP="001F6E2C">
      <w:pPr>
        <w:rPr>
          <w:rFonts w:ascii="Arial" w:hAnsi="Arial" w:cs="Arial"/>
        </w:rPr>
      </w:pPr>
    </w:p>
    <w:p w14:paraId="6AF7FAA6" w14:textId="3E7C10B1" w:rsidR="00777FFD" w:rsidRPr="00CD5F8A" w:rsidRDefault="00777FFD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č. 1 </w:t>
      </w:r>
      <w:r w:rsidRPr="00CD5F8A">
        <w:rPr>
          <w:rFonts w:ascii="Arial" w:hAnsi="Arial"/>
        </w:rPr>
        <w:t>Souhrnná smluvní doložka</w:t>
      </w:r>
    </w:p>
    <w:p w14:paraId="3E286CE4" w14:textId="77777777" w:rsidR="00D368F9" w:rsidRPr="00CD5F8A" w:rsidRDefault="00D368F9" w:rsidP="00A478E1">
      <w:pPr>
        <w:spacing w:after="0"/>
        <w:jc w:val="both"/>
        <w:rPr>
          <w:rFonts w:ascii="Arial" w:hAnsi="Arial" w:cs="Arial"/>
        </w:rPr>
      </w:pPr>
    </w:p>
    <w:p w14:paraId="134B8C1A" w14:textId="7F269A78" w:rsidR="00F84934" w:rsidRDefault="00F8493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700E1A9" w14:textId="520F5772" w:rsidR="001F6E2C" w:rsidRDefault="001F6E2C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9A842F" w14:textId="77777777" w:rsidR="001F6E2C" w:rsidRPr="00CD5F8A" w:rsidRDefault="001F6E2C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E63F8B" w14:textId="253311A2" w:rsidR="00D368F9" w:rsidRPr="00CD5F8A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>V</w:t>
      </w:r>
      <w:r w:rsidR="004D1500" w:rsidRPr="00CD5F8A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CD5F8A">
        <w:rPr>
          <w:rFonts w:ascii="Arial" w:hAnsi="Arial" w:cs="Arial"/>
          <w:color w:val="auto"/>
          <w:sz w:val="22"/>
          <w:szCs w:val="22"/>
        </w:rPr>
        <w:t>dne</w:t>
      </w:r>
      <w:r w:rsidR="009B021C">
        <w:rPr>
          <w:rFonts w:ascii="Arial" w:hAnsi="Arial" w:cs="Arial"/>
          <w:color w:val="auto"/>
          <w:sz w:val="22"/>
          <w:szCs w:val="22"/>
        </w:rPr>
        <w:t xml:space="preserve"> 27</w:t>
      </w:r>
      <w:r w:rsidR="00446FA1">
        <w:rPr>
          <w:rFonts w:ascii="Arial" w:hAnsi="Arial" w:cs="Arial"/>
          <w:color w:val="auto"/>
          <w:sz w:val="22"/>
          <w:szCs w:val="22"/>
        </w:rPr>
        <w:t>. 2. 2024</w:t>
      </w:r>
      <w:r w:rsidRPr="00CD5F8A">
        <w:rPr>
          <w:rFonts w:ascii="Arial" w:hAnsi="Arial" w:cs="Arial"/>
          <w:color w:val="auto"/>
          <w:sz w:val="22"/>
          <w:szCs w:val="22"/>
        </w:rPr>
        <w:tab/>
      </w:r>
      <w:r w:rsidRPr="00CD5F8A">
        <w:rPr>
          <w:rFonts w:ascii="Arial" w:hAnsi="Arial" w:cs="Arial"/>
          <w:color w:val="auto"/>
          <w:sz w:val="22"/>
          <w:szCs w:val="22"/>
        </w:rPr>
        <w:tab/>
      </w:r>
      <w:r w:rsidR="00224882" w:rsidRPr="00CD5F8A">
        <w:rPr>
          <w:rFonts w:ascii="Arial" w:hAnsi="Arial" w:cs="Arial"/>
          <w:color w:val="auto"/>
          <w:sz w:val="22"/>
          <w:szCs w:val="22"/>
        </w:rPr>
        <w:tab/>
      </w:r>
      <w:r w:rsidR="00224882" w:rsidRPr="00CD5F8A">
        <w:rPr>
          <w:rFonts w:ascii="Arial" w:hAnsi="Arial" w:cs="Arial"/>
          <w:color w:val="auto"/>
          <w:sz w:val="22"/>
          <w:szCs w:val="22"/>
        </w:rPr>
        <w:tab/>
      </w:r>
      <w:r w:rsidRPr="00CD5F8A">
        <w:rPr>
          <w:rFonts w:ascii="Arial" w:hAnsi="Arial" w:cs="Arial"/>
          <w:color w:val="auto"/>
          <w:sz w:val="22"/>
          <w:szCs w:val="22"/>
        </w:rPr>
        <w:t>V</w:t>
      </w:r>
      <w:r w:rsidR="004D1500" w:rsidRPr="00CD5F8A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CD5F8A">
        <w:rPr>
          <w:rFonts w:ascii="Arial" w:hAnsi="Arial" w:cs="Arial"/>
          <w:color w:val="auto"/>
          <w:sz w:val="22"/>
          <w:szCs w:val="22"/>
        </w:rPr>
        <w:t>dne……………………</w:t>
      </w:r>
    </w:p>
    <w:p w14:paraId="47AAF0F3" w14:textId="77777777" w:rsidR="00F84934" w:rsidRPr="00CD5F8A" w:rsidRDefault="00F8493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2093BC" w14:textId="285E14A1" w:rsidR="00D368F9" w:rsidRPr="00CD5F8A" w:rsidRDefault="00C55EE0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t xml:space="preserve">Za </w:t>
      </w:r>
      <w:r w:rsidR="00BF39AE" w:rsidRPr="00CD5F8A">
        <w:rPr>
          <w:rFonts w:ascii="Arial" w:eastAsia="Times New Roman" w:hAnsi="Arial" w:cs="Arial"/>
          <w:sz w:val="22"/>
          <w:szCs w:val="22"/>
          <w:lang w:eastAsia="cs-CZ"/>
        </w:rPr>
        <w:t xml:space="preserve">Technická správa komunikací hl. města Prahy, a.s.      </w:t>
      </w:r>
      <w:r w:rsidRPr="00CD5F8A">
        <w:rPr>
          <w:rFonts w:ascii="Arial" w:hAnsi="Arial" w:cs="Arial"/>
          <w:color w:val="auto"/>
          <w:sz w:val="22"/>
          <w:szCs w:val="22"/>
        </w:rPr>
        <w:t xml:space="preserve">Za </w:t>
      </w:r>
      <w:r w:rsidR="00BF39AE" w:rsidRPr="00CD5F8A">
        <w:rPr>
          <w:rFonts w:ascii="Arial" w:hAnsi="Arial" w:cs="Arial"/>
          <w:color w:val="auto"/>
          <w:sz w:val="22"/>
          <w:szCs w:val="22"/>
        </w:rPr>
        <w:t>Pontex</w:t>
      </w:r>
      <w:r w:rsidR="001F6E2C">
        <w:rPr>
          <w:rFonts w:ascii="Arial" w:hAnsi="Arial" w:cs="Arial"/>
          <w:color w:val="auto"/>
          <w:sz w:val="22"/>
          <w:szCs w:val="22"/>
        </w:rPr>
        <w:t>,</w:t>
      </w:r>
      <w:r w:rsidR="00BF39AE" w:rsidRPr="00CD5F8A">
        <w:rPr>
          <w:rFonts w:ascii="Arial" w:hAnsi="Arial" w:cs="Arial"/>
          <w:color w:val="auto"/>
          <w:sz w:val="22"/>
          <w:szCs w:val="22"/>
        </w:rPr>
        <w:t xml:space="preserve"> spol s.r.o.</w:t>
      </w:r>
    </w:p>
    <w:p w14:paraId="55D36CC3" w14:textId="41A0C2A2" w:rsidR="00C55EE0" w:rsidRPr="00CD5F8A" w:rsidRDefault="00C55EE0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57A4E1" w14:textId="0E3EA631" w:rsidR="00703051" w:rsidRPr="00CD5F8A" w:rsidRDefault="0070305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A492C0" w14:textId="77777777" w:rsidR="00BF39AE" w:rsidRPr="00CD5F8A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79403BA" w14:textId="77777777" w:rsidR="00BF39AE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57162B4" w14:textId="77777777" w:rsidR="00B72631" w:rsidRPr="00CD5F8A" w:rsidRDefault="00B7263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02B1E5" w14:textId="6DDB5F1C" w:rsidR="00BF39AE" w:rsidRPr="00CD5F8A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5F8A">
        <w:rPr>
          <w:rFonts w:ascii="Arial" w:hAnsi="Arial" w:cs="Arial"/>
          <w:snapToGrid w:val="0"/>
          <w:sz w:val="22"/>
          <w:szCs w:val="22"/>
        </w:rPr>
        <w:t xml:space="preserve">.................……………………………...                         .................……………………………...  </w:t>
      </w:r>
    </w:p>
    <w:p w14:paraId="74C3E8D6" w14:textId="57D2E17A" w:rsidR="00BE1C43" w:rsidRPr="00DF7E65" w:rsidRDefault="00BE1C43" w:rsidP="00BE1C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E65">
        <w:rPr>
          <w:rFonts w:ascii="Arial" w:hAnsi="Arial" w:cs="Arial"/>
          <w:sz w:val="22"/>
          <w:szCs w:val="22"/>
        </w:rPr>
        <w:t xml:space="preserve">Mgr. Jozef Sinčák, MBA,                                              </w:t>
      </w:r>
      <w:r w:rsidRPr="00CD5F8A">
        <w:rPr>
          <w:rFonts w:ascii="Arial" w:hAnsi="Arial" w:cs="Arial"/>
          <w:bCs/>
        </w:rPr>
        <w:t xml:space="preserve">Ing. </w:t>
      </w:r>
      <w:r w:rsidR="000B296A">
        <w:rPr>
          <w:rFonts w:ascii="Arial" w:hAnsi="Arial" w:cs="Arial"/>
          <w:bCs/>
        </w:rPr>
        <w:t>Martin Havlík</w:t>
      </w:r>
    </w:p>
    <w:p w14:paraId="2E23FA15" w14:textId="393077E5" w:rsidR="00BF39AE" w:rsidRPr="00CD5F8A" w:rsidRDefault="00BE1C43" w:rsidP="00BE1C43">
      <w:pPr>
        <w:spacing w:after="0"/>
        <w:rPr>
          <w:rFonts w:ascii="Arial" w:hAnsi="Arial" w:cs="Arial"/>
        </w:rPr>
      </w:pPr>
      <w:r w:rsidRPr="00DF7E65">
        <w:rPr>
          <w:rFonts w:ascii="Arial" w:hAnsi="Arial" w:cs="Arial"/>
        </w:rPr>
        <w:t>generální ředitel a předseda představenstva</w:t>
      </w:r>
      <w:r>
        <w:rPr>
          <w:rFonts w:ascii="Arial" w:hAnsi="Arial" w:cs="Arial"/>
        </w:rPr>
        <w:t xml:space="preserve">               </w:t>
      </w:r>
      <w:r w:rsidRPr="00DF7E65">
        <w:rPr>
          <w:rFonts w:ascii="Arial" w:hAnsi="Arial" w:cs="Arial"/>
        </w:rPr>
        <w:t xml:space="preserve"> </w:t>
      </w:r>
      <w:r w:rsidRPr="00CD5F8A">
        <w:rPr>
          <w:rFonts w:ascii="Arial" w:hAnsi="Arial" w:cs="Arial"/>
        </w:rPr>
        <w:t xml:space="preserve">jednatel     </w:t>
      </w:r>
      <w:r w:rsidR="00BF39AE" w:rsidRPr="00CD5F8A">
        <w:rPr>
          <w:rFonts w:ascii="Arial" w:eastAsia="Calibri" w:hAnsi="Arial" w:cs="Arial"/>
        </w:rPr>
        <w:tab/>
        <w:t xml:space="preserve">             </w:t>
      </w:r>
    </w:p>
    <w:p w14:paraId="353DD464" w14:textId="6FA047DF" w:rsidR="00BF39AE" w:rsidRPr="00CD5F8A" w:rsidRDefault="00BF39AE" w:rsidP="00BF39AE">
      <w:pPr>
        <w:spacing w:after="0"/>
        <w:rPr>
          <w:rFonts w:ascii="Arial" w:hAnsi="Arial" w:cs="Arial"/>
        </w:rPr>
      </w:pPr>
      <w:r w:rsidRPr="00CD5F8A">
        <w:rPr>
          <w:rFonts w:ascii="Arial" w:hAnsi="Arial" w:cs="Arial"/>
        </w:rPr>
        <w:t xml:space="preserve">jednatel                              </w:t>
      </w:r>
    </w:p>
    <w:p w14:paraId="2009E0BA" w14:textId="66DCC4D9" w:rsidR="00BF39AE" w:rsidRPr="00CD5F8A" w:rsidRDefault="00E830B4" w:rsidP="00BF39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5FEF9FA" w14:textId="77777777" w:rsidR="00BF39AE" w:rsidRPr="00CD5F8A" w:rsidRDefault="00BF39AE" w:rsidP="00BF39AE">
      <w:pPr>
        <w:spacing w:after="0"/>
        <w:rPr>
          <w:rFonts w:ascii="Arial" w:hAnsi="Arial" w:cs="Arial"/>
          <w:bCs/>
        </w:rPr>
      </w:pPr>
    </w:p>
    <w:p w14:paraId="11C8C912" w14:textId="77777777" w:rsidR="00BF39AE" w:rsidRPr="00CD5F8A" w:rsidRDefault="00BF39AE" w:rsidP="00BF39AE">
      <w:pPr>
        <w:spacing w:after="0"/>
        <w:rPr>
          <w:rFonts w:ascii="Arial" w:hAnsi="Arial" w:cs="Arial"/>
          <w:bCs/>
        </w:rPr>
      </w:pPr>
    </w:p>
    <w:p w14:paraId="5ED68038" w14:textId="77777777" w:rsidR="00BF39AE" w:rsidRDefault="00BF39AE" w:rsidP="00BF39AE">
      <w:pPr>
        <w:spacing w:after="0"/>
        <w:rPr>
          <w:rFonts w:ascii="Arial" w:hAnsi="Arial" w:cs="Arial"/>
          <w:bCs/>
        </w:rPr>
      </w:pPr>
    </w:p>
    <w:p w14:paraId="79641098" w14:textId="77777777" w:rsidR="00B72631" w:rsidRPr="00CD5F8A" w:rsidRDefault="00B72631" w:rsidP="00BF39AE">
      <w:pPr>
        <w:spacing w:after="0"/>
        <w:rPr>
          <w:rFonts w:ascii="Arial" w:hAnsi="Arial" w:cs="Arial"/>
          <w:bCs/>
        </w:rPr>
      </w:pPr>
    </w:p>
    <w:p w14:paraId="6601C586" w14:textId="77777777" w:rsidR="00BF39AE" w:rsidRPr="00CD5F8A" w:rsidRDefault="00BF39AE" w:rsidP="00BF39AE">
      <w:pPr>
        <w:spacing w:after="0"/>
        <w:rPr>
          <w:rFonts w:ascii="Arial" w:hAnsi="Arial" w:cs="Arial"/>
          <w:bCs/>
        </w:rPr>
      </w:pPr>
      <w:r w:rsidRPr="00CD5F8A">
        <w:rPr>
          <w:rFonts w:ascii="Arial" w:eastAsia="Times New Roman" w:hAnsi="Arial" w:cs="Arial"/>
          <w:lang w:eastAsia="cs-CZ"/>
        </w:rPr>
        <w:t>…..</w:t>
      </w:r>
      <w:r w:rsidRPr="00CD5F8A">
        <w:rPr>
          <w:rFonts w:ascii="Arial" w:hAnsi="Arial" w:cs="Arial"/>
          <w:snapToGrid w:val="0"/>
        </w:rPr>
        <w:t>……………………….................</w:t>
      </w:r>
      <w:r w:rsidRPr="00CD5F8A">
        <w:rPr>
          <w:rFonts w:ascii="Arial" w:hAnsi="Arial" w:cs="Arial"/>
          <w:bCs/>
        </w:rPr>
        <w:t xml:space="preserve">                                     </w:t>
      </w:r>
    </w:p>
    <w:p w14:paraId="242686FA" w14:textId="77777777" w:rsidR="00BE1C43" w:rsidRPr="00DF7E65" w:rsidRDefault="00BE1C43" w:rsidP="00BE1C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E65">
        <w:rPr>
          <w:rFonts w:ascii="Arial" w:eastAsia="Calibri" w:hAnsi="Arial" w:cs="Arial"/>
          <w:sz w:val="22"/>
          <w:szCs w:val="22"/>
        </w:rPr>
        <w:t xml:space="preserve">Ing. Josef Richtr                     </w:t>
      </w:r>
    </w:p>
    <w:p w14:paraId="7FE3A644" w14:textId="7514DCA4" w:rsidR="00703051" w:rsidRPr="00CD5F8A" w:rsidRDefault="00BE1C43" w:rsidP="00BE1C4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7E65">
        <w:rPr>
          <w:rFonts w:ascii="Arial" w:hAnsi="Arial" w:cs="Arial"/>
          <w:sz w:val="22"/>
          <w:szCs w:val="22"/>
        </w:rPr>
        <w:t xml:space="preserve">místopředseda představenstva                                    </w:t>
      </w:r>
      <w:r w:rsidR="00C55EE0" w:rsidRPr="00CD5F8A">
        <w:rPr>
          <w:rFonts w:ascii="Arial" w:hAnsi="Arial" w:cs="Arial"/>
          <w:color w:val="auto"/>
          <w:sz w:val="22"/>
          <w:szCs w:val="22"/>
        </w:rPr>
        <w:tab/>
      </w:r>
      <w:r w:rsidR="00703051" w:rsidRPr="00CD5F8A">
        <w:rPr>
          <w:rFonts w:ascii="Arial" w:hAnsi="Arial" w:cs="Arial"/>
          <w:color w:val="auto"/>
          <w:sz w:val="22"/>
          <w:szCs w:val="22"/>
        </w:rPr>
        <w:tab/>
      </w:r>
      <w:r w:rsidR="00A7016F" w:rsidRPr="00CD5F8A">
        <w:rPr>
          <w:rFonts w:ascii="Arial" w:hAnsi="Arial" w:cs="Arial"/>
          <w:color w:val="auto"/>
          <w:sz w:val="22"/>
          <w:szCs w:val="22"/>
        </w:rPr>
        <w:t xml:space="preserve">  </w:t>
      </w:r>
    </w:p>
    <w:sectPr w:rsidR="00703051" w:rsidRPr="00CD5F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A9D1" w14:textId="77777777" w:rsidR="00BC3041" w:rsidRDefault="00BC3041" w:rsidP="00A478E1">
      <w:pPr>
        <w:spacing w:after="0" w:line="240" w:lineRule="auto"/>
      </w:pPr>
      <w:r>
        <w:separator/>
      </w:r>
    </w:p>
  </w:endnote>
  <w:endnote w:type="continuationSeparator" w:id="0">
    <w:p w14:paraId="730610DA" w14:textId="77777777" w:rsidR="00BC3041" w:rsidRDefault="00BC304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58D52B5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B296A">
      <w:rPr>
        <w:rFonts w:ascii="Arial" w:hAnsi="Arial" w:cs="Arial"/>
        <w:noProof/>
        <w:sz w:val="20"/>
        <w:szCs w:val="20"/>
      </w:rPr>
      <w:t>4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B296A">
      <w:rPr>
        <w:rFonts w:ascii="Arial" w:hAnsi="Arial" w:cs="Arial"/>
        <w:noProof/>
        <w:sz w:val="20"/>
        <w:szCs w:val="20"/>
      </w:rPr>
      <w:t>4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BA3F" w14:textId="77777777" w:rsidR="00BC3041" w:rsidRDefault="00BC3041" w:rsidP="00A478E1">
      <w:pPr>
        <w:spacing w:after="0" w:line="240" w:lineRule="auto"/>
      </w:pPr>
      <w:r>
        <w:separator/>
      </w:r>
    </w:p>
  </w:footnote>
  <w:footnote w:type="continuationSeparator" w:id="0">
    <w:p w14:paraId="15217E26" w14:textId="77777777" w:rsidR="00BC3041" w:rsidRDefault="00BC3041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5A49"/>
    <w:multiLevelType w:val="hybridMultilevel"/>
    <w:tmpl w:val="51D863BC"/>
    <w:lvl w:ilvl="0" w:tplc="F898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0240"/>
    <w:multiLevelType w:val="hybridMultilevel"/>
    <w:tmpl w:val="18A022A6"/>
    <w:lvl w:ilvl="0" w:tplc="58F664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4813EF"/>
    <w:multiLevelType w:val="multilevel"/>
    <w:tmpl w:val="66A4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3082E97"/>
    <w:multiLevelType w:val="hybridMultilevel"/>
    <w:tmpl w:val="2B0E234C"/>
    <w:lvl w:ilvl="0" w:tplc="D86C52DC">
      <w:start w:val="1"/>
      <w:numFmt w:val="bullet"/>
      <w:lvlText w:val="-"/>
      <w:lvlJc w:val="left"/>
      <w:pPr>
        <w:ind w:left="1080" w:hanging="360"/>
      </w:pPr>
      <w:rPr>
        <w:rFonts w:ascii="TimesNewRoman" w:eastAsia="TimesNewRoman" w:hAnsiTheme="minorHAnsi" w:cs="TimesNewRoman" w:hint="eastAsia"/>
        <w:sz w:val="1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21C"/>
    <w:multiLevelType w:val="hybridMultilevel"/>
    <w:tmpl w:val="7B2E182C"/>
    <w:lvl w:ilvl="0" w:tplc="1E786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06D46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1074E"/>
    <w:multiLevelType w:val="hybridMultilevel"/>
    <w:tmpl w:val="7F66CCC6"/>
    <w:lvl w:ilvl="0" w:tplc="3ECE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36764"/>
    <w:multiLevelType w:val="hybridMultilevel"/>
    <w:tmpl w:val="8B1E8608"/>
    <w:lvl w:ilvl="0" w:tplc="2438F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5A23E8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5338891">
    <w:abstractNumId w:val="5"/>
  </w:num>
  <w:num w:numId="2" w16cid:durableId="1794981547">
    <w:abstractNumId w:val="10"/>
  </w:num>
  <w:num w:numId="3" w16cid:durableId="190724982">
    <w:abstractNumId w:val="12"/>
  </w:num>
  <w:num w:numId="4" w16cid:durableId="637227667">
    <w:abstractNumId w:val="8"/>
  </w:num>
  <w:num w:numId="5" w16cid:durableId="1363163565">
    <w:abstractNumId w:val="6"/>
  </w:num>
  <w:num w:numId="6" w16cid:durableId="1823934197">
    <w:abstractNumId w:val="16"/>
  </w:num>
  <w:num w:numId="7" w16cid:durableId="1582910343">
    <w:abstractNumId w:val="0"/>
  </w:num>
  <w:num w:numId="8" w16cid:durableId="390732931">
    <w:abstractNumId w:val="7"/>
  </w:num>
  <w:num w:numId="9" w16cid:durableId="214662591">
    <w:abstractNumId w:val="4"/>
  </w:num>
  <w:num w:numId="10" w16cid:durableId="273287519">
    <w:abstractNumId w:val="15"/>
  </w:num>
  <w:num w:numId="11" w16cid:durableId="977223303">
    <w:abstractNumId w:val="9"/>
  </w:num>
  <w:num w:numId="12" w16cid:durableId="1466898425">
    <w:abstractNumId w:val="13"/>
  </w:num>
  <w:num w:numId="13" w16cid:durableId="2015304836">
    <w:abstractNumId w:val="2"/>
  </w:num>
  <w:num w:numId="14" w16cid:durableId="1187256245">
    <w:abstractNumId w:val="14"/>
  </w:num>
  <w:num w:numId="15" w16cid:durableId="1789162526">
    <w:abstractNumId w:val="1"/>
  </w:num>
  <w:num w:numId="16" w16cid:durableId="46345682">
    <w:abstractNumId w:val="11"/>
  </w:num>
  <w:num w:numId="17" w16cid:durableId="133965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64"/>
    <w:rsid w:val="00013729"/>
    <w:rsid w:val="0001450E"/>
    <w:rsid w:val="00015A51"/>
    <w:rsid w:val="00016AC6"/>
    <w:rsid w:val="000226F6"/>
    <w:rsid w:val="00026B41"/>
    <w:rsid w:val="00037FB1"/>
    <w:rsid w:val="00044F17"/>
    <w:rsid w:val="00050B59"/>
    <w:rsid w:val="0005279D"/>
    <w:rsid w:val="00052FC7"/>
    <w:rsid w:val="000616B2"/>
    <w:rsid w:val="00062050"/>
    <w:rsid w:val="00076BD8"/>
    <w:rsid w:val="000841D9"/>
    <w:rsid w:val="00084DDD"/>
    <w:rsid w:val="000A68DA"/>
    <w:rsid w:val="000B1505"/>
    <w:rsid w:val="000B296A"/>
    <w:rsid w:val="000C3EE4"/>
    <w:rsid w:val="000C40B8"/>
    <w:rsid w:val="000C7375"/>
    <w:rsid w:val="000D3DC1"/>
    <w:rsid w:val="000D61D2"/>
    <w:rsid w:val="000F1C55"/>
    <w:rsid w:val="000F4A03"/>
    <w:rsid w:val="000F527C"/>
    <w:rsid w:val="001010E4"/>
    <w:rsid w:val="001172F5"/>
    <w:rsid w:val="00127B29"/>
    <w:rsid w:val="00134CA8"/>
    <w:rsid w:val="00136CC3"/>
    <w:rsid w:val="00144618"/>
    <w:rsid w:val="00152042"/>
    <w:rsid w:val="00152777"/>
    <w:rsid w:val="001548C2"/>
    <w:rsid w:val="00154F86"/>
    <w:rsid w:val="001606F4"/>
    <w:rsid w:val="00161BEA"/>
    <w:rsid w:val="00164616"/>
    <w:rsid w:val="00165F81"/>
    <w:rsid w:val="00166F6B"/>
    <w:rsid w:val="00174AAC"/>
    <w:rsid w:val="0017591F"/>
    <w:rsid w:val="00185CE4"/>
    <w:rsid w:val="001908E0"/>
    <w:rsid w:val="001943E9"/>
    <w:rsid w:val="001B6810"/>
    <w:rsid w:val="001C27C1"/>
    <w:rsid w:val="001C70E9"/>
    <w:rsid w:val="001D4ABD"/>
    <w:rsid w:val="001D704B"/>
    <w:rsid w:val="001D7747"/>
    <w:rsid w:val="001E33B4"/>
    <w:rsid w:val="001F01BB"/>
    <w:rsid w:val="001F0EAD"/>
    <w:rsid w:val="001F28B7"/>
    <w:rsid w:val="001F6E2C"/>
    <w:rsid w:val="00210D2A"/>
    <w:rsid w:val="0022365F"/>
    <w:rsid w:val="00224882"/>
    <w:rsid w:val="002251D8"/>
    <w:rsid w:val="00242C5E"/>
    <w:rsid w:val="0025790D"/>
    <w:rsid w:val="00265257"/>
    <w:rsid w:val="00266B09"/>
    <w:rsid w:val="00266D31"/>
    <w:rsid w:val="002718F5"/>
    <w:rsid w:val="00276840"/>
    <w:rsid w:val="0028112A"/>
    <w:rsid w:val="00282516"/>
    <w:rsid w:val="00283AC9"/>
    <w:rsid w:val="00290CAA"/>
    <w:rsid w:val="0029731A"/>
    <w:rsid w:val="002A681B"/>
    <w:rsid w:val="002B40D9"/>
    <w:rsid w:val="002B7004"/>
    <w:rsid w:val="002B7197"/>
    <w:rsid w:val="002C668B"/>
    <w:rsid w:val="002D64E0"/>
    <w:rsid w:val="002D6BFB"/>
    <w:rsid w:val="002F5499"/>
    <w:rsid w:val="00303951"/>
    <w:rsid w:val="00307284"/>
    <w:rsid w:val="00317207"/>
    <w:rsid w:val="003224A3"/>
    <w:rsid w:val="003250AC"/>
    <w:rsid w:val="00332803"/>
    <w:rsid w:val="003501A7"/>
    <w:rsid w:val="0035229B"/>
    <w:rsid w:val="003526A9"/>
    <w:rsid w:val="003529CA"/>
    <w:rsid w:val="003541F1"/>
    <w:rsid w:val="00355F19"/>
    <w:rsid w:val="00357A78"/>
    <w:rsid w:val="00360261"/>
    <w:rsid w:val="003606EE"/>
    <w:rsid w:val="003618E4"/>
    <w:rsid w:val="00364BA9"/>
    <w:rsid w:val="00367622"/>
    <w:rsid w:val="00371214"/>
    <w:rsid w:val="0038219E"/>
    <w:rsid w:val="00385284"/>
    <w:rsid w:val="00385FCB"/>
    <w:rsid w:val="00394916"/>
    <w:rsid w:val="00397C9E"/>
    <w:rsid w:val="003A20FA"/>
    <w:rsid w:val="003A3EEA"/>
    <w:rsid w:val="003C65FE"/>
    <w:rsid w:val="003D0824"/>
    <w:rsid w:val="003D2D84"/>
    <w:rsid w:val="003D352C"/>
    <w:rsid w:val="003F7763"/>
    <w:rsid w:val="003F7B41"/>
    <w:rsid w:val="00400439"/>
    <w:rsid w:val="00400B4F"/>
    <w:rsid w:val="004131A8"/>
    <w:rsid w:val="00414C94"/>
    <w:rsid w:val="0042235E"/>
    <w:rsid w:val="004345A7"/>
    <w:rsid w:val="00434AFB"/>
    <w:rsid w:val="004406AE"/>
    <w:rsid w:val="00441E01"/>
    <w:rsid w:val="004424D8"/>
    <w:rsid w:val="00446FA1"/>
    <w:rsid w:val="00464ADB"/>
    <w:rsid w:val="004726B9"/>
    <w:rsid w:val="00474E41"/>
    <w:rsid w:val="00493343"/>
    <w:rsid w:val="00496957"/>
    <w:rsid w:val="00496994"/>
    <w:rsid w:val="004A1F21"/>
    <w:rsid w:val="004A3B31"/>
    <w:rsid w:val="004B2EFE"/>
    <w:rsid w:val="004B378A"/>
    <w:rsid w:val="004B3AA2"/>
    <w:rsid w:val="004B5F46"/>
    <w:rsid w:val="004B644C"/>
    <w:rsid w:val="004B6A7E"/>
    <w:rsid w:val="004C5B0D"/>
    <w:rsid w:val="004C5E71"/>
    <w:rsid w:val="004D0C31"/>
    <w:rsid w:val="004D1500"/>
    <w:rsid w:val="004D53B3"/>
    <w:rsid w:val="004D56A1"/>
    <w:rsid w:val="004E3894"/>
    <w:rsid w:val="004E3C19"/>
    <w:rsid w:val="004E465A"/>
    <w:rsid w:val="004E60A1"/>
    <w:rsid w:val="004F08FD"/>
    <w:rsid w:val="004F38EB"/>
    <w:rsid w:val="00503797"/>
    <w:rsid w:val="005038FA"/>
    <w:rsid w:val="005111F9"/>
    <w:rsid w:val="0051413B"/>
    <w:rsid w:val="00520F16"/>
    <w:rsid w:val="00521A0E"/>
    <w:rsid w:val="00522098"/>
    <w:rsid w:val="005300E6"/>
    <w:rsid w:val="00531963"/>
    <w:rsid w:val="00531B67"/>
    <w:rsid w:val="00533087"/>
    <w:rsid w:val="0053528B"/>
    <w:rsid w:val="00560344"/>
    <w:rsid w:val="00560A09"/>
    <w:rsid w:val="00560E6A"/>
    <w:rsid w:val="005610FA"/>
    <w:rsid w:val="00571B73"/>
    <w:rsid w:val="0057401C"/>
    <w:rsid w:val="0058300C"/>
    <w:rsid w:val="005B637B"/>
    <w:rsid w:val="005C68BE"/>
    <w:rsid w:val="005D55C1"/>
    <w:rsid w:val="005E4528"/>
    <w:rsid w:val="005F0B27"/>
    <w:rsid w:val="005F200F"/>
    <w:rsid w:val="005F2F5E"/>
    <w:rsid w:val="005F50FE"/>
    <w:rsid w:val="005F557C"/>
    <w:rsid w:val="0060197B"/>
    <w:rsid w:val="0062117C"/>
    <w:rsid w:val="0063652D"/>
    <w:rsid w:val="00642D10"/>
    <w:rsid w:val="0064627D"/>
    <w:rsid w:val="006653F5"/>
    <w:rsid w:val="00671F25"/>
    <w:rsid w:val="006735E3"/>
    <w:rsid w:val="006759EA"/>
    <w:rsid w:val="00681DFF"/>
    <w:rsid w:val="00684C97"/>
    <w:rsid w:val="0068534A"/>
    <w:rsid w:val="00685996"/>
    <w:rsid w:val="00694F8A"/>
    <w:rsid w:val="00695107"/>
    <w:rsid w:val="006964D5"/>
    <w:rsid w:val="00696908"/>
    <w:rsid w:val="006B474D"/>
    <w:rsid w:val="006D02C0"/>
    <w:rsid w:val="006D501B"/>
    <w:rsid w:val="006E268E"/>
    <w:rsid w:val="006F1A2A"/>
    <w:rsid w:val="006F521E"/>
    <w:rsid w:val="006F6502"/>
    <w:rsid w:val="006F7A60"/>
    <w:rsid w:val="00703051"/>
    <w:rsid w:val="007048F7"/>
    <w:rsid w:val="00704C67"/>
    <w:rsid w:val="00704EEA"/>
    <w:rsid w:val="007072CA"/>
    <w:rsid w:val="00710F7C"/>
    <w:rsid w:val="00711E24"/>
    <w:rsid w:val="007178CE"/>
    <w:rsid w:val="00720D4E"/>
    <w:rsid w:val="00724481"/>
    <w:rsid w:val="007249B9"/>
    <w:rsid w:val="00726FF5"/>
    <w:rsid w:val="00737974"/>
    <w:rsid w:val="007421B8"/>
    <w:rsid w:val="0074285B"/>
    <w:rsid w:val="00744689"/>
    <w:rsid w:val="007461E3"/>
    <w:rsid w:val="00747CC2"/>
    <w:rsid w:val="00752D16"/>
    <w:rsid w:val="007616CA"/>
    <w:rsid w:val="007663B5"/>
    <w:rsid w:val="00766EB4"/>
    <w:rsid w:val="007670DE"/>
    <w:rsid w:val="00770053"/>
    <w:rsid w:val="0077059A"/>
    <w:rsid w:val="0077415C"/>
    <w:rsid w:val="00777A5D"/>
    <w:rsid w:val="00777FFD"/>
    <w:rsid w:val="00780B7D"/>
    <w:rsid w:val="00782C6F"/>
    <w:rsid w:val="007A04C5"/>
    <w:rsid w:val="007A17DE"/>
    <w:rsid w:val="007A1F9F"/>
    <w:rsid w:val="007A22E5"/>
    <w:rsid w:val="007A3E78"/>
    <w:rsid w:val="007A4ABC"/>
    <w:rsid w:val="007A7D49"/>
    <w:rsid w:val="007C21E8"/>
    <w:rsid w:val="007D0972"/>
    <w:rsid w:val="007D0E6C"/>
    <w:rsid w:val="007D2C75"/>
    <w:rsid w:val="007D48DB"/>
    <w:rsid w:val="007E2D08"/>
    <w:rsid w:val="007E39B3"/>
    <w:rsid w:val="007E737D"/>
    <w:rsid w:val="007F292C"/>
    <w:rsid w:val="007F3AC3"/>
    <w:rsid w:val="007F68D7"/>
    <w:rsid w:val="007F6DC3"/>
    <w:rsid w:val="0080256B"/>
    <w:rsid w:val="00806606"/>
    <w:rsid w:val="00806C89"/>
    <w:rsid w:val="00811D9C"/>
    <w:rsid w:val="00812401"/>
    <w:rsid w:val="008150CD"/>
    <w:rsid w:val="00815424"/>
    <w:rsid w:val="008245B6"/>
    <w:rsid w:val="008321B0"/>
    <w:rsid w:val="00834FF4"/>
    <w:rsid w:val="008357D1"/>
    <w:rsid w:val="00842093"/>
    <w:rsid w:val="00860642"/>
    <w:rsid w:val="00863339"/>
    <w:rsid w:val="00876215"/>
    <w:rsid w:val="00880F2A"/>
    <w:rsid w:val="008815BE"/>
    <w:rsid w:val="008836C1"/>
    <w:rsid w:val="008A45C0"/>
    <w:rsid w:val="008A5CD4"/>
    <w:rsid w:val="008B022C"/>
    <w:rsid w:val="008B13D4"/>
    <w:rsid w:val="008B611A"/>
    <w:rsid w:val="008D217B"/>
    <w:rsid w:val="008E477B"/>
    <w:rsid w:val="008E4BDB"/>
    <w:rsid w:val="008E68C1"/>
    <w:rsid w:val="008F58F0"/>
    <w:rsid w:val="0090535A"/>
    <w:rsid w:val="009053AB"/>
    <w:rsid w:val="00915240"/>
    <w:rsid w:val="0093281C"/>
    <w:rsid w:val="00935B17"/>
    <w:rsid w:val="009409CF"/>
    <w:rsid w:val="00942B8A"/>
    <w:rsid w:val="00964B99"/>
    <w:rsid w:val="0098197A"/>
    <w:rsid w:val="00986468"/>
    <w:rsid w:val="00992A30"/>
    <w:rsid w:val="009A3B53"/>
    <w:rsid w:val="009B021C"/>
    <w:rsid w:val="009B06DE"/>
    <w:rsid w:val="009B4952"/>
    <w:rsid w:val="009C55DF"/>
    <w:rsid w:val="009D2F64"/>
    <w:rsid w:val="009F20CC"/>
    <w:rsid w:val="009F36F1"/>
    <w:rsid w:val="009F68BA"/>
    <w:rsid w:val="009F7204"/>
    <w:rsid w:val="009F78D9"/>
    <w:rsid w:val="00A04430"/>
    <w:rsid w:val="00A0647B"/>
    <w:rsid w:val="00A119A6"/>
    <w:rsid w:val="00A13004"/>
    <w:rsid w:val="00A202C3"/>
    <w:rsid w:val="00A24C6B"/>
    <w:rsid w:val="00A27BF7"/>
    <w:rsid w:val="00A32BF7"/>
    <w:rsid w:val="00A37781"/>
    <w:rsid w:val="00A405A1"/>
    <w:rsid w:val="00A41163"/>
    <w:rsid w:val="00A478E1"/>
    <w:rsid w:val="00A56171"/>
    <w:rsid w:val="00A7016F"/>
    <w:rsid w:val="00A712AE"/>
    <w:rsid w:val="00A74232"/>
    <w:rsid w:val="00A75274"/>
    <w:rsid w:val="00A756EF"/>
    <w:rsid w:val="00A80470"/>
    <w:rsid w:val="00A81D11"/>
    <w:rsid w:val="00A85061"/>
    <w:rsid w:val="00A94E74"/>
    <w:rsid w:val="00AA1657"/>
    <w:rsid w:val="00AB0EAA"/>
    <w:rsid w:val="00AB32F1"/>
    <w:rsid w:val="00AB37F2"/>
    <w:rsid w:val="00AB3E51"/>
    <w:rsid w:val="00AB7599"/>
    <w:rsid w:val="00AC5F6F"/>
    <w:rsid w:val="00AD3069"/>
    <w:rsid w:val="00AD3A13"/>
    <w:rsid w:val="00AD62BB"/>
    <w:rsid w:val="00AF5D4D"/>
    <w:rsid w:val="00AF7287"/>
    <w:rsid w:val="00B02067"/>
    <w:rsid w:val="00B05574"/>
    <w:rsid w:val="00B05E56"/>
    <w:rsid w:val="00B14FF3"/>
    <w:rsid w:val="00B277B4"/>
    <w:rsid w:val="00B30903"/>
    <w:rsid w:val="00B41825"/>
    <w:rsid w:val="00B428FB"/>
    <w:rsid w:val="00B469D5"/>
    <w:rsid w:val="00B554BF"/>
    <w:rsid w:val="00B60291"/>
    <w:rsid w:val="00B602BD"/>
    <w:rsid w:val="00B72631"/>
    <w:rsid w:val="00B74E2C"/>
    <w:rsid w:val="00B83629"/>
    <w:rsid w:val="00B861D6"/>
    <w:rsid w:val="00BA7E51"/>
    <w:rsid w:val="00BB41DC"/>
    <w:rsid w:val="00BC2A59"/>
    <w:rsid w:val="00BC3041"/>
    <w:rsid w:val="00BC392D"/>
    <w:rsid w:val="00BC4E9B"/>
    <w:rsid w:val="00BC5F4A"/>
    <w:rsid w:val="00BD6D67"/>
    <w:rsid w:val="00BE16BC"/>
    <w:rsid w:val="00BE1C43"/>
    <w:rsid w:val="00BE1C9B"/>
    <w:rsid w:val="00BE57E0"/>
    <w:rsid w:val="00BF39AE"/>
    <w:rsid w:val="00BF5FCF"/>
    <w:rsid w:val="00BF6CCA"/>
    <w:rsid w:val="00C02992"/>
    <w:rsid w:val="00C07935"/>
    <w:rsid w:val="00C13F86"/>
    <w:rsid w:val="00C3207E"/>
    <w:rsid w:val="00C3785D"/>
    <w:rsid w:val="00C44E53"/>
    <w:rsid w:val="00C46088"/>
    <w:rsid w:val="00C55EE0"/>
    <w:rsid w:val="00C563DC"/>
    <w:rsid w:val="00C706A4"/>
    <w:rsid w:val="00C7213F"/>
    <w:rsid w:val="00C723BA"/>
    <w:rsid w:val="00C74118"/>
    <w:rsid w:val="00C80615"/>
    <w:rsid w:val="00C83693"/>
    <w:rsid w:val="00C93DCC"/>
    <w:rsid w:val="00C94C39"/>
    <w:rsid w:val="00C96CE7"/>
    <w:rsid w:val="00CA2E10"/>
    <w:rsid w:val="00CA6E9B"/>
    <w:rsid w:val="00CB494A"/>
    <w:rsid w:val="00CB69D8"/>
    <w:rsid w:val="00CB713E"/>
    <w:rsid w:val="00CC1E17"/>
    <w:rsid w:val="00CC3207"/>
    <w:rsid w:val="00CC37F9"/>
    <w:rsid w:val="00CC6FB7"/>
    <w:rsid w:val="00CD5F8A"/>
    <w:rsid w:val="00CD616B"/>
    <w:rsid w:val="00CF3655"/>
    <w:rsid w:val="00CF5739"/>
    <w:rsid w:val="00D04EC4"/>
    <w:rsid w:val="00D05288"/>
    <w:rsid w:val="00D0659D"/>
    <w:rsid w:val="00D159BC"/>
    <w:rsid w:val="00D16BC9"/>
    <w:rsid w:val="00D20073"/>
    <w:rsid w:val="00D31D74"/>
    <w:rsid w:val="00D325E7"/>
    <w:rsid w:val="00D368F9"/>
    <w:rsid w:val="00D4726F"/>
    <w:rsid w:val="00D47419"/>
    <w:rsid w:val="00D5120C"/>
    <w:rsid w:val="00D55BF4"/>
    <w:rsid w:val="00D5690A"/>
    <w:rsid w:val="00D61DF5"/>
    <w:rsid w:val="00D62740"/>
    <w:rsid w:val="00D640A6"/>
    <w:rsid w:val="00D674DF"/>
    <w:rsid w:val="00D7071D"/>
    <w:rsid w:val="00D7516C"/>
    <w:rsid w:val="00D75650"/>
    <w:rsid w:val="00D90486"/>
    <w:rsid w:val="00D90CC3"/>
    <w:rsid w:val="00D91ED1"/>
    <w:rsid w:val="00D95BEF"/>
    <w:rsid w:val="00DA5302"/>
    <w:rsid w:val="00DB4652"/>
    <w:rsid w:val="00DC7760"/>
    <w:rsid w:val="00DD1106"/>
    <w:rsid w:val="00DD1F86"/>
    <w:rsid w:val="00DE1AAB"/>
    <w:rsid w:val="00DE36A1"/>
    <w:rsid w:val="00DE63FA"/>
    <w:rsid w:val="00DE6599"/>
    <w:rsid w:val="00DE7ECC"/>
    <w:rsid w:val="00DF0772"/>
    <w:rsid w:val="00DF7F0F"/>
    <w:rsid w:val="00E02FF4"/>
    <w:rsid w:val="00E03BBD"/>
    <w:rsid w:val="00E072AC"/>
    <w:rsid w:val="00E23334"/>
    <w:rsid w:val="00E24925"/>
    <w:rsid w:val="00E27432"/>
    <w:rsid w:val="00E27E8B"/>
    <w:rsid w:val="00E30577"/>
    <w:rsid w:val="00E30E84"/>
    <w:rsid w:val="00E34BC9"/>
    <w:rsid w:val="00E352E9"/>
    <w:rsid w:val="00E36475"/>
    <w:rsid w:val="00E42825"/>
    <w:rsid w:val="00E44793"/>
    <w:rsid w:val="00E543B4"/>
    <w:rsid w:val="00E54E39"/>
    <w:rsid w:val="00E55072"/>
    <w:rsid w:val="00E567B4"/>
    <w:rsid w:val="00E6494D"/>
    <w:rsid w:val="00E7146C"/>
    <w:rsid w:val="00E72183"/>
    <w:rsid w:val="00E732BC"/>
    <w:rsid w:val="00E73807"/>
    <w:rsid w:val="00E830B4"/>
    <w:rsid w:val="00E87783"/>
    <w:rsid w:val="00E91324"/>
    <w:rsid w:val="00EA2388"/>
    <w:rsid w:val="00EA629F"/>
    <w:rsid w:val="00EC1A50"/>
    <w:rsid w:val="00EC2C46"/>
    <w:rsid w:val="00EC46E2"/>
    <w:rsid w:val="00EC68A5"/>
    <w:rsid w:val="00ED2450"/>
    <w:rsid w:val="00EE05A1"/>
    <w:rsid w:val="00EE0812"/>
    <w:rsid w:val="00EE645F"/>
    <w:rsid w:val="00EF1824"/>
    <w:rsid w:val="00F039B8"/>
    <w:rsid w:val="00F03B50"/>
    <w:rsid w:val="00F108DA"/>
    <w:rsid w:val="00F14194"/>
    <w:rsid w:val="00F20D1A"/>
    <w:rsid w:val="00F20DC8"/>
    <w:rsid w:val="00F21007"/>
    <w:rsid w:val="00F21F91"/>
    <w:rsid w:val="00F31079"/>
    <w:rsid w:val="00F329AC"/>
    <w:rsid w:val="00F65C2F"/>
    <w:rsid w:val="00F71642"/>
    <w:rsid w:val="00F84924"/>
    <w:rsid w:val="00F84934"/>
    <w:rsid w:val="00F84946"/>
    <w:rsid w:val="00F90152"/>
    <w:rsid w:val="00F9286A"/>
    <w:rsid w:val="00FA5E18"/>
    <w:rsid w:val="00FA7110"/>
    <w:rsid w:val="00FB1B6D"/>
    <w:rsid w:val="00FB2EF6"/>
    <w:rsid w:val="00FB76FE"/>
    <w:rsid w:val="00FC38D0"/>
    <w:rsid w:val="00FD2DFE"/>
    <w:rsid w:val="00FE5153"/>
    <w:rsid w:val="00FE72F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B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customStyle="1" w:styleId="csx2">
    <w:name w:val="csx2"/>
    <w:basedOn w:val="Normln"/>
    <w:rsid w:val="00496994"/>
    <w:pPr>
      <w:suppressAutoHyphens/>
      <w:spacing w:after="0" w:line="240" w:lineRule="auto"/>
      <w:ind w:left="45" w:hanging="17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B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AB0EA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AB0EAA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E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951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5107"/>
  </w:style>
  <w:style w:type="paragraph" w:customStyle="1" w:styleId="Text11">
    <w:name w:val="Text 1.1"/>
    <w:basedOn w:val="Normln"/>
    <w:qFormat/>
    <w:rsid w:val="00BE1C43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2611-DCBA-4148-A5B8-D9E0AE5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2024-02-28T15:24:00Z</dcterms:created>
  <dcterms:modified xsi:type="dcterms:W3CDTF">2024-02-29T06:42:00Z</dcterms:modified>
</cp:coreProperties>
</file>