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09" w:rsidRDefault="00BF0409">
      <w:pPr>
        <w:rPr>
          <w:sz w:val="2"/>
          <w:szCs w:val="2"/>
        </w:rPr>
      </w:pPr>
    </w:p>
    <w:p w:rsidR="00BF0409" w:rsidRDefault="00BF0409">
      <w:pPr>
        <w:spacing w:after="799" w:line="1" w:lineRule="exact"/>
      </w:pPr>
    </w:p>
    <w:p w:rsidR="00BF0409" w:rsidRDefault="00C53DD2">
      <w:pPr>
        <w:pStyle w:val="Zkladntext1"/>
        <w:shd w:val="clear" w:color="auto" w:fill="auto"/>
        <w:jc w:val="both"/>
      </w:pPr>
      <w:r>
        <w:rPr>
          <w:b/>
          <w:bCs/>
        </w:rPr>
        <w:t>Národní památkový ústav, státní příspěvková organizace</w:t>
      </w:r>
    </w:p>
    <w:p w:rsidR="00BF0409" w:rsidRDefault="00C53DD2">
      <w:pPr>
        <w:pStyle w:val="Zkladntext1"/>
        <w:shd w:val="clear" w:color="auto" w:fill="auto"/>
        <w:jc w:val="both"/>
      </w:pPr>
      <w:r>
        <w:t>se sídlem: Valdštejnské nám. 162/3, Praha 1, 118 01</w:t>
      </w:r>
    </w:p>
    <w:p w:rsidR="00BF0409" w:rsidRDefault="00C53DD2">
      <w:pPr>
        <w:pStyle w:val="Zkladntext1"/>
        <w:shd w:val="clear" w:color="auto" w:fill="auto"/>
        <w:jc w:val="both"/>
      </w:pPr>
      <w:r>
        <w:t>IČO: 75032333, DIČ: CZ 75032333</w:t>
      </w:r>
    </w:p>
    <w:p w:rsidR="00BF0409" w:rsidRDefault="00C53DD2">
      <w:pPr>
        <w:pStyle w:val="Zkladntext1"/>
        <w:shd w:val="clear" w:color="auto" w:fill="auto"/>
        <w:jc w:val="both"/>
      </w:pPr>
      <w:r>
        <w:t>zastoupen: Ing. arch. Naděždou Goryczkovou, generální ředitelkou</w:t>
      </w:r>
    </w:p>
    <w:p w:rsidR="00BF0409" w:rsidRDefault="00C53DD2">
      <w:pPr>
        <w:pStyle w:val="Zkladntext1"/>
        <w:shd w:val="clear" w:color="auto" w:fill="auto"/>
        <w:jc w:val="both"/>
      </w:pPr>
      <w:r>
        <w:t>bankovní spojení: ČNB</w:t>
      </w:r>
    </w:p>
    <w:p w:rsidR="00BF0409" w:rsidRDefault="00C53DD2">
      <w:pPr>
        <w:pStyle w:val="Zkladntext1"/>
        <w:shd w:val="clear" w:color="auto" w:fill="auto"/>
        <w:jc w:val="both"/>
      </w:pPr>
      <w:r>
        <w:t xml:space="preserve">číslo účtu: </w:t>
      </w:r>
      <w:r>
        <w:t>200002-60039011/0710</w:t>
      </w:r>
    </w:p>
    <w:p w:rsidR="00BF0409" w:rsidRDefault="00C53DD2">
      <w:pPr>
        <w:pStyle w:val="Zkladntext1"/>
        <w:shd w:val="clear" w:color="auto" w:fill="auto"/>
        <w:jc w:val="both"/>
      </w:pPr>
      <w:r>
        <w:t>ID DS: 2cy8h6t</w:t>
      </w:r>
    </w:p>
    <w:p w:rsidR="00BF0409" w:rsidRDefault="00C53DD2">
      <w:pPr>
        <w:pStyle w:val="Zkladntext1"/>
        <w:shd w:val="clear" w:color="auto" w:fill="auto"/>
        <w:jc w:val="both"/>
      </w:pPr>
      <w:r>
        <w:rPr>
          <w:b/>
          <w:bCs/>
        </w:rPr>
        <w:t>Doručovací a fakturační adresa:</w:t>
      </w:r>
    </w:p>
    <w:p w:rsidR="00BF0409" w:rsidRDefault="00C53DD2">
      <w:pPr>
        <w:pStyle w:val="Zkladntext1"/>
        <w:shd w:val="clear" w:color="auto" w:fill="auto"/>
        <w:jc w:val="both"/>
      </w:pPr>
      <w:r>
        <w:t>Národní památkový ústav, územní památková správa v Praze</w:t>
      </w:r>
    </w:p>
    <w:p w:rsidR="00BF0409" w:rsidRDefault="00C53DD2">
      <w:pPr>
        <w:pStyle w:val="Zkladntext1"/>
        <w:shd w:val="clear" w:color="auto" w:fill="auto"/>
        <w:jc w:val="both"/>
      </w:pPr>
      <w:r>
        <w:t>Sabinova 373/5</w:t>
      </w:r>
    </w:p>
    <w:p w:rsidR="00BF0409" w:rsidRDefault="00C53DD2">
      <w:pPr>
        <w:pStyle w:val="Zkladntext1"/>
        <w:shd w:val="clear" w:color="auto" w:fill="auto"/>
        <w:jc w:val="both"/>
      </w:pPr>
      <w:r>
        <w:t>130 11 Praha 3</w:t>
      </w:r>
    </w:p>
    <w:p w:rsidR="00BF0409" w:rsidRDefault="00C53DD2">
      <w:pPr>
        <w:pStyle w:val="Zkladntext1"/>
        <w:shd w:val="clear" w:color="auto" w:fill="auto"/>
        <w:spacing w:after="260"/>
        <w:jc w:val="both"/>
      </w:pPr>
      <w:r>
        <w:t>(dále jen „</w:t>
      </w:r>
      <w:r>
        <w:rPr>
          <w:b/>
          <w:bCs/>
        </w:rPr>
        <w:t>pronajímatel</w:t>
      </w:r>
      <w:r>
        <w:t>“)</w:t>
      </w:r>
    </w:p>
    <w:p w:rsidR="00BF0409" w:rsidRDefault="00C53DD2">
      <w:pPr>
        <w:pStyle w:val="Zkladntext1"/>
        <w:shd w:val="clear" w:color="auto" w:fill="auto"/>
        <w:spacing w:after="260"/>
        <w:jc w:val="both"/>
      </w:pPr>
      <w:r>
        <w:t>a</w:t>
      </w:r>
    </w:p>
    <w:p w:rsidR="00BF0409" w:rsidRDefault="00C53DD2">
      <w:pPr>
        <w:pStyle w:val="Zkladntext1"/>
        <w:shd w:val="clear" w:color="auto" w:fill="auto"/>
        <w:jc w:val="both"/>
      </w:pPr>
      <w:r>
        <w:rPr>
          <w:b/>
          <w:bCs/>
        </w:rPr>
        <w:t>T.I.S., a.s. v likvidaci</w:t>
      </w:r>
    </w:p>
    <w:p w:rsidR="00BF0409" w:rsidRDefault="00C53DD2">
      <w:pPr>
        <w:pStyle w:val="Zkladntext1"/>
        <w:shd w:val="clear" w:color="auto" w:fill="auto"/>
        <w:jc w:val="both"/>
      </w:pPr>
      <w:r>
        <w:t>zapsaná v obchodním rejstříku vedeném u Městskéh</w:t>
      </w:r>
      <w:r>
        <w:t>o soudu v Praze, v oddíle B, vložka 9769 IČO: 272 14 796</w:t>
      </w:r>
    </w:p>
    <w:p w:rsidR="00BF0409" w:rsidRDefault="00C53DD2">
      <w:pPr>
        <w:pStyle w:val="Zkladntext1"/>
        <w:shd w:val="clear" w:color="auto" w:fill="auto"/>
        <w:jc w:val="both"/>
      </w:pPr>
      <w:r>
        <w:t>se sídlem: Elišky Krásnohorské 12/5, Josefov, 110 00 Praha 1</w:t>
      </w:r>
    </w:p>
    <w:p w:rsidR="00BF0409" w:rsidRDefault="00C53DD2">
      <w:pPr>
        <w:pStyle w:val="Zkladntext20"/>
        <w:shd w:val="clear" w:color="auto" w:fill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zastoupená: VPI CZ, v.o.s., IČ: 030 07 740, se sídlem </w:t>
      </w:r>
      <w:r>
        <w:t>Sokolovská 5/49, Karlín, 186 00 Praha 8, likvidátorem, za kterou jedná JUDr. Jan Mal</w:t>
      </w:r>
      <w:r>
        <w:t>ý, ohlášený společník</w:t>
      </w:r>
    </w:p>
    <w:p w:rsidR="00BF0409" w:rsidRDefault="00C53DD2">
      <w:pPr>
        <w:pStyle w:val="Zkladntext1"/>
        <w:shd w:val="clear" w:color="auto" w:fill="auto"/>
        <w:spacing w:after="260" w:line="211" w:lineRule="auto"/>
        <w:jc w:val="both"/>
      </w:pPr>
      <w:r>
        <w:t>(dále jen „</w:t>
      </w:r>
      <w:r>
        <w:rPr>
          <w:b/>
          <w:bCs/>
        </w:rPr>
        <w:t>nájemce</w:t>
      </w:r>
      <w:r>
        <w:t>“)</w:t>
      </w:r>
    </w:p>
    <w:p w:rsidR="00BF0409" w:rsidRDefault="00C53DD2">
      <w:pPr>
        <w:pStyle w:val="Zkladntext1"/>
        <w:shd w:val="clear" w:color="auto" w:fill="auto"/>
        <w:spacing w:after="260"/>
        <w:jc w:val="both"/>
      </w:pPr>
      <w:r>
        <w:t>jako smluvní strany uzavřely níže uvedeného dne, měsíce a roku tuto</w:t>
      </w:r>
    </w:p>
    <w:p w:rsidR="00BF0409" w:rsidRDefault="00C53DD2">
      <w:pPr>
        <w:pStyle w:val="Zkladntext1"/>
        <w:shd w:val="clear" w:color="auto" w:fill="auto"/>
        <w:jc w:val="center"/>
      </w:pPr>
      <w:r>
        <w:rPr>
          <w:b/>
          <w:bCs/>
        </w:rPr>
        <w:t>dohodu o ukončení</w:t>
      </w:r>
    </w:p>
    <w:p w:rsidR="00BF0409" w:rsidRDefault="00C53DD2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nájemní smlouvy ev. č. 66/210/2021 ze dne 21.4.2021</w:t>
      </w:r>
    </w:p>
    <w:p w:rsidR="00BF0409" w:rsidRDefault="00C53DD2">
      <w:pPr>
        <w:pStyle w:val="Zkladntext1"/>
        <w:shd w:val="clear" w:color="auto" w:fill="auto"/>
        <w:jc w:val="center"/>
      </w:pPr>
      <w:r>
        <w:rPr>
          <w:b/>
          <w:bCs/>
        </w:rPr>
        <w:t>Článek I.</w:t>
      </w:r>
    </w:p>
    <w:p w:rsidR="00BF0409" w:rsidRDefault="00C53DD2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Úvodní ustanovení</w:t>
      </w:r>
    </w:p>
    <w:p w:rsidR="00BF0409" w:rsidRDefault="00C53DD2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260"/>
        <w:ind w:left="380" w:hanging="380"/>
        <w:jc w:val="both"/>
      </w:pPr>
      <w:r>
        <w:t>Smluvní strany dne 21. 4. 2021 uzavřely nájemní</w:t>
      </w:r>
      <w:r>
        <w:t xml:space="preserve"> smlouvu ev. č. 66/210/2021, jejímž předmětem je pronájem pozemků o celkové výměře 838 334 m</w:t>
      </w:r>
      <w:r>
        <w:rPr>
          <w:vertAlign w:val="superscript"/>
        </w:rPr>
        <w:t>2</w:t>
      </w:r>
      <w:r>
        <w:t>, vše k.ú. a obec Lázně Kynžvart, zapsáno na LV č. 156 u u Katastrálního úřadu pro Karlovarský kraj, Katastrální pracoviště Cheb, za sjednané nájemné (dále jen „Ná</w:t>
      </w:r>
      <w:r>
        <w:t>jemní smlouva“).</w:t>
      </w:r>
    </w:p>
    <w:p w:rsidR="00BF0409" w:rsidRDefault="00C53DD2">
      <w:pPr>
        <w:pStyle w:val="Zkladntext1"/>
        <w:shd w:val="clear" w:color="auto" w:fill="auto"/>
        <w:jc w:val="center"/>
      </w:pPr>
      <w:r>
        <w:rPr>
          <w:b/>
          <w:bCs/>
        </w:rPr>
        <w:t>Článek II.</w:t>
      </w:r>
    </w:p>
    <w:p w:rsidR="00BF0409" w:rsidRDefault="00C53DD2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Ukončení Nájemní smlouvy</w:t>
      </w:r>
    </w:p>
    <w:p w:rsidR="00BF0409" w:rsidRDefault="00C53DD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260"/>
      </w:pPr>
      <w:r>
        <w:t xml:space="preserve">Smluvní strany se dohodly, že Nájemní smlouva se ukončuje </w:t>
      </w:r>
      <w:r>
        <w:rPr>
          <w:b/>
          <w:bCs/>
        </w:rPr>
        <w:t>ke dni 29. 2. 2024</w:t>
      </w:r>
      <w:r>
        <w:t>.</w:t>
      </w:r>
    </w:p>
    <w:p w:rsidR="00BF0409" w:rsidRDefault="00C53DD2">
      <w:pPr>
        <w:pStyle w:val="Zkladntext1"/>
        <w:shd w:val="clear" w:color="auto" w:fill="auto"/>
        <w:jc w:val="center"/>
      </w:pPr>
      <w:r>
        <w:rPr>
          <w:b/>
          <w:bCs/>
        </w:rPr>
        <w:t>Článek III.</w:t>
      </w:r>
    </w:p>
    <w:p w:rsidR="00BF0409" w:rsidRDefault="00C53DD2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Vypořádání vzájemných závazků</w:t>
      </w:r>
    </w:p>
    <w:p w:rsidR="00BF0409" w:rsidRDefault="00C53DD2">
      <w:pPr>
        <w:pStyle w:val="Zkladntext1"/>
        <w:shd w:val="clear" w:color="auto" w:fill="auto"/>
      </w:pPr>
      <w:r>
        <w:t>1. Smluvní strany shodně prohlašují, že</w:t>
      </w:r>
    </w:p>
    <w:p w:rsidR="00BF0409" w:rsidRDefault="00C53DD2">
      <w:pPr>
        <w:pStyle w:val="Zkladntext1"/>
        <w:numPr>
          <w:ilvl w:val="0"/>
          <w:numId w:val="3"/>
        </w:numPr>
        <w:shd w:val="clear" w:color="auto" w:fill="auto"/>
        <w:tabs>
          <w:tab w:val="left" w:pos="754"/>
        </w:tabs>
        <w:spacing w:after="260"/>
        <w:ind w:left="740" w:hanging="360"/>
        <w:jc w:val="both"/>
      </w:pPr>
      <w:r>
        <w:t>nájemce se v Nájemní smlouvě zavázal k hraz</w:t>
      </w:r>
      <w:r>
        <w:t>ení nájemného ve výši 56 003,42 Kč za jeden kalendářní měsíc, přičemž pro rok 2023 bylo nájemné v souladu s čl. IV odst. 5 Nájemní smlouvy stanoveno ve výši 66 909,42 Kč. O této skutečnosti byl nájemce pronajímatelem písemně informován dopisem č.j. NPU-310</w:t>
      </w:r>
      <w:r>
        <w:t>/5330/2023 ze dne 18.1.2023;</w:t>
      </w:r>
    </w:p>
    <w:p w:rsidR="00BF0409" w:rsidRDefault="00C53DD2">
      <w:pPr>
        <w:pStyle w:val="Zkladntext1"/>
        <w:numPr>
          <w:ilvl w:val="0"/>
          <w:numId w:val="3"/>
        </w:numPr>
        <w:shd w:val="clear" w:color="auto" w:fill="auto"/>
        <w:tabs>
          <w:tab w:val="left" w:pos="795"/>
        </w:tabs>
        <w:ind w:left="740" w:hanging="360"/>
        <w:jc w:val="both"/>
      </w:pPr>
      <w:r>
        <w:t xml:space="preserve">nájemce složil v souladu s Nájemní smlouvou pronajímateli jistotu ve výši 168 010,26 Kč, kterou je pronajímatel po dobu trvání Nájemní smlouvy anebo po jejím ukončení oprávněn použít mj. k úhradě nájemného v případě prodlení </w:t>
      </w:r>
      <w:r>
        <w:t>nájemce s jeho hrazením;</w:t>
      </w:r>
    </w:p>
    <w:p w:rsidR="00BF0409" w:rsidRDefault="00C53DD2">
      <w:pPr>
        <w:pStyle w:val="Zkladntext1"/>
        <w:numPr>
          <w:ilvl w:val="0"/>
          <w:numId w:val="3"/>
        </w:numPr>
        <w:shd w:val="clear" w:color="auto" w:fill="auto"/>
        <w:tabs>
          <w:tab w:val="left" w:pos="795"/>
        </w:tabs>
        <w:ind w:left="740" w:hanging="360"/>
        <w:jc w:val="both"/>
      </w:pPr>
      <w:r>
        <w:lastRenderedPageBreak/>
        <w:t>pronajímatel v souladu s čl. V odst. 1 písm. a) Nájemní smlouvy přistoupil dne 10.11.2023 k jednostrannému započtení svých pohledávek za nájemcem z titulu neuhrazení nájemného, a to takto:</w:t>
      </w:r>
    </w:p>
    <w:p w:rsidR="00BF0409" w:rsidRDefault="00C53DD2">
      <w:pPr>
        <w:pStyle w:val="Zkladntext1"/>
        <w:shd w:val="clear" w:color="auto" w:fill="auto"/>
        <w:ind w:left="1100" w:hanging="360"/>
        <w:jc w:val="both"/>
      </w:pPr>
      <w:r>
        <w:t>- část složené jistoty ve výši 66 909,42 K</w:t>
      </w:r>
      <w:r>
        <w:t>č byla započtena vůči splatné pohledávce pronajímatele za nájemcem ve výši 66 909,42 Kč vzniklé z důvodu neuhrazení nájemného za září 2023,</w:t>
      </w:r>
    </w:p>
    <w:p w:rsidR="00BF0409" w:rsidRDefault="00C53DD2">
      <w:pPr>
        <w:pStyle w:val="Zkladntext1"/>
        <w:shd w:val="clear" w:color="auto" w:fill="auto"/>
        <w:ind w:left="1100" w:hanging="360"/>
        <w:jc w:val="both"/>
      </w:pPr>
      <w:r>
        <w:t>- část složené jistoty ve výši 66 909,42 Kč byla započtena vůči splatné pohledávce pronajímatele za nájemcem ve výši</w:t>
      </w:r>
      <w:r>
        <w:t xml:space="preserve"> 66 909,42 Kč vzniklé z důvodu neuhrazení nájemného za říjen 2023,</w:t>
      </w:r>
    </w:p>
    <w:p w:rsidR="00BF0409" w:rsidRDefault="00C53DD2">
      <w:pPr>
        <w:pStyle w:val="Zkladntext1"/>
        <w:shd w:val="clear" w:color="auto" w:fill="auto"/>
        <w:spacing w:after="260"/>
        <w:ind w:left="1100" w:hanging="360"/>
        <w:jc w:val="both"/>
      </w:pPr>
      <w:r>
        <w:t>- část složené jistoty ve výši 34 191,42 Kč byla započtena vůči splatné pohledávce pronajímatele za nájemcem ve výši 66 909,42 Kč vzniklé z důvodu neuhrazení nájemného za listopad 2023,</w:t>
      </w:r>
    </w:p>
    <w:p w:rsidR="00BF0409" w:rsidRDefault="00C53DD2">
      <w:pPr>
        <w:pStyle w:val="Zkladntext1"/>
        <w:shd w:val="clear" w:color="auto" w:fill="auto"/>
        <w:spacing w:after="260"/>
        <w:ind w:left="740"/>
        <w:jc w:val="both"/>
      </w:pPr>
      <w:r>
        <w:t>čím</w:t>
      </w:r>
      <w:r>
        <w:t>ž došlo k úplnému použití jistoty k úhradě nároků pronajímatele za nájemcem. O této skutečnosti pronajímatel nájemce písemně informoval v souladu s čl. V odst. 2 Nájemní smlouvy dopisem č.j. NPU-420/97959/2023 ze dne 9.11.2023. Ke dni podpisu této dohody n</w:t>
      </w:r>
      <w:r>
        <w:t>ájemce jistotu nedoplatil. Podpisem této smlouvy nájemce stvrzuje, že souhlasí s provedeným jednostranným započtením.</w:t>
      </w:r>
    </w:p>
    <w:p w:rsidR="00BF0409" w:rsidRDefault="00C53DD2">
      <w:pPr>
        <w:pStyle w:val="Zkladntext1"/>
        <w:numPr>
          <w:ilvl w:val="0"/>
          <w:numId w:val="3"/>
        </w:numPr>
        <w:shd w:val="clear" w:color="auto" w:fill="auto"/>
        <w:tabs>
          <w:tab w:val="left" w:pos="795"/>
        </w:tabs>
        <w:spacing w:after="260"/>
        <w:ind w:left="740" w:hanging="360"/>
        <w:jc w:val="both"/>
      </w:pPr>
      <w:r>
        <w:t>z důvodu opožděné úhrady části nájemného za leden a únor 2023 a opožděné úhrady nájemného za duben až červen 2023 byl nájemce pronajímatel</w:t>
      </w:r>
      <w:r>
        <w:t>em písemně vyzván k úhradě smluvní pokuty v celkové výši 13 882,00 Kč na základě daňového dokladu č. 2027430023 ze dne 30.6.2023; ke dni podpisu této dohody nájemce pronajímateli shora vyčíslenou smluvní pokutu neuhradil, a to ani zčásti;</w:t>
      </w:r>
    </w:p>
    <w:p w:rsidR="00BF0409" w:rsidRDefault="00C53DD2">
      <w:pPr>
        <w:pStyle w:val="Zkladntext1"/>
        <w:numPr>
          <w:ilvl w:val="0"/>
          <w:numId w:val="3"/>
        </w:numPr>
        <w:shd w:val="clear" w:color="auto" w:fill="auto"/>
        <w:tabs>
          <w:tab w:val="left" w:pos="795"/>
        </w:tabs>
        <w:spacing w:after="260"/>
        <w:ind w:left="740" w:hanging="360"/>
        <w:jc w:val="both"/>
      </w:pPr>
      <w:r>
        <w:t>z důvodu opožděné</w:t>
      </w:r>
      <w:r>
        <w:t xml:space="preserve"> úhrady nájemného za červenec a listopad 2023, neuhrazení části nájemného za listopad 2023 a neuhrazení nájemného za prosinec 2023 byl nájemce pronajímatelem písemně vyzván k úhradě smluvní pokuty v celkové výši 33 085,00 Kč na základě daňového dokladu č. </w:t>
      </w:r>
      <w:r>
        <w:t>2027430051 ze dne 1.12.2023; ke dni podpisu této dohody nájemce pronajímateli shora vyčíslenou smluvní pokutu neuhradil, a to ani zčásti.</w:t>
      </w:r>
    </w:p>
    <w:p w:rsidR="00BF0409" w:rsidRDefault="00C53DD2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 ohledem na shora uvedené nájemce prohlašuje, že dle § 2053 občanského zákoníku uznává svůj dluh vůči pronajímateli c</w:t>
      </w:r>
      <w:r>
        <w:t>o do důvodu a výše, a to: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left="800" w:hanging="360"/>
        <w:jc w:val="both"/>
      </w:pPr>
      <w:r>
        <w:t>ve výši 32 718 Kč z titulu neuhrazené části nájemného za listopad 2023, a dále jeho příslušenství, jímž je zákonný úrok z prodlení od 11.11.2023 do zaplacení;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left="800" w:hanging="360"/>
        <w:jc w:val="both"/>
      </w:pPr>
      <w:r>
        <w:t xml:space="preserve">ve výši 66 909,42 Kč z titulu neuhrazeného nájemného za prosinec 2023, </w:t>
      </w:r>
      <w:r>
        <w:t>a dále jeho příslušenství, jímž je zákonný úrok z prodlení od 20.11.2023 do zaplacení;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left="800" w:hanging="360"/>
        <w:jc w:val="both"/>
      </w:pPr>
      <w:r>
        <w:t>ve výši 66 909,42 Kč z titulu neuhrazeného nájemného za leden 2024, a dále jeho příslušenství, jímž je zákonný úrok z prodlení od 20.12.2023 do zaplacení;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left="800" w:hanging="360"/>
        <w:jc w:val="both"/>
      </w:pPr>
      <w:r>
        <w:t>ve výši 66 909</w:t>
      </w:r>
      <w:r>
        <w:t>,42 Kč z titulu neuhrazeného nájemného za únor 2024, a dále jeho příslušenství, jímž je zákonný úrok z prodlení od 20.1.2024 do zaplacení;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1 167 Kč z titulu smluvní pokuty za prodlení s úhradou části nájemného za leden a únor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5 019 Kč</w:t>
      </w:r>
      <w:r>
        <w:t xml:space="preserve"> z titulu smluvní pokuty za prodlení s úhradou nájemného za duben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4 517 Kč z titulu smluvní pokuty za prodlení s úhradou nájemného za květen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3 179 Kč z titulu smluvní pokuty za prodlení s úhradou nájemného za červen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</w:t>
      </w:r>
      <w:r>
        <w:t>i 2 844 z titulu smluvní pokuty za prodlení s úhradou nájemného za červenec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1 171 Kč z titulu smluvní pokuty za prodlení s úhradou nájemného za srpen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13 717 Kč z titulu smluvní pokuty za prodlení s úhradou nájemného za září 2023</w:t>
      </w:r>
      <w:r>
        <w:t>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ind w:firstLine="440"/>
        <w:jc w:val="both"/>
      </w:pPr>
      <w:r>
        <w:t>ve výši 8 531 Kč z titulu smluvní pokuty za prodlení s úhradou nájemného za říjen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47"/>
        </w:tabs>
        <w:ind w:firstLine="440"/>
      </w:pPr>
      <w:r>
        <w:t>ve výši 3 153 Kč z titulu smluvní pokuty za prodlení s úhradou části nájemného za listopad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795"/>
        </w:tabs>
        <w:spacing w:after="260"/>
        <w:ind w:left="800" w:hanging="360"/>
        <w:jc w:val="both"/>
      </w:pPr>
      <w:r>
        <w:t xml:space="preserve">ve výši 0,25 % z částky 32 718 Kč denně od 20.10.2023 do zaplacení z </w:t>
      </w:r>
      <w:r>
        <w:t>titulu smluvní pokuty za prodlení s úhradou nájemného za listopad 2023;</w:t>
      </w:r>
      <w:r>
        <w:br w:type="page"/>
      </w:r>
    </w:p>
    <w:p w:rsidR="00BF0409" w:rsidRDefault="00BF0409">
      <w:pPr>
        <w:spacing w:line="1" w:lineRule="exact"/>
      </w:pP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13"/>
        </w:tabs>
        <w:ind w:left="800" w:hanging="360"/>
        <w:jc w:val="both"/>
      </w:pPr>
      <w:r>
        <w:t>ve výši 0,25 % z částky 66 909,42 Kč denně od 20.11.2023 do zaplacení z titulu smluvní pokuty za prodlení s úhradou nájemného za prosinec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9"/>
        </w:tabs>
        <w:ind w:left="800" w:hanging="360"/>
        <w:jc w:val="both"/>
      </w:pPr>
      <w:r>
        <w:t xml:space="preserve">ve výši 0,25 % z částky 66 909,42 Kč </w:t>
      </w:r>
      <w:r>
        <w:t>denně od 20.12.2023 do zaplacení z titulu smluvní pokuty za prodlení s úhradou nájemného za leden 2024;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9"/>
        </w:tabs>
        <w:spacing w:after="260"/>
        <w:ind w:left="800" w:hanging="360"/>
        <w:jc w:val="both"/>
      </w:pPr>
      <w:r>
        <w:t>ve výši 0,25 % z částky 66 909,42 Kč denně od 20.1.2024 do zaplacení z titulu smluvní pokuty za prodlení s úhradou nájemného za únor 2024;</w:t>
      </w:r>
    </w:p>
    <w:p w:rsidR="00BF0409" w:rsidRDefault="00C53DD2">
      <w:pPr>
        <w:pStyle w:val="Zkladntext1"/>
        <w:shd w:val="clear" w:color="auto" w:fill="auto"/>
        <w:ind w:firstLine="740"/>
      </w:pPr>
      <w:r>
        <w:t>včetně příslu</w:t>
      </w:r>
      <w:r>
        <w:t>šenství pohledávek, a to: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ind w:left="800" w:hanging="360"/>
        <w:jc w:val="both"/>
      </w:pPr>
      <w:r>
        <w:t>zákonného úroku z prodlení ve výši 2 580,37 Kč za pozdní úhradu nájemného za leden až červen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ind w:firstLine="440"/>
      </w:pPr>
      <w:r>
        <w:t>zákonného úroku z prodlení ve výši 467,45 Kč za pozdní úhradu nájemného za červenec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ind w:firstLine="440"/>
      </w:pPr>
      <w:r>
        <w:t>zákonného úroku z prodlení ve výši 192,48</w:t>
      </w:r>
      <w:r>
        <w:t xml:space="preserve"> Kč za pozdní úhradu nájemného za srpen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9"/>
        </w:tabs>
        <w:ind w:firstLine="440"/>
      </w:pPr>
      <w:r>
        <w:t>zákonného úroku z prodlení ve výši 2 254,76 Kč za pozdní úhradu nájemného za září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ind w:firstLine="440"/>
      </w:pPr>
      <w:r>
        <w:t>zákonného úroku z prodlení ve výši 1 402,35 Kč za pozdní úhradu nájemného za říjen 2023,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57"/>
        </w:tabs>
        <w:ind w:firstLine="440"/>
      </w:pPr>
      <w:r>
        <w:t xml:space="preserve">zákonného úroku z prodlení ve </w:t>
      </w:r>
      <w:r>
        <w:t>výši 577,44 Kč za pozdní úhradu nájemného za listopad 2023;</w:t>
      </w:r>
    </w:p>
    <w:p w:rsidR="00BF0409" w:rsidRDefault="00C53DD2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260"/>
        <w:ind w:firstLine="440"/>
        <w:jc w:val="both"/>
      </w:pPr>
      <w:r>
        <w:t>zákonného úroku z prodlení za pozdní úhradu nájemného za prosinec 2023, leden a únor 2024.</w:t>
      </w:r>
    </w:p>
    <w:p w:rsidR="00BF0409" w:rsidRDefault="00C53DD2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640"/>
        <w:ind w:left="380" w:hanging="380"/>
        <w:jc w:val="both"/>
      </w:pPr>
      <w:r>
        <w:t>Pro vyloučení pochybností smluvní strany sjednávají, že pronajímatel není povinen po skončení vztahu zalo</w:t>
      </w:r>
      <w:r>
        <w:t>ženého Nájemní smlouvou jakkoli udržovat golfové hřiště, jež se nachází na předmětu nájmu, či o něj pečovat, provozovat jej apod.</w:t>
      </w:r>
    </w:p>
    <w:p w:rsidR="00BF0409" w:rsidRDefault="00C53DD2">
      <w:pPr>
        <w:pStyle w:val="Zkladntext1"/>
        <w:shd w:val="clear" w:color="auto" w:fill="auto"/>
        <w:jc w:val="center"/>
      </w:pPr>
      <w:r>
        <w:rPr>
          <w:b/>
          <w:bCs/>
        </w:rPr>
        <w:t>Článek IV.</w:t>
      </w:r>
    </w:p>
    <w:p w:rsidR="00BF0409" w:rsidRDefault="00C53DD2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BF0409" w:rsidRDefault="00C53DD2">
      <w:pPr>
        <w:pStyle w:val="Zkladntext1"/>
        <w:shd w:val="clear" w:color="auto" w:fill="auto"/>
        <w:ind w:left="380" w:hanging="380"/>
        <w:jc w:val="both"/>
      </w:pPr>
      <w:r>
        <w:t>1. Tato dohoda je uzavřena v souladu s příslušnými ustanoveními obecně závazných právních před</w:t>
      </w:r>
      <w:r>
        <w:t>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:rsidR="00BF0409" w:rsidRDefault="00C53DD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Tato dohoda je uzavřena elektronicky s kval</w:t>
      </w:r>
      <w:r>
        <w:t>ifikovanými elektronickými podpisy smluvních stran.</w:t>
      </w:r>
    </w:p>
    <w:p w:rsidR="00BF0409" w:rsidRDefault="00C53DD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r>
        <w:t>Tato dohoda podléhá povinnosti uveřejnění dle zákona č. 340/2015 Sb., o zvláštních podmínkách účinnosti některých smluv, uveřejňování těchto smluv a o registru smluv (zákon o registru smluv), ve znění poz</w:t>
      </w:r>
      <w:r>
        <w:t>dějších předpisů. Účinnosti nabývá dnem uveřejnění v registru smluv, uveřejnění zajistí pronajímatel. Smluvní strany berou na vědomí, že tato dohoda může být předmětem zveřejnění i dle jiných právních předpisů.</w:t>
      </w:r>
    </w:p>
    <w:p w:rsidR="00BF0409" w:rsidRDefault="00C53DD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300"/>
        <w:ind w:left="380" w:hanging="380"/>
        <w:jc w:val="both"/>
      </w:pPr>
      <w:r>
        <w:t xml:space="preserve">Smluvní strany prohlašují, že tuto dohodu </w:t>
      </w:r>
      <w:r>
        <w:t>uzavřely podle své pravé a svobodné vůle prosté omylů, nikoliv v tísni. Znění dohody je pro obě smluvní strany určité a srozumitelné.</w:t>
      </w:r>
    </w:p>
    <w:p w:rsidR="00BF0409" w:rsidRDefault="00C53DD2">
      <w:pPr>
        <w:pStyle w:val="Zkladntext1"/>
        <w:shd w:val="clear" w:color="auto" w:fill="auto"/>
        <w:sectPr w:rsidR="00BF0409">
          <w:headerReference w:type="even" r:id="rId7"/>
          <w:headerReference w:type="default" r:id="rId8"/>
          <w:pgSz w:w="11900" w:h="16840"/>
          <w:pgMar w:top="1325" w:right="1090" w:bottom="828" w:left="109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12700</wp:posOffset>
                </wp:positionV>
                <wp:extent cx="755650" cy="19494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409" w:rsidRDefault="00C53DD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Praze,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72.25pt;margin-top:1.pt;width:59.5pt;height:15.3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Praze, dne</w:t>
      </w:r>
    </w:p>
    <w:p w:rsidR="00BF0409" w:rsidRDefault="00BF0409">
      <w:pPr>
        <w:spacing w:line="79" w:lineRule="exact"/>
        <w:rPr>
          <w:sz w:val="6"/>
          <w:szCs w:val="6"/>
        </w:rPr>
      </w:pPr>
    </w:p>
    <w:p w:rsidR="00BF0409" w:rsidRDefault="00BF0409">
      <w:pPr>
        <w:spacing w:line="1" w:lineRule="exact"/>
        <w:sectPr w:rsidR="00BF0409">
          <w:type w:val="continuous"/>
          <w:pgSz w:w="11900" w:h="16840"/>
          <w:pgMar w:top="1560" w:right="0" w:bottom="2554" w:left="0" w:header="0" w:footer="3" w:gutter="0"/>
          <w:cols w:space="720"/>
          <w:noEndnote/>
          <w:docGrid w:linePitch="360"/>
        </w:sectPr>
      </w:pPr>
    </w:p>
    <w:p w:rsidR="00BF0409" w:rsidRDefault="00BF0409">
      <w:pPr>
        <w:spacing w:line="360" w:lineRule="exact"/>
      </w:pPr>
      <w:bookmarkStart w:id="0" w:name="_GoBack"/>
      <w:bookmarkEnd w:id="0"/>
    </w:p>
    <w:p w:rsidR="00BF0409" w:rsidRDefault="00BF0409">
      <w:pPr>
        <w:spacing w:after="469" w:line="1" w:lineRule="exact"/>
      </w:pPr>
    </w:p>
    <w:p w:rsidR="00BF0409" w:rsidRDefault="00BF0409">
      <w:pPr>
        <w:spacing w:line="1" w:lineRule="exact"/>
        <w:sectPr w:rsidR="00BF0409">
          <w:type w:val="continuous"/>
          <w:pgSz w:w="11900" w:h="16840"/>
          <w:pgMar w:top="1560" w:right="1090" w:bottom="2554" w:left="1090" w:header="0" w:footer="3" w:gutter="0"/>
          <w:cols w:space="720"/>
          <w:noEndnote/>
          <w:docGrid w:linePitch="360"/>
        </w:sectPr>
      </w:pPr>
    </w:p>
    <w:p w:rsidR="00BF0409" w:rsidRDefault="00C53DD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4590415</wp:posOffset>
                </wp:positionH>
                <wp:positionV relativeFrom="paragraph">
                  <wp:posOffset>12700</wp:posOffset>
                </wp:positionV>
                <wp:extent cx="1029970" cy="36576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409" w:rsidRDefault="00C53DD2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(podpis nájemce)</w:t>
                            </w:r>
                            <w:r>
                              <w:br/>
                              <w:t>/razítko/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1.44999999999999pt;margin-top:1.pt;width:81.099999999999994pt;height:28.80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(podpis nájemce)</w:t>
                        <w:br/>
                        <w:t>/razítko/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F0409" w:rsidRDefault="00C53DD2">
      <w:pPr>
        <w:pStyle w:val="Zkladntext1"/>
        <w:shd w:val="clear" w:color="auto" w:fill="auto"/>
        <w:jc w:val="center"/>
      </w:pPr>
      <w:r>
        <w:t>(podpis pronajímatele)</w:t>
      </w:r>
      <w:r>
        <w:br/>
      </w:r>
      <w:r>
        <w:t>/razítko/</w:t>
      </w:r>
    </w:p>
    <w:sectPr w:rsidR="00BF0409">
      <w:type w:val="continuous"/>
      <w:pgSz w:w="11900" w:h="16840"/>
      <w:pgMar w:top="1460" w:right="4671" w:bottom="1460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D2" w:rsidRDefault="00C53DD2">
      <w:r>
        <w:separator/>
      </w:r>
    </w:p>
  </w:endnote>
  <w:endnote w:type="continuationSeparator" w:id="0">
    <w:p w:rsidR="00C53DD2" w:rsidRDefault="00C5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D2" w:rsidRDefault="00C53DD2"/>
  </w:footnote>
  <w:footnote w:type="continuationSeparator" w:id="0">
    <w:p w:rsidR="00C53DD2" w:rsidRDefault="00C53D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09" w:rsidRDefault="00BF040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09" w:rsidRDefault="00BF04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693F"/>
    <w:multiLevelType w:val="multilevel"/>
    <w:tmpl w:val="EBBC4AA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194447"/>
    <w:multiLevelType w:val="multilevel"/>
    <w:tmpl w:val="5094A6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9443E8"/>
    <w:multiLevelType w:val="multilevel"/>
    <w:tmpl w:val="CBE47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5A5473"/>
    <w:multiLevelType w:val="multilevel"/>
    <w:tmpl w:val="0C92B2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09"/>
    <w:rsid w:val="00473415"/>
    <w:rsid w:val="00BF0409"/>
    <w:rsid w:val="00C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2DFB4-09E1-476C-A4E2-3D532E1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Verdana" w:eastAsia="Verdana" w:hAnsi="Verdana" w:cs="Verdana"/>
      <w:color w:val="33333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0"/>
      <w:szCs w:val="30"/>
    </w:rPr>
  </w:style>
  <w:style w:type="paragraph" w:styleId="Zpat">
    <w:name w:val="footer"/>
    <w:basedOn w:val="Normln"/>
    <w:link w:val="ZpatChar"/>
    <w:uiPriority w:val="99"/>
    <w:unhideWhenUsed/>
    <w:rsid w:val="004734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415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4734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4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6926</Characters>
  <Application>Microsoft Office Word</Application>
  <DocSecurity>0</DocSecurity>
  <Lines>57</Lines>
  <Paragraphs>16</Paragraphs>
  <ScaleCrop>false</ScaleCrop>
  <Company>HP Inc.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pelikanova</dc:creator>
  <cp:keywords/>
  <cp:lastModifiedBy>Janouchová Miroslava</cp:lastModifiedBy>
  <cp:revision>2</cp:revision>
  <dcterms:created xsi:type="dcterms:W3CDTF">2024-02-28T11:13:00Z</dcterms:created>
  <dcterms:modified xsi:type="dcterms:W3CDTF">2024-02-28T11:15:00Z</dcterms:modified>
</cp:coreProperties>
</file>