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:rsidR="009B5907" w:rsidRDefault="009B5907" w:rsidP="00D81243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:rsidR="001027F6" w:rsidRDefault="008E276D" w:rsidP="001027F6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Pr="003F7C02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VZ </w:t>
      </w:r>
      <w:r w:rsidR="00BA4981">
        <w:rPr>
          <w:rFonts w:ascii="Times New Roman" w:hAnsi="Times New Roman" w:cs="Times New Roman"/>
          <w:b/>
          <w:kern w:val="0"/>
          <w:sz w:val="36"/>
          <w:lang w:eastAsia="cs-CZ" w:bidi="ar-SA"/>
        </w:rPr>
        <w:t>64</w:t>
      </w:r>
      <w:r w:rsidR="000379DD" w:rsidRPr="003F7C02">
        <w:rPr>
          <w:rFonts w:ascii="Times New Roman" w:hAnsi="Times New Roman" w:cs="Times New Roman"/>
          <w:b/>
          <w:kern w:val="0"/>
          <w:sz w:val="36"/>
          <w:lang w:eastAsia="cs-CZ" w:bidi="ar-SA"/>
        </w:rPr>
        <w:t>/</w:t>
      </w:r>
      <w:r w:rsidR="009B5907">
        <w:rPr>
          <w:rFonts w:ascii="Times New Roman" w:hAnsi="Times New Roman" w:cs="Times New Roman"/>
          <w:b/>
          <w:kern w:val="0"/>
          <w:sz w:val="36"/>
          <w:lang w:eastAsia="cs-CZ" w:bidi="ar-SA"/>
        </w:rPr>
        <w:t>201</w:t>
      </w:r>
      <w:r w:rsidR="00030AEA">
        <w:rPr>
          <w:rFonts w:ascii="Times New Roman" w:hAnsi="Times New Roman" w:cs="Times New Roman"/>
          <w:b/>
          <w:kern w:val="0"/>
          <w:sz w:val="36"/>
          <w:lang w:eastAsia="cs-CZ" w:bidi="ar-SA"/>
        </w:rPr>
        <w:t>7</w:t>
      </w:r>
    </w:p>
    <w:p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>v souladu s </w:t>
      </w:r>
      <w:proofErr w:type="gramStart"/>
      <w:r w:rsidRPr="00660CA5">
        <w:rPr>
          <w:rFonts w:ascii="Times New Roman" w:hAnsi="Times New Roman" w:cs="Times New Roman"/>
          <w:sz w:val="24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:rsidR="008E276D" w:rsidRDefault="0009291C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:rsidR="00D416BD" w:rsidRPr="00D81243" w:rsidRDefault="00D416BD" w:rsidP="0087209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090421">
        <w:rPr>
          <w:rFonts w:ascii="Times New Roman" w:hAnsi="Times New Roman" w:cs="Times New Roman"/>
          <w:sz w:val="24"/>
        </w:rPr>
        <w:t>xxxxxxxxxxxxxx</w:t>
      </w:r>
      <w:proofErr w:type="spellEnd"/>
    </w:p>
    <w:p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</w:t>
      </w:r>
      <w:proofErr w:type="spellStart"/>
      <w:r w:rsidRPr="00660CA5">
        <w:rPr>
          <w:rFonts w:ascii="Times New Roman" w:hAnsi="Times New Roman" w:cs="Times New Roman"/>
          <w:sz w:val="24"/>
        </w:rPr>
        <w:t>účtu</w:t>
      </w:r>
      <w:r w:rsidR="00976503">
        <w:rPr>
          <w:rFonts w:ascii="Times New Roman" w:hAnsi="Times New Roman" w:cs="Times New Roman"/>
          <w:sz w:val="24"/>
        </w:rPr>
        <w:t>:xxxxxxx</w:t>
      </w:r>
      <w:proofErr w:type="spellEnd"/>
      <w:r w:rsidRPr="00660CA5">
        <w:rPr>
          <w:rFonts w:ascii="Times New Roman" w:hAnsi="Times New Roman" w:cs="Times New Roman"/>
          <w:sz w:val="24"/>
        </w:rPr>
        <w:t xml:space="preserve">          </w:t>
      </w:r>
    </w:p>
    <w:p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:rsidR="00D416BD" w:rsidRPr="00660CA5" w:rsidRDefault="00C23849" w:rsidP="00D416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MSM, spol. s.r.o.</w:t>
      </w:r>
    </w:p>
    <w:p w:rsidR="00D416BD" w:rsidRPr="00660CA5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 w:rsidR="00C23849">
        <w:rPr>
          <w:rFonts w:ascii="Times New Roman" w:hAnsi="Times New Roman" w:cs="Times New Roman"/>
          <w:spacing w:val="-2"/>
          <w:sz w:val="24"/>
        </w:rPr>
        <w:t xml:space="preserve"> Lhota u Příbramě, č.p. 13, PSČ 261 01</w:t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ED69BC">
        <w:rPr>
          <w:rFonts w:ascii="Times New Roman" w:hAnsi="Times New Roman" w:cs="Times New Roman"/>
          <w:spacing w:val="-2"/>
          <w:sz w:val="24"/>
        </w:rPr>
        <w:tab/>
      </w:r>
      <w:r w:rsidR="00415747">
        <w:rPr>
          <w:rFonts w:ascii="Times New Roman" w:hAnsi="Times New Roman" w:cs="Times New Roman"/>
          <w:spacing w:val="-2"/>
          <w:sz w:val="24"/>
        </w:rPr>
        <w:t xml:space="preserve"> </w:t>
      </w:r>
    </w:p>
    <w:p w:rsidR="00472186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 w:rsidR="00C966F6">
        <w:rPr>
          <w:rFonts w:ascii="Times New Roman" w:hAnsi="Times New Roman" w:cs="Times New Roman"/>
          <w:spacing w:val="-2"/>
          <w:sz w:val="24"/>
        </w:rPr>
        <w:t xml:space="preserve"> </w:t>
      </w:r>
      <w:r w:rsidR="00C23849">
        <w:rPr>
          <w:rFonts w:ascii="Times New Roman" w:hAnsi="Times New Roman" w:cs="Times New Roman"/>
          <w:spacing w:val="-2"/>
          <w:sz w:val="24"/>
        </w:rPr>
        <w:t>47546999</w:t>
      </w:r>
    </w:p>
    <w:p w:rsidR="00D416BD" w:rsidRDefault="00D416B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 w:rsidR="00972868">
        <w:rPr>
          <w:rFonts w:ascii="Times New Roman" w:hAnsi="Times New Roman" w:cs="Times New Roman"/>
          <w:spacing w:val="-2"/>
          <w:sz w:val="24"/>
        </w:rPr>
        <w:t xml:space="preserve"> </w:t>
      </w:r>
      <w:r w:rsidR="00472186">
        <w:rPr>
          <w:rFonts w:ascii="Times New Roman" w:hAnsi="Times New Roman" w:cs="Times New Roman"/>
          <w:spacing w:val="-2"/>
          <w:sz w:val="24"/>
        </w:rPr>
        <w:t>CZ</w:t>
      </w:r>
      <w:r w:rsidR="00C23849">
        <w:rPr>
          <w:rFonts w:ascii="Times New Roman" w:hAnsi="Times New Roman" w:cs="Times New Roman"/>
          <w:spacing w:val="-2"/>
          <w:sz w:val="24"/>
        </w:rPr>
        <w:t>47546999</w:t>
      </w:r>
    </w:p>
    <w:p w:rsidR="000E001D" w:rsidRPr="00660CA5" w:rsidRDefault="000E001D" w:rsidP="00D416BD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Zapsána</w:t>
      </w:r>
      <w:r w:rsidR="0075022B">
        <w:rPr>
          <w:rFonts w:ascii="Times New Roman" w:hAnsi="Times New Roman" w:cs="Times New Roman"/>
          <w:spacing w:val="-2"/>
          <w:sz w:val="24"/>
        </w:rPr>
        <w:t xml:space="preserve">: </w:t>
      </w:r>
      <w:r w:rsidR="00C23849">
        <w:rPr>
          <w:rFonts w:ascii="Times New Roman" w:hAnsi="Times New Roman" w:cs="Times New Roman"/>
          <w:spacing w:val="-2"/>
          <w:sz w:val="24"/>
        </w:rPr>
        <w:t>dne 26.4.1993 v OR vedeném Městským soudem v Praze, oddíl C, vložka 19801</w:t>
      </w:r>
    </w:p>
    <w:p w:rsidR="00472186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 w:rsidR="00C238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0421">
        <w:rPr>
          <w:rFonts w:ascii="Times New Roman" w:hAnsi="Times New Roman" w:cs="Times New Roman"/>
          <w:sz w:val="24"/>
        </w:rPr>
        <w:t>xxxxxxxxxxx</w:t>
      </w:r>
      <w:proofErr w:type="spellEnd"/>
    </w:p>
    <w:p w:rsidR="00D416BD" w:rsidRDefault="00D416BD" w:rsidP="00D416BD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  <w:r w:rsidR="007502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0421">
        <w:rPr>
          <w:rFonts w:ascii="Times New Roman" w:hAnsi="Times New Roman" w:cs="Times New Roman"/>
          <w:sz w:val="24"/>
        </w:rPr>
        <w:t>xxxxxxxxxx</w:t>
      </w:r>
      <w:proofErr w:type="spellEnd"/>
    </w:p>
    <w:p w:rsidR="008E276D" w:rsidRDefault="00D416BD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 w:rsidR="00C23849">
        <w:rPr>
          <w:rFonts w:ascii="Times New Roman" w:hAnsi="Times New Roman" w:cs="Times New Roman"/>
          <w:spacing w:val="-2"/>
          <w:sz w:val="24"/>
        </w:rPr>
        <w:t xml:space="preserve">: Vladimírem </w:t>
      </w:r>
      <w:proofErr w:type="spellStart"/>
      <w:r w:rsidR="00C23849">
        <w:rPr>
          <w:rFonts w:ascii="Times New Roman" w:hAnsi="Times New Roman" w:cs="Times New Roman"/>
          <w:spacing w:val="-2"/>
          <w:sz w:val="24"/>
        </w:rPr>
        <w:t>Pušcem</w:t>
      </w:r>
      <w:proofErr w:type="spellEnd"/>
      <w:r w:rsidR="00C23849">
        <w:rPr>
          <w:rFonts w:ascii="Times New Roman" w:hAnsi="Times New Roman" w:cs="Times New Roman"/>
          <w:spacing w:val="-2"/>
          <w:sz w:val="24"/>
        </w:rPr>
        <w:t>, jednatelem</w:t>
      </w:r>
    </w:p>
    <w:p w:rsidR="00972868" w:rsidRDefault="00972868" w:rsidP="00972868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b/>
          <w:spacing w:val="-2"/>
          <w:sz w:val="24"/>
        </w:rPr>
      </w:pPr>
    </w:p>
    <w:p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 zadávacím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r w:rsidR="00472186">
        <w:rPr>
          <w:rFonts w:ascii="Times New Roman" w:hAnsi="Times New Roman" w:cs="Times New Roman"/>
          <w:b/>
          <w:sz w:val="24"/>
        </w:rPr>
        <w:t>Omezovací prostředky</w:t>
      </w:r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:rsidR="001424AC" w:rsidRDefault="001424AC" w:rsidP="006F3DF7">
      <w:pPr>
        <w:jc w:val="both"/>
        <w:rPr>
          <w:rFonts w:ascii="Times New Roman" w:hAnsi="Times New Roman" w:cs="Times New Roman"/>
          <w:b/>
          <w:sz w:val="24"/>
        </w:rPr>
      </w:pPr>
    </w:p>
    <w:p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:rsidR="008E276D" w:rsidRPr="00C96609" w:rsidRDefault="001D16E8" w:rsidP="001D16E8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</w:t>
      </w:r>
      <w:r w:rsidR="00A42AE1">
        <w:rPr>
          <w:rFonts w:ascii="Times New Roman" w:hAnsi="Times New Roman" w:cs="Times New Roman"/>
          <w:b/>
          <w:bCs/>
          <w:sz w:val="24"/>
        </w:rPr>
        <w:tab/>
      </w:r>
      <w:r w:rsidR="00A42AE1"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 xml:space="preserve">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I.</w:t>
      </w:r>
    </w:p>
    <w:p w:rsidR="008E276D" w:rsidRPr="00C96609" w:rsidRDefault="00C33956" w:rsidP="00C33956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:rsidR="006554F1" w:rsidRDefault="00472186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Omezovací prostředky </w:t>
      </w:r>
      <w:r w:rsidR="00030AEA">
        <w:rPr>
          <w:rFonts w:ascii="Times New Roman" w:hAnsi="Times New Roman" w:cs="Times New Roman"/>
          <w:sz w:val="24"/>
        </w:rPr>
        <w:t xml:space="preserve">pro </w:t>
      </w:r>
      <w:r>
        <w:rPr>
          <w:rFonts w:ascii="Times New Roman" w:hAnsi="Times New Roman" w:cs="Times New Roman"/>
          <w:sz w:val="24"/>
        </w:rPr>
        <w:t>Psychiatrickou léčebnu Šternberk</w:t>
      </w:r>
      <w:r w:rsidR="00B67AED">
        <w:rPr>
          <w:rFonts w:ascii="Times New Roman" w:hAnsi="Times New Roman" w:cs="Times New Roman"/>
          <w:sz w:val="24"/>
        </w:rPr>
        <w:t xml:space="preserve"> 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č. </w:t>
      </w:r>
      <w:r w:rsidR="00BA4981">
        <w:rPr>
          <w:rFonts w:ascii="Times New Roman" w:hAnsi="Times New Roman" w:cs="Times New Roman"/>
          <w:b/>
          <w:sz w:val="24"/>
        </w:rPr>
        <w:t>64</w:t>
      </w:r>
      <w:r w:rsidR="00030AEA" w:rsidRPr="003F7C02">
        <w:rPr>
          <w:rFonts w:ascii="Times New Roman" w:hAnsi="Times New Roman" w:cs="Times New Roman"/>
          <w:b/>
          <w:sz w:val="24"/>
        </w:rPr>
        <w:t>/</w:t>
      </w:r>
      <w:r w:rsidR="00030AEA">
        <w:rPr>
          <w:rFonts w:ascii="Times New Roman" w:hAnsi="Times New Roman" w:cs="Times New Roman"/>
          <w:b/>
          <w:sz w:val="24"/>
        </w:rPr>
        <w:t>2017</w:t>
      </w:r>
      <w:r w:rsidR="008E276D" w:rsidRPr="00390DB5">
        <w:rPr>
          <w:rFonts w:ascii="Times New Roman" w:hAnsi="Times New Roman" w:cs="Times New Roman"/>
          <w:b/>
          <w:sz w:val="24"/>
        </w:rPr>
        <w:t xml:space="preserve"> a jeho</w:t>
      </w:r>
      <w:r w:rsidR="008E276D">
        <w:rPr>
          <w:rFonts w:ascii="Times New Roman" w:hAnsi="Times New Roman" w:cs="Times New Roman"/>
          <w:b/>
          <w:sz w:val="24"/>
        </w:rPr>
        <w:t xml:space="preserve"> příloh</w:t>
      </w:r>
      <w:r w:rsidR="008E276D">
        <w:rPr>
          <w:rFonts w:ascii="Times New Roman" w:hAnsi="Times New Roman" w:cs="Times New Roman"/>
          <w:sz w:val="24"/>
        </w:rPr>
        <w:t>,</w:t>
      </w:r>
      <w:r w:rsidR="008E276D" w:rsidRPr="003406A1">
        <w:rPr>
          <w:rFonts w:ascii="Times New Roman" w:hAnsi="Times New Roman" w:cs="Times New Roman"/>
          <w:b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98135A">
        <w:rPr>
          <w:rFonts w:ascii="Times New Roman" w:hAnsi="Times New Roman" w:cs="Times New Roman"/>
          <w:sz w:val="24"/>
        </w:rPr>
        <w:t>dodavatel</w:t>
      </w:r>
      <w:r w:rsidR="008E276D" w:rsidRPr="00ED36C2">
        <w:rPr>
          <w:rFonts w:ascii="Times New Roman" w:hAnsi="Times New Roman" w:cs="Times New Roman"/>
          <w:sz w:val="24"/>
        </w:rPr>
        <w:t xml:space="preserve"> předložil v</w:t>
      </w:r>
      <w:r>
        <w:rPr>
          <w:rFonts w:ascii="Times New Roman" w:hAnsi="Times New Roman" w:cs="Times New Roman"/>
          <w:sz w:val="24"/>
        </w:rPr>
        <w:t> průzkumu trhu</w:t>
      </w:r>
      <w:r w:rsidR="008E276D" w:rsidRPr="00ED36C2">
        <w:rPr>
          <w:rFonts w:ascii="Times New Roman" w:hAnsi="Times New Roman" w:cs="Times New Roman"/>
          <w:sz w:val="24"/>
        </w:rPr>
        <w:t xml:space="preserve"> kupujícímu jako zadavateli</w:t>
      </w:r>
      <w:r w:rsidR="000807B7">
        <w:rPr>
          <w:rFonts w:ascii="Times New Roman" w:hAnsi="Times New Roman" w:cs="Times New Roman"/>
          <w:sz w:val="24"/>
        </w:rPr>
        <w:t xml:space="preserve"> </w:t>
      </w:r>
      <w:r w:rsidR="00A42AE1">
        <w:rPr>
          <w:rFonts w:ascii="Times New Roman" w:hAnsi="Times New Roman" w:cs="Times New Roman"/>
          <w:sz w:val="24"/>
        </w:rPr>
        <w:t xml:space="preserve">Příloha č. 2 – </w:t>
      </w:r>
      <w:r w:rsidR="00F539A2">
        <w:rPr>
          <w:rFonts w:ascii="Times New Roman" w:hAnsi="Times New Roman" w:cs="Times New Roman"/>
          <w:sz w:val="24"/>
        </w:rPr>
        <w:t>Cenová kalkulace a technická specifikace</w:t>
      </w:r>
      <w:r w:rsidR="00A42AE1">
        <w:rPr>
          <w:rFonts w:ascii="Times New Roman" w:hAnsi="Times New Roman" w:cs="Times New Roman"/>
          <w:sz w:val="24"/>
        </w:rPr>
        <w:t>, která tvoří</w:t>
      </w:r>
      <w:r w:rsidR="00A42AE1">
        <w:rPr>
          <w:rFonts w:ascii="Times New Roman" w:hAnsi="Times New Roman" w:cs="Times New Roman"/>
          <w:i/>
          <w:sz w:val="24"/>
        </w:rPr>
        <w:t xml:space="preserve"> přílohu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předložené produ</w:t>
      </w:r>
      <w:r w:rsidR="00237DE4" w:rsidRPr="00856DB8">
        <w:rPr>
          <w:rFonts w:ascii="Times New Roman" w:hAnsi="Times New Roman" w:cs="Times New Roman"/>
          <w:sz w:val="24"/>
        </w:rPr>
        <w:t>ktové listy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 xml:space="preserve">Zboží bude dodáno </w:t>
      </w:r>
      <w:r w:rsidR="00090421">
        <w:rPr>
          <w:rFonts w:ascii="Times New Roman" w:hAnsi="Times New Roman" w:cs="Times New Roman"/>
          <w:sz w:val="24"/>
        </w:rPr>
        <w:t>v</w:t>
      </w:r>
      <w:r w:rsidR="00856DB8">
        <w:rPr>
          <w:rFonts w:ascii="Times New Roman" w:hAnsi="Times New Roman" w:cs="Times New Roman"/>
          <w:sz w:val="24"/>
        </w:rPr>
        <w:t xml:space="preserve"> sídle kupujícího na </w:t>
      </w:r>
      <w:r w:rsidR="00F539A2">
        <w:rPr>
          <w:rFonts w:ascii="Times New Roman" w:hAnsi="Times New Roman" w:cs="Times New Roman"/>
          <w:sz w:val="24"/>
        </w:rPr>
        <w:t>sklad SZM</w:t>
      </w:r>
      <w:r w:rsidR="00856DB8">
        <w:rPr>
          <w:rFonts w:ascii="Times New Roman" w:hAnsi="Times New Roman" w:cs="Times New Roman"/>
          <w:sz w:val="24"/>
        </w:rPr>
        <w:t xml:space="preserve"> a to vč. předání návodu k obsluze, dokumentace ke zboží v českém jazyce, prohlášení o shodě.</w:t>
      </w:r>
    </w:p>
    <w:p w:rsidR="00856DB8" w:rsidRDefault="00856DB8" w:rsidP="00856DB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56DB8" w:rsidRPr="008C6027" w:rsidRDefault="009F6847" w:rsidP="001821EF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:rsidR="00856DB8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:rsidR="008E276D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:rsidR="00932422" w:rsidRPr="00C96609" w:rsidRDefault="00932422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54C62" w:rsidRPr="00F539A2" w:rsidRDefault="00030AEA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Cena </w:t>
      </w:r>
      <w:r w:rsidR="00A42AE1">
        <w:rPr>
          <w:rFonts w:ascii="Times New Roman" w:hAnsi="Times New Roman" w:cs="Times New Roman"/>
          <w:b/>
          <w:sz w:val="24"/>
        </w:rPr>
        <w:t>celkem bez DPH</w:t>
      </w:r>
      <w:r w:rsidR="00A42AE1">
        <w:rPr>
          <w:rFonts w:ascii="Times New Roman" w:hAnsi="Times New Roman" w:cs="Times New Roman"/>
          <w:b/>
          <w:sz w:val="24"/>
        </w:rPr>
        <w:tab/>
      </w:r>
      <w:r w:rsidR="00954C62">
        <w:rPr>
          <w:rFonts w:ascii="Times New Roman" w:hAnsi="Times New Roman" w:cs="Times New Roman"/>
          <w:b/>
          <w:sz w:val="24"/>
        </w:rPr>
        <w:t>:</w:t>
      </w:r>
      <w:r w:rsidR="00954C62">
        <w:rPr>
          <w:rFonts w:ascii="Times New Roman" w:hAnsi="Times New Roman" w:cs="Times New Roman"/>
          <w:b/>
          <w:sz w:val="24"/>
        </w:rPr>
        <w:tab/>
      </w:r>
      <w:r w:rsidR="00954C62">
        <w:rPr>
          <w:rFonts w:ascii="Times New Roman" w:hAnsi="Times New Roman" w:cs="Times New Roman"/>
          <w:b/>
          <w:sz w:val="24"/>
        </w:rPr>
        <w:tab/>
      </w:r>
      <w:r w:rsidR="00C23849">
        <w:rPr>
          <w:rFonts w:ascii="Times New Roman" w:hAnsi="Times New Roman" w:cs="Times New Roman"/>
          <w:b/>
          <w:sz w:val="24"/>
        </w:rPr>
        <w:t>124 752,32</w:t>
      </w:r>
      <w:r w:rsidRPr="00F539A2">
        <w:rPr>
          <w:rFonts w:ascii="Times New Roman" w:hAnsi="Times New Roman" w:cs="Times New Roman"/>
          <w:b/>
          <w:sz w:val="24"/>
        </w:rPr>
        <w:t xml:space="preserve">  </w:t>
      </w:r>
      <w:r w:rsidR="00A42AE1" w:rsidRPr="00F539A2">
        <w:rPr>
          <w:rFonts w:ascii="Times New Roman" w:hAnsi="Times New Roman" w:cs="Times New Roman"/>
          <w:b/>
          <w:sz w:val="24"/>
        </w:rPr>
        <w:t xml:space="preserve"> </w:t>
      </w:r>
      <w:r w:rsidRPr="00F539A2">
        <w:rPr>
          <w:rFonts w:ascii="Times New Roman" w:hAnsi="Times New Roman" w:cs="Times New Roman"/>
          <w:b/>
          <w:sz w:val="24"/>
        </w:rPr>
        <w:t xml:space="preserve">   </w:t>
      </w:r>
      <w:r w:rsidR="00005226" w:rsidRPr="00F539A2">
        <w:rPr>
          <w:rFonts w:ascii="Times New Roman" w:hAnsi="Times New Roman" w:cs="Times New Roman"/>
          <w:b/>
          <w:sz w:val="24"/>
        </w:rPr>
        <w:t xml:space="preserve">  </w:t>
      </w:r>
      <w:r w:rsidR="00954C62" w:rsidRPr="00F539A2">
        <w:rPr>
          <w:rFonts w:ascii="Times New Roman" w:hAnsi="Times New Roman" w:cs="Times New Roman"/>
          <w:b/>
          <w:sz w:val="24"/>
        </w:rPr>
        <w:t>Kč</w:t>
      </w:r>
    </w:p>
    <w:p w:rsidR="001D0B3D" w:rsidRPr="00F539A2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F539A2">
        <w:rPr>
          <w:rFonts w:ascii="Times New Roman" w:hAnsi="Times New Roman" w:cs="Times New Roman"/>
          <w:sz w:val="24"/>
          <w:u w:val="single"/>
        </w:rPr>
        <w:t>DPH</w:t>
      </w:r>
      <w:r w:rsidR="000A00A2" w:rsidRPr="00F539A2">
        <w:rPr>
          <w:rFonts w:ascii="Times New Roman" w:hAnsi="Times New Roman" w:cs="Times New Roman"/>
          <w:sz w:val="24"/>
          <w:u w:val="single"/>
        </w:rPr>
        <w:t xml:space="preserve"> </w:t>
      </w:r>
      <w:r w:rsidR="00030AEA" w:rsidRPr="00F539A2">
        <w:rPr>
          <w:rFonts w:ascii="Times New Roman" w:hAnsi="Times New Roman" w:cs="Times New Roman"/>
          <w:sz w:val="24"/>
          <w:u w:val="single"/>
        </w:rPr>
        <w:t xml:space="preserve">ve výši </w:t>
      </w:r>
      <w:r w:rsidR="00C23849">
        <w:rPr>
          <w:rFonts w:ascii="Times New Roman" w:hAnsi="Times New Roman" w:cs="Times New Roman"/>
          <w:sz w:val="24"/>
          <w:u w:val="single"/>
        </w:rPr>
        <w:t>21</w:t>
      </w:r>
      <w:r w:rsidR="00030AEA" w:rsidRPr="00F539A2">
        <w:rPr>
          <w:rFonts w:ascii="Times New Roman" w:hAnsi="Times New Roman" w:cs="Times New Roman"/>
          <w:sz w:val="24"/>
          <w:u w:val="single"/>
        </w:rPr>
        <w:t>..%</w:t>
      </w:r>
      <w:r w:rsidR="00291269" w:rsidRPr="00F539A2">
        <w:rPr>
          <w:rFonts w:ascii="Times New Roman" w:hAnsi="Times New Roman" w:cs="Times New Roman"/>
          <w:sz w:val="24"/>
          <w:u w:val="single"/>
        </w:rPr>
        <w:t>:</w:t>
      </w:r>
      <w:r w:rsidRPr="00F539A2">
        <w:rPr>
          <w:rFonts w:ascii="Times New Roman" w:hAnsi="Times New Roman" w:cs="Times New Roman"/>
          <w:sz w:val="24"/>
          <w:u w:val="single"/>
        </w:rPr>
        <w:t xml:space="preserve"> </w:t>
      </w:r>
      <w:r w:rsidRPr="00F539A2">
        <w:rPr>
          <w:rFonts w:ascii="Times New Roman" w:hAnsi="Times New Roman" w:cs="Times New Roman"/>
          <w:sz w:val="24"/>
          <w:u w:val="single"/>
        </w:rPr>
        <w:tab/>
      </w:r>
      <w:r w:rsidR="00A93440" w:rsidRPr="00F539A2">
        <w:rPr>
          <w:rFonts w:ascii="Times New Roman" w:hAnsi="Times New Roman" w:cs="Times New Roman"/>
          <w:sz w:val="24"/>
          <w:u w:val="single"/>
        </w:rPr>
        <w:tab/>
      </w:r>
      <w:r w:rsidR="00A93440" w:rsidRPr="00F539A2">
        <w:rPr>
          <w:rFonts w:ascii="Times New Roman" w:hAnsi="Times New Roman" w:cs="Times New Roman"/>
          <w:sz w:val="24"/>
          <w:u w:val="single"/>
        </w:rPr>
        <w:tab/>
      </w:r>
      <w:r w:rsidR="00FA60DB" w:rsidRPr="00F539A2">
        <w:rPr>
          <w:rFonts w:ascii="Times New Roman" w:hAnsi="Times New Roman" w:cs="Times New Roman"/>
          <w:sz w:val="24"/>
          <w:u w:val="single"/>
        </w:rPr>
        <w:t xml:space="preserve"> </w:t>
      </w:r>
      <w:r w:rsidR="00005226" w:rsidRPr="00F539A2">
        <w:rPr>
          <w:rFonts w:ascii="Times New Roman" w:hAnsi="Times New Roman" w:cs="Times New Roman"/>
          <w:b/>
          <w:sz w:val="24"/>
          <w:u w:val="single"/>
        </w:rPr>
        <w:tab/>
      </w:r>
      <w:r w:rsidR="00C23849">
        <w:rPr>
          <w:rFonts w:ascii="Times New Roman" w:hAnsi="Times New Roman" w:cs="Times New Roman"/>
          <w:b/>
          <w:sz w:val="24"/>
          <w:u w:val="single"/>
        </w:rPr>
        <w:t xml:space="preserve"> 26 197,99</w:t>
      </w:r>
      <w:r w:rsidR="00A42AE1" w:rsidRPr="00F539A2">
        <w:rPr>
          <w:rFonts w:ascii="Times New Roman" w:hAnsi="Times New Roman" w:cs="Times New Roman"/>
          <w:b/>
          <w:sz w:val="24"/>
          <w:u w:val="single"/>
        </w:rPr>
        <w:tab/>
      </w:r>
      <w:r w:rsidR="0075022B" w:rsidRPr="00F539A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30AEA" w:rsidRPr="00F539A2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A93440" w:rsidRPr="00F539A2">
        <w:rPr>
          <w:rFonts w:ascii="Times New Roman" w:hAnsi="Times New Roman" w:cs="Times New Roman"/>
          <w:b/>
          <w:sz w:val="24"/>
          <w:u w:val="single"/>
        </w:rPr>
        <w:t>Kč</w:t>
      </w:r>
      <w:r w:rsidRPr="00F539A2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F539A2">
        <w:rPr>
          <w:rFonts w:ascii="Times New Roman" w:hAnsi="Times New Roman" w:cs="Times New Roman"/>
          <w:b/>
          <w:sz w:val="24"/>
        </w:rPr>
        <w:t>Cena celkem vč. DPH</w:t>
      </w:r>
      <w:r w:rsidRPr="00F539A2">
        <w:rPr>
          <w:rFonts w:ascii="Times New Roman" w:hAnsi="Times New Roman" w:cs="Times New Roman"/>
          <w:b/>
          <w:sz w:val="24"/>
        </w:rPr>
        <w:tab/>
      </w:r>
      <w:r w:rsidR="00AF0826" w:rsidRPr="00F539A2">
        <w:rPr>
          <w:rFonts w:ascii="Times New Roman" w:hAnsi="Times New Roman" w:cs="Times New Roman"/>
          <w:b/>
          <w:sz w:val="24"/>
        </w:rPr>
        <w:t xml:space="preserve"> </w:t>
      </w:r>
      <w:r w:rsidR="00636C53" w:rsidRPr="00F539A2">
        <w:rPr>
          <w:rFonts w:ascii="Times New Roman" w:hAnsi="Times New Roman" w:cs="Times New Roman"/>
          <w:b/>
          <w:sz w:val="24"/>
        </w:rPr>
        <w:tab/>
      </w:r>
      <w:r w:rsidR="0075022B" w:rsidRPr="00F539A2">
        <w:rPr>
          <w:rFonts w:ascii="Times New Roman" w:hAnsi="Times New Roman" w:cs="Times New Roman"/>
          <w:b/>
          <w:sz w:val="24"/>
        </w:rPr>
        <w:t xml:space="preserve">          </w:t>
      </w:r>
      <w:r w:rsidR="00A42AE1">
        <w:rPr>
          <w:rFonts w:ascii="Times New Roman" w:hAnsi="Times New Roman" w:cs="Times New Roman"/>
          <w:b/>
          <w:sz w:val="24"/>
        </w:rPr>
        <w:tab/>
      </w:r>
      <w:r w:rsidR="00C23849">
        <w:rPr>
          <w:rFonts w:ascii="Times New Roman" w:hAnsi="Times New Roman" w:cs="Times New Roman"/>
          <w:b/>
          <w:sz w:val="24"/>
        </w:rPr>
        <w:t>150 950,31        Kč</w:t>
      </w:r>
      <w:r w:rsidRPr="000A00A2">
        <w:rPr>
          <w:rFonts w:ascii="Times New Roman" w:hAnsi="Times New Roman" w:cs="Times New Roman"/>
          <w:b/>
          <w:sz w:val="24"/>
        </w:rPr>
        <w:t xml:space="preserve"> </w:t>
      </w:r>
    </w:p>
    <w:p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3849">
        <w:rPr>
          <w:rFonts w:ascii="Times New Roman" w:hAnsi="Times New Roman" w:cs="Times New Roman"/>
          <w:sz w:val="24"/>
        </w:rPr>
        <w:t>Jednostopadesáttisícdevětsetpadesát</w:t>
      </w:r>
      <w:proofErr w:type="spellEnd"/>
      <w:r w:rsidR="00090421">
        <w:rPr>
          <w:rFonts w:ascii="Times New Roman" w:hAnsi="Times New Roman" w:cs="Times New Roman"/>
          <w:sz w:val="24"/>
        </w:rPr>
        <w:t xml:space="preserve"> </w:t>
      </w:r>
      <w:r w:rsidR="00F539A2">
        <w:rPr>
          <w:rFonts w:ascii="Times New Roman" w:hAnsi="Times New Roman" w:cs="Times New Roman"/>
          <w:sz w:val="24"/>
        </w:rPr>
        <w:t>korun</w:t>
      </w:r>
      <w:r w:rsidR="00090421">
        <w:rPr>
          <w:rFonts w:ascii="Times New Roman" w:hAnsi="Times New Roman" w:cs="Times New Roman"/>
          <w:sz w:val="24"/>
        </w:rPr>
        <w:t xml:space="preserve"> českých </w:t>
      </w:r>
      <w:proofErr w:type="spellStart"/>
      <w:r w:rsidR="00135FD0">
        <w:rPr>
          <w:rFonts w:ascii="Times New Roman" w:hAnsi="Times New Roman" w:cs="Times New Roman"/>
          <w:sz w:val="24"/>
        </w:rPr>
        <w:t>tři</w:t>
      </w:r>
      <w:r w:rsidR="00C23849">
        <w:rPr>
          <w:rFonts w:ascii="Times New Roman" w:hAnsi="Times New Roman" w:cs="Times New Roman"/>
          <w:sz w:val="24"/>
        </w:rPr>
        <w:t>cetjedna</w:t>
      </w:r>
      <w:proofErr w:type="spellEnd"/>
      <w:r w:rsidR="00135FD0">
        <w:rPr>
          <w:rFonts w:ascii="Times New Roman" w:hAnsi="Times New Roman" w:cs="Times New Roman"/>
          <w:sz w:val="24"/>
        </w:rPr>
        <w:t xml:space="preserve"> </w:t>
      </w:r>
      <w:r w:rsidR="00C23849">
        <w:rPr>
          <w:rFonts w:ascii="Times New Roman" w:hAnsi="Times New Roman" w:cs="Times New Roman"/>
          <w:sz w:val="24"/>
        </w:rPr>
        <w:t>haléřů</w:t>
      </w:r>
      <w:r>
        <w:rPr>
          <w:rFonts w:ascii="Times New Roman" w:hAnsi="Times New Roman" w:cs="Times New Roman"/>
          <w:sz w:val="24"/>
        </w:rPr>
        <w:t>)</w:t>
      </w:r>
    </w:p>
    <w:p w:rsidR="00090421" w:rsidRDefault="00090421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681CDC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35FD0" w:rsidRPr="009E3DD1" w:rsidRDefault="00135FD0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 xml:space="preserve">V kupní ceně zboží je zahrnuto dodání zboží včetně veškerého jeho příslušenství kupujícímu do stanoveného místa plnění, </w:t>
      </w:r>
      <w:r>
        <w:rPr>
          <w:rFonts w:ascii="Times New Roman" w:hAnsi="Times New Roman" w:cs="Times New Roman"/>
          <w:sz w:val="24"/>
        </w:rPr>
        <w:t xml:space="preserve">montáž na místě určení kupujícím, </w:t>
      </w:r>
      <w:r w:rsidRPr="00C96609">
        <w:rPr>
          <w:rFonts w:ascii="Times New Roman" w:hAnsi="Times New Roman" w:cs="Times New Roman"/>
          <w:sz w:val="24"/>
        </w:rPr>
        <w:t>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</w:t>
      </w:r>
      <w:r w:rsidRPr="00AF5E63">
        <w:rPr>
          <w:rFonts w:ascii="Times New Roman" w:hAnsi="Times New Roman" w:cs="Times New Roman"/>
          <w:sz w:val="24"/>
        </w:rPr>
        <w:t xml:space="preserve">předání všech dokladů potřebných pro jeho řádné užívání. Tato sjednaná kupní cena je konečná a k její změně může dojít jen v případě změny obecně závazných právních předpisů, které by měly vliv </w:t>
      </w:r>
      <w:r w:rsidR="008C6027">
        <w:rPr>
          <w:rFonts w:ascii="Times New Roman" w:hAnsi="Times New Roman" w:cs="Times New Roman"/>
          <w:sz w:val="24"/>
        </w:rPr>
        <w:t xml:space="preserve">na </w:t>
      </w:r>
      <w:r w:rsidRPr="00AF5E63">
        <w:rPr>
          <w:rFonts w:ascii="Times New Roman" w:hAnsi="Times New Roman" w:cs="Times New Roman"/>
          <w:sz w:val="24"/>
        </w:rPr>
        <w:t>výši konečné ceny zboží (např. změna podmínek platby DPH).</w:t>
      </w:r>
    </w:p>
    <w:p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B1CB9" w:rsidRPr="00BB1CB9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5C5A15">
        <w:rPr>
          <w:rFonts w:ascii="Times New Roman" w:hAnsi="Times New Roman" w:cs="Times New Roman"/>
          <w:sz w:val="24"/>
        </w:rPr>
        <w:t>.</w:t>
      </w:r>
      <w:r w:rsidR="0079776C">
        <w:rPr>
          <w:rFonts w:ascii="Times New Roman" w:hAnsi="Times New Roman" w:cs="Times New Roman"/>
          <w:sz w:val="24"/>
        </w:rPr>
        <w:t xml:space="preserve"> </w:t>
      </w:r>
    </w:p>
    <w:p w:rsidR="008E276D" w:rsidRPr="00660CA5" w:rsidRDefault="008E276D" w:rsidP="001C0B3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případě, že prodávající vyhotoví fakturu chybně, bude vyzván k nápravě a lhůta splatnosti </w:t>
      </w:r>
      <w:r w:rsidR="00BB1CB9">
        <w:rPr>
          <w:rFonts w:ascii="Times New Roman" w:hAnsi="Times New Roman" w:cs="Times New Roman"/>
          <w:sz w:val="24"/>
        </w:rPr>
        <w:t xml:space="preserve">bude </w:t>
      </w:r>
      <w:r>
        <w:rPr>
          <w:rFonts w:ascii="Times New Roman" w:hAnsi="Times New Roman" w:cs="Times New Roman"/>
          <w:sz w:val="24"/>
        </w:rPr>
        <w:t>adekvátně posunuta ke dni nového doručení faktury kupujícímu.</w:t>
      </w:r>
    </w:p>
    <w:p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:rsidR="00576357" w:rsidRPr="00660CA5" w:rsidRDefault="00576357" w:rsidP="0057635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234F5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:rsidR="008E276D" w:rsidRPr="00C96609" w:rsidRDefault="008E276D" w:rsidP="0069233E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</w:t>
      </w:r>
      <w:r w:rsidR="00BB1CB9">
        <w:rPr>
          <w:rFonts w:ascii="Times New Roman" w:hAnsi="Times New Roman" w:cs="Times New Roman"/>
          <w:sz w:val="24"/>
        </w:rPr>
        <w:t xml:space="preserve">– </w:t>
      </w:r>
      <w:r w:rsidR="005C5A15">
        <w:rPr>
          <w:rFonts w:ascii="Times New Roman" w:hAnsi="Times New Roman" w:cs="Times New Roman"/>
          <w:sz w:val="24"/>
        </w:rPr>
        <w:t>na jednotlivá oddělení</w:t>
      </w:r>
      <w:r w:rsidRPr="0008619E">
        <w:rPr>
          <w:rFonts w:ascii="Times New Roman" w:hAnsi="Times New Roman" w:cs="Times New Roman"/>
          <w:sz w:val="24"/>
        </w:rPr>
        <w:t xml:space="preserve">, a to konkrétně dle pokynů </w:t>
      </w:r>
      <w:r w:rsidR="00127F37">
        <w:rPr>
          <w:rFonts w:ascii="Times New Roman" w:hAnsi="Times New Roman" w:cs="Times New Roman"/>
          <w:sz w:val="24"/>
        </w:rPr>
        <w:t>kupujícího</w:t>
      </w:r>
      <w:r w:rsidRPr="0008619E">
        <w:rPr>
          <w:rFonts w:ascii="Times New Roman" w:hAnsi="Times New Roman" w:cs="Times New Roman"/>
          <w:sz w:val="24"/>
        </w:rPr>
        <w:t xml:space="preserve"> Psychiatrické léčebny Šternberk, Olomoucká 1848/173, 785 01 Šternberk a to </w:t>
      </w:r>
      <w:r w:rsidR="003D5039">
        <w:rPr>
          <w:rFonts w:ascii="Times New Roman" w:hAnsi="Times New Roman" w:cs="Times New Roman"/>
          <w:sz w:val="24"/>
        </w:rPr>
        <w:t>v</w:t>
      </w:r>
      <w:r w:rsidR="003D5039">
        <w:rPr>
          <w:rFonts w:ascii="Times New Roman" w:hAnsi="Times New Roman" w:cs="Times New Roman"/>
          <w:b/>
          <w:sz w:val="24"/>
        </w:rPr>
        <w:t xml:space="preserve"> </w:t>
      </w:r>
      <w:r w:rsidR="00F539A2" w:rsidRPr="00F539A2">
        <w:rPr>
          <w:rFonts w:ascii="Times New Roman" w:hAnsi="Times New Roman" w:cs="Times New Roman"/>
          <w:sz w:val="24"/>
        </w:rPr>
        <w:t> </w:t>
      </w:r>
      <w:r w:rsidR="00F539A2" w:rsidRPr="00F539A2">
        <w:rPr>
          <w:rFonts w:ascii="Times New Roman" w:hAnsi="Times New Roman" w:cs="Times New Roman"/>
          <w:b/>
          <w:sz w:val="24"/>
        </w:rPr>
        <w:t>0</w:t>
      </w:r>
      <w:r w:rsidR="00F539A2">
        <w:rPr>
          <w:rFonts w:ascii="Times New Roman" w:hAnsi="Times New Roman" w:cs="Times New Roman"/>
          <w:b/>
          <w:sz w:val="24"/>
        </w:rPr>
        <w:t>7/2017</w:t>
      </w:r>
    </w:p>
    <w:p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55A9C" w:rsidRDefault="00BC0250" w:rsidP="00CB02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</w:t>
      </w:r>
      <w:r w:rsidR="00BB1CB9">
        <w:rPr>
          <w:rFonts w:ascii="Times New Roman" w:hAnsi="Times New Roman" w:cs="Times New Roman"/>
          <w:sz w:val="24"/>
        </w:rPr>
        <w:t>m</w:t>
      </w:r>
      <w:r w:rsidR="00C50E44" w:rsidRPr="00333C97">
        <w:rPr>
          <w:rFonts w:ascii="Times New Roman" w:hAnsi="Times New Roman" w:cs="Times New Roman"/>
          <w:sz w:val="24"/>
        </w:rPr>
        <w:t>ontáže</w:t>
      </w:r>
      <w:r w:rsidR="00BB1CB9">
        <w:rPr>
          <w:rFonts w:ascii="Times New Roman" w:hAnsi="Times New Roman" w:cs="Times New Roman"/>
          <w:sz w:val="24"/>
        </w:rPr>
        <w:t>,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="00BB1CB9">
        <w:rPr>
          <w:rFonts w:ascii="Times New Roman" w:hAnsi="Times New Roman" w:cs="Times New Roman"/>
          <w:sz w:val="24"/>
        </w:rPr>
        <w:t xml:space="preserve">pokud to vyžaduje charakter dodávky, </w:t>
      </w:r>
      <w:r w:rsidR="00C50E44" w:rsidRPr="00333C97">
        <w:rPr>
          <w:rFonts w:ascii="Times New Roman" w:hAnsi="Times New Roman" w:cs="Times New Roman"/>
          <w:sz w:val="24"/>
        </w:rPr>
        <w:t xml:space="preserve">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:rsidR="0021205E" w:rsidRPr="001C77BF" w:rsidRDefault="0021205E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8C6027">
        <w:rPr>
          <w:rFonts w:ascii="Times New Roman" w:hAnsi="Times New Roman" w:cs="Times New Roman"/>
          <w:sz w:val="24"/>
        </w:rPr>
        <w:t>2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8C6027">
        <w:rPr>
          <w:rFonts w:ascii="Times New Roman" w:hAnsi="Times New Roman" w:cs="Times New Roman"/>
          <w:sz w:val="24"/>
        </w:rPr>
        <w:t>y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936F10">
        <w:rPr>
          <w:rFonts w:ascii="Times New Roman" w:hAnsi="Times New Roman" w:cs="Times New Roman"/>
          <w:b/>
          <w:sz w:val="24"/>
        </w:rPr>
        <w:t>xxxxxxxxxxxxx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936F10">
        <w:rPr>
          <w:rFonts w:ascii="Times New Roman" w:hAnsi="Times New Roman" w:cs="Times New Roman"/>
          <w:sz w:val="24"/>
        </w:rPr>
        <w:t>xxxxxxxx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936F10">
        <w:t>xxxxxxxxxx</w:t>
      </w:r>
      <w:proofErr w:type="spellEnd"/>
    </w:p>
    <w:p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</w:t>
      </w:r>
      <w:r w:rsidRPr="00660CA5">
        <w:rPr>
          <w:rFonts w:ascii="Times New Roman" w:hAnsi="Times New Roman" w:cs="Times New Roman"/>
          <w:sz w:val="24"/>
        </w:rPr>
        <w:t>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</w:t>
      </w:r>
      <w:r w:rsidR="00591775">
        <w:rPr>
          <w:rFonts w:ascii="Times New Roman" w:hAnsi="Times New Roman" w:cs="Times New Roman"/>
          <w:sz w:val="24"/>
        </w:rPr>
        <w:t>stupci obou smluvních str</w:t>
      </w:r>
      <w:r w:rsidRPr="00660CA5">
        <w:rPr>
          <w:rFonts w:ascii="Times New Roman" w:hAnsi="Times New Roman" w:cs="Times New Roman"/>
          <w:sz w:val="24"/>
        </w:rPr>
        <w:t xml:space="preserve">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:rsidR="0092698F" w:rsidRPr="008C6027" w:rsidRDefault="008E276D" w:rsidP="0092698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:rsidR="000F7599" w:rsidRPr="000F7599" w:rsidRDefault="000F7599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D4587" w:rsidRDefault="008E276D" w:rsidP="003D4587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:rsidR="00FA60DB" w:rsidRPr="008C6027" w:rsidRDefault="00FA60DB" w:rsidP="008C6027">
      <w:pPr>
        <w:rPr>
          <w:rFonts w:ascii="Times New Roman" w:hAnsi="Times New Roman" w:cs="Times New Roman"/>
          <w:sz w:val="24"/>
        </w:rPr>
      </w:pPr>
    </w:p>
    <w:p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:rsidR="008E276D" w:rsidRPr="003111D6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:rsidR="004625C5" w:rsidRDefault="008E276D" w:rsidP="008C602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</w:p>
    <w:p w:rsidR="008E276D" w:rsidRPr="004625C5" w:rsidRDefault="008E276D" w:rsidP="008C602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625C5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 </w:t>
      </w:r>
      <w:r w:rsidR="00553966" w:rsidRPr="00553966">
        <w:rPr>
          <w:rFonts w:ascii="Times New Roman" w:hAnsi="Times New Roman" w:cs="Times New Roman"/>
          <w:b/>
          <w:sz w:val="24"/>
        </w:rPr>
        <w:t>24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bude odstraněna nejpozději do 24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:rsidR="00114CCC" w:rsidRDefault="008E276D" w:rsidP="00361682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85088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</w:p>
    <w:p w:rsidR="00185088" w:rsidRPr="00185088" w:rsidRDefault="00185088" w:rsidP="00185088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:rsidR="008E276D" w:rsidRDefault="008E276D" w:rsidP="004F705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:rsidR="008E276D" w:rsidRDefault="008E276D" w:rsidP="00CD67F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625C5" w:rsidRDefault="008E276D" w:rsidP="006F5206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</w:p>
    <w:p w:rsidR="008E276D" w:rsidRPr="004625C5" w:rsidRDefault="008E276D" w:rsidP="004625C5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625C5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:rsidR="008E276D" w:rsidRPr="00C96609" w:rsidRDefault="008E276D" w:rsidP="002A330A">
      <w:pPr>
        <w:pStyle w:val="Odstavecseseznamem"/>
        <w:rPr>
          <w:rFonts w:ascii="Times New Roman" w:hAnsi="Times New Roman" w:cs="Times New Roman"/>
          <w:sz w:val="24"/>
        </w:rPr>
      </w:pPr>
    </w:p>
    <w:p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>etry stanovené v cenové nabídce</w:t>
      </w:r>
      <w:r w:rsidRPr="00DA2D12">
        <w:rPr>
          <w:rFonts w:ascii="Times New Roman" w:hAnsi="Times New Roman" w:cs="Times New Roman"/>
          <w:sz w:val="24"/>
        </w:rPr>
        <w:t xml:space="preserve">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Pr="00DA2D12">
        <w:rPr>
          <w:rFonts w:ascii="Times New Roman" w:hAnsi="Times New Roman" w:cs="Times New Roman"/>
          <w:sz w:val="24"/>
        </w:rPr>
        <w:t xml:space="preserve">ivatelskému manuálu výrobku </w:t>
      </w:r>
    </w:p>
    <w:p w:rsidR="008E276D" w:rsidRPr="00290F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71319C" w:rsidRPr="00553966" w:rsidRDefault="008E276D" w:rsidP="0071319C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:rsidR="00D97D9F" w:rsidRDefault="00D97D9F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35FD0" w:rsidRDefault="00135FD0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35FD0" w:rsidRDefault="00135FD0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539A2" w:rsidRDefault="00F539A2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</w:p>
    <w:p w:rsidR="00F539A2" w:rsidRDefault="00F539A2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</w:p>
    <w:p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:rsidR="008E276D" w:rsidRPr="00C96609" w:rsidRDefault="008E276D" w:rsidP="005F171B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:rsidR="008E276D" w:rsidRPr="00C96609" w:rsidRDefault="008E276D" w:rsidP="00624578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ke </w:t>
      </w:r>
    </w:p>
    <w:p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:rsidR="0004099A" w:rsidRDefault="0004099A" w:rsidP="0004099A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E27DA9" w:rsidRDefault="00E27DA9" w:rsidP="00E27DA9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:rsidR="00C35DAB" w:rsidRDefault="00C35DAB" w:rsidP="00223E01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36F10" w:rsidRDefault="00936F10" w:rsidP="00223E01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36F10" w:rsidRPr="00040251" w:rsidRDefault="00936F10" w:rsidP="00223E01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:rsidR="00423FF0" w:rsidRDefault="00423FF0" w:rsidP="00423FF0">
      <w:pPr>
        <w:pStyle w:val="Odstavecseseznamem"/>
        <w:rPr>
          <w:rFonts w:ascii="Times New Roman" w:hAnsi="Times New Roman" w:cs="Times New Roman"/>
          <w:sz w:val="24"/>
        </w:rPr>
      </w:pPr>
    </w:p>
    <w:p w:rsidR="00423FF0" w:rsidRPr="00040251" w:rsidRDefault="00423FF0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:rsidR="00DD0AD1" w:rsidRPr="00040251" w:rsidRDefault="00DD0AD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F539A2">
        <w:rPr>
          <w:rFonts w:ascii="Times New Roman" w:hAnsi="Times New Roman" w:cs="Times New Roman"/>
          <w:sz w:val="24"/>
        </w:rPr>
        <w:t>Cenová kalkulace a technická specifikace</w:t>
      </w:r>
    </w:p>
    <w:p w:rsidR="008E276D" w:rsidRDefault="008E276D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E208A" w:rsidRDefault="007E208A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44FC8" w:rsidRDefault="00544FC8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205E" w:rsidRPr="001821EF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 w:rsidR="00936F10">
        <w:rPr>
          <w:rFonts w:ascii="Times New Roman" w:eastAsia="MS Mincho" w:hAnsi="Times New Roman" w:cs="Times New Roman"/>
          <w:sz w:val="24"/>
          <w:szCs w:val="24"/>
        </w:rPr>
        <w:tab/>
      </w:r>
      <w:r w:rsidR="00936F10">
        <w:rPr>
          <w:rFonts w:ascii="Times New Roman" w:eastAsia="MS Mincho" w:hAnsi="Times New Roman" w:cs="Times New Roman"/>
          <w:sz w:val="24"/>
          <w:szCs w:val="24"/>
        </w:rPr>
        <w:tab/>
      </w:r>
      <w:r w:rsidR="00936F10">
        <w:rPr>
          <w:rFonts w:ascii="Times New Roman" w:eastAsia="MS Mincho" w:hAnsi="Times New Roman" w:cs="Times New Roman"/>
          <w:sz w:val="24"/>
          <w:szCs w:val="24"/>
        </w:rPr>
        <w:tab/>
      </w:r>
      <w:r w:rsidR="00936F10">
        <w:rPr>
          <w:rFonts w:ascii="Times New Roman" w:eastAsia="MS Mincho" w:hAnsi="Times New Roman" w:cs="Times New Roman"/>
          <w:sz w:val="24"/>
          <w:szCs w:val="24"/>
        </w:rPr>
        <w:tab/>
      </w:r>
      <w:r w:rsidR="00936F10"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</w:t>
      </w:r>
      <w:r w:rsidR="00C23849">
        <w:rPr>
          <w:rFonts w:ascii="Times New Roman" w:eastAsia="MS Mincho" w:hAnsi="Times New Roman" w:cs="Times New Roman"/>
          <w:sz w:val="24"/>
        </w:rPr>
        <w:t xml:space="preserve"> </w:t>
      </w:r>
      <w:proofErr w:type="gramStart"/>
      <w:r w:rsidR="00C23849">
        <w:rPr>
          <w:rFonts w:ascii="Times New Roman" w:eastAsia="MS Mincho" w:hAnsi="Times New Roman" w:cs="Times New Roman"/>
          <w:sz w:val="24"/>
        </w:rPr>
        <w:t>16.</w:t>
      </w:r>
      <w:r w:rsidR="00936F10">
        <w:rPr>
          <w:rFonts w:ascii="Times New Roman" w:eastAsia="MS Mincho" w:hAnsi="Times New Roman" w:cs="Times New Roman"/>
          <w:sz w:val="24"/>
        </w:rPr>
        <w:t xml:space="preserve"> </w:t>
      </w:r>
      <w:r w:rsidR="00C23849">
        <w:rPr>
          <w:rFonts w:ascii="Times New Roman" w:eastAsia="MS Mincho" w:hAnsi="Times New Roman" w:cs="Times New Roman"/>
          <w:sz w:val="24"/>
        </w:rPr>
        <w:t xml:space="preserve"> 6. </w:t>
      </w:r>
      <w:r w:rsidR="0075022B">
        <w:rPr>
          <w:rFonts w:ascii="Times New Roman" w:eastAsia="MS Mincho" w:hAnsi="Times New Roman" w:cs="Times New Roman"/>
          <w:sz w:val="24"/>
        </w:rPr>
        <w:t xml:space="preserve"> 2017</w:t>
      </w:r>
      <w:proofErr w:type="gramEnd"/>
      <w:r w:rsidR="00A74C80">
        <w:rPr>
          <w:rFonts w:ascii="Times New Roman" w:eastAsia="MS Mincho" w:hAnsi="Times New Roman" w:cs="Times New Roman"/>
          <w:sz w:val="24"/>
        </w:rPr>
        <w:tab/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223E01">
        <w:rPr>
          <w:rFonts w:ascii="Times New Roman" w:eastAsia="MS Mincho" w:hAnsi="Times New Roman" w:cs="Times New Roman"/>
          <w:sz w:val="24"/>
        </w:rPr>
        <w:t>V</w:t>
      </w:r>
      <w:r w:rsidR="00C23849">
        <w:rPr>
          <w:rFonts w:ascii="Times New Roman" w:eastAsia="MS Mincho" w:hAnsi="Times New Roman" w:cs="Times New Roman"/>
          <w:sz w:val="24"/>
        </w:rPr>
        <w:t xml:space="preserve">e Lhotě u Příbramě, dne </w:t>
      </w:r>
      <w:r w:rsidR="00936F10">
        <w:rPr>
          <w:rFonts w:ascii="Times New Roman" w:eastAsia="MS Mincho" w:hAnsi="Times New Roman" w:cs="Times New Roman"/>
          <w:sz w:val="24"/>
        </w:rPr>
        <w:t>21. 6.</w:t>
      </w:r>
      <w:r w:rsidR="003231AD">
        <w:rPr>
          <w:rFonts w:ascii="Times New Roman" w:eastAsia="MS Mincho" w:hAnsi="Times New Roman" w:cs="Times New Roman"/>
          <w:sz w:val="24"/>
        </w:rPr>
        <w:t xml:space="preserve"> </w:t>
      </w:r>
      <w:r w:rsidR="00C23849">
        <w:rPr>
          <w:rFonts w:ascii="Times New Roman" w:eastAsia="MS Mincho" w:hAnsi="Times New Roman" w:cs="Times New Roman"/>
          <w:sz w:val="24"/>
        </w:rPr>
        <w:t>2017</w:t>
      </w:r>
      <w:r w:rsidR="00223E01">
        <w:rPr>
          <w:rFonts w:ascii="Times New Roman" w:eastAsia="MS Mincho" w:hAnsi="Times New Roman" w:cs="Times New Roman"/>
          <w:sz w:val="24"/>
        </w:rPr>
        <w:t xml:space="preserve"> </w:t>
      </w:r>
      <w:bookmarkStart w:id="0" w:name="_GoBack"/>
      <w:bookmarkEnd w:id="0"/>
      <w:r w:rsidR="00223E01">
        <w:rPr>
          <w:rFonts w:ascii="Times New Roman" w:eastAsia="MS Mincho" w:hAnsi="Times New Roman" w:cs="Times New Roman"/>
          <w:sz w:val="24"/>
        </w:rPr>
        <w:t xml:space="preserve">              </w:t>
      </w:r>
    </w:p>
    <w:p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 xml:space="preserve">       </w:t>
      </w:r>
      <w:r w:rsidR="00C23849">
        <w:rPr>
          <w:rFonts w:ascii="Times New Roman" w:eastAsia="MS Mincho" w:hAnsi="Times New Roman" w:cs="Times New Roman"/>
          <w:sz w:val="24"/>
        </w:rPr>
        <w:t xml:space="preserve">      </w:t>
      </w:r>
      <w:r w:rsidR="0021205E">
        <w:rPr>
          <w:rFonts w:ascii="Times New Roman" w:eastAsia="MS Mincho" w:hAnsi="Times New Roman" w:cs="Times New Roman"/>
          <w:sz w:val="24"/>
        </w:rPr>
        <w:t xml:space="preserve">  </w:t>
      </w:r>
      <w:r w:rsidR="00C23849">
        <w:rPr>
          <w:rFonts w:ascii="Times New Roman" w:eastAsia="MS Mincho" w:hAnsi="Times New Roman" w:cs="Times New Roman"/>
          <w:sz w:val="24"/>
        </w:rPr>
        <w:t xml:space="preserve">Vladimír </w:t>
      </w:r>
      <w:proofErr w:type="spellStart"/>
      <w:r w:rsidR="00C23849">
        <w:rPr>
          <w:rFonts w:ascii="Times New Roman" w:eastAsia="MS Mincho" w:hAnsi="Times New Roman" w:cs="Times New Roman"/>
          <w:sz w:val="24"/>
        </w:rPr>
        <w:t>Pušec</w:t>
      </w:r>
      <w:proofErr w:type="spellEnd"/>
      <w:r w:rsidR="0021205E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 </w:t>
      </w:r>
      <w:r w:rsidR="008F4C8D">
        <w:rPr>
          <w:rFonts w:ascii="Times New Roman" w:eastAsia="MS Mincho" w:hAnsi="Times New Roman" w:cs="Times New Roman"/>
          <w:sz w:val="24"/>
        </w:rPr>
        <w:t xml:space="preserve">     </w:t>
      </w:r>
      <w:r w:rsidR="003E6884">
        <w:rPr>
          <w:rFonts w:ascii="Times New Roman" w:eastAsia="MS Mincho" w:hAnsi="Times New Roman" w:cs="Times New Roman"/>
          <w:sz w:val="24"/>
        </w:rPr>
        <w:t xml:space="preserve"> </w:t>
      </w:r>
      <w:r w:rsidR="00C35DAB">
        <w:rPr>
          <w:rFonts w:ascii="Times New Roman" w:eastAsia="MS Mincho" w:hAnsi="Times New Roman" w:cs="Times New Roman"/>
          <w:sz w:val="24"/>
        </w:rPr>
        <w:tab/>
      </w:r>
    </w:p>
    <w:p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C23849">
        <w:rPr>
          <w:rFonts w:ascii="Times New Roman" w:eastAsia="MS Mincho" w:hAnsi="Times New Roman" w:cs="Times New Roman"/>
          <w:sz w:val="24"/>
        </w:rPr>
        <w:t xml:space="preserve">                     jednatel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8F4C8D">
        <w:rPr>
          <w:rFonts w:ascii="Times New Roman" w:eastAsia="MS Mincho" w:hAnsi="Times New Roman" w:cs="Times New Roman"/>
          <w:sz w:val="24"/>
        </w:rPr>
        <w:t xml:space="preserve">  </w:t>
      </w:r>
    </w:p>
    <w:p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  <w:t xml:space="preserve">        </w:t>
      </w:r>
      <w:r w:rsidR="00C23849">
        <w:rPr>
          <w:rFonts w:ascii="Times New Roman" w:eastAsia="MS Mincho" w:hAnsi="Times New Roman" w:cs="Times New Roman"/>
          <w:sz w:val="24"/>
        </w:rPr>
        <w:t xml:space="preserve">     MSM, spol. s.r.o.</w:t>
      </w:r>
      <w:r w:rsidR="00C35DAB">
        <w:rPr>
          <w:rFonts w:ascii="Times New Roman" w:eastAsia="MS Mincho" w:hAnsi="Times New Roman" w:cs="Times New Roman"/>
          <w:sz w:val="24"/>
        </w:rPr>
        <w:tab/>
      </w:r>
      <w:r w:rsidR="008F4C8D">
        <w:rPr>
          <w:rFonts w:ascii="Times New Roman" w:eastAsia="MS Mincho" w:hAnsi="Times New Roman" w:cs="Times New Roman"/>
          <w:sz w:val="24"/>
        </w:rPr>
        <w:t xml:space="preserve">     </w:t>
      </w:r>
    </w:p>
    <w:sectPr w:rsidR="008E276D" w:rsidSect="002F38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80" w:rsidRDefault="007F1B80" w:rsidP="00740209">
      <w:r>
        <w:separator/>
      </w:r>
    </w:p>
  </w:endnote>
  <w:endnote w:type="continuationSeparator" w:id="0">
    <w:p w:rsidR="007F1B80" w:rsidRDefault="007F1B80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3231AD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3231AD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135FD0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135FD0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80" w:rsidRDefault="007F1B80" w:rsidP="00740209">
      <w:r>
        <w:separator/>
      </w:r>
    </w:p>
  </w:footnote>
  <w:footnote w:type="continuationSeparator" w:id="0">
    <w:p w:rsidR="007F1B80" w:rsidRDefault="007F1B80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6D" w:rsidRPr="00F74A26" w:rsidRDefault="00F74A26" w:rsidP="00F74A26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70528" behindDoc="0" locked="0" layoutInCell="1" allowOverlap="1" wp14:anchorId="22B82BF9" wp14:editId="0E7BA449">
          <wp:simplePos x="0" y="0"/>
          <wp:positionH relativeFrom="column">
            <wp:posOffset>182880</wp:posOffset>
          </wp:positionH>
          <wp:positionV relativeFrom="paragraph">
            <wp:posOffset>-57150</wp:posOffset>
          </wp:positionV>
          <wp:extent cx="428625" cy="752475"/>
          <wp:effectExtent l="0" t="0" r="9525" b="9525"/>
          <wp:wrapSquare wrapText="bothSides"/>
          <wp:docPr id="4" name="Obrázek 4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26" w:rsidRPr="00D457CE" w:rsidRDefault="00F74A26" w:rsidP="00F74A26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noProof/>
        <w:lang w:eastAsia="cs-CZ" w:bidi="ar-SA"/>
      </w:rPr>
      <w:drawing>
        <wp:anchor distT="0" distB="0" distL="114300" distR="114300" simplePos="0" relativeHeight="251669504" behindDoc="0" locked="0" layoutInCell="1" allowOverlap="1" wp14:anchorId="385A3A2B" wp14:editId="78765F8E">
          <wp:simplePos x="0" y="0"/>
          <wp:positionH relativeFrom="column">
            <wp:posOffset>186055</wp:posOffset>
          </wp:positionH>
          <wp:positionV relativeFrom="paragraph">
            <wp:posOffset>-89535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9B5907">
      <w:rPr>
        <w:noProof/>
        <w:lang w:eastAsia="cs-CZ" w:bidi="ar-SA"/>
      </w:rPr>
      <w:t>;</w:t>
    </w:r>
    <w:r w:rsidRPr="00D457CE">
      <w:rPr>
        <w:rFonts w:ascii="Calibri" w:hAnsi="Calibri" w:cs="Calibri"/>
        <w:b/>
        <w:color w:val="244061"/>
        <w:sz w:val="32"/>
        <w:szCs w:val="32"/>
      </w:rPr>
      <w:t>PSYCHIATRICKÁ</w:t>
    </w:r>
    <w:proofErr w:type="gramEnd"/>
    <w:r w:rsidRPr="00D457CE">
      <w:rPr>
        <w:rFonts w:ascii="Calibri" w:hAnsi="Calibri" w:cs="Calibri"/>
        <w:b/>
        <w:color w:val="244061"/>
        <w:sz w:val="32"/>
        <w:szCs w:val="32"/>
      </w:rPr>
      <w:t xml:space="preserve"> LÉČEBNA ŠTERNBERK</w:t>
    </w:r>
  </w:p>
  <w:p w:rsidR="00F74A26" w:rsidRDefault="00F74A26" w:rsidP="00F74A26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39"/>
  </w:num>
  <w:num w:numId="17">
    <w:abstractNumId w:val="33"/>
  </w:num>
  <w:num w:numId="18">
    <w:abstractNumId w:val="10"/>
  </w:num>
  <w:num w:numId="19">
    <w:abstractNumId w:val="11"/>
  </w:num>
  <w:num w:numId="20">
    <w:abstractNumId w:val="24"/>
  </w:num>
  <w:num w:numId="21">
    <w:abstractNumId w:val="41"/>
  </w:num>
  <w:num w:numId="22">
    <w:abstractNumId w:val="30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5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0"/>
  </w:num>
  <w:num w:numId="33">
    <w:abstractNumId w:val="36"/>
  </w:num>
  <w:num w:numId="34">
    <w:abstractNumId w:val="32"/>
  </w:num>
  <w:num w:numId="35">
    <w:abstractNumId w:val="31"/>
  </w:num>
  <w:num w:numId="36">
    <w:abstractNumId w:val="37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05226"/>
    <w:rsid w:val="00010EF3"/>
    <w:rsid w:val="00010F1D"/>
    <w:rsid w:val="00011EB1"/>
    <w:rsid w:val="000122F7"/>
    <w:rsid w:val="0001439C"/>
    <w:rsid w:val="000167F4"/>
    <w:rsid w:val="00023234"/>
    <w:rsid w:val="00030AEA"/>
    <w:rsid w:val="00034B01"/>
    <w:rsid w:val="0003595E"/>
    <w:rsid w:val="000378A7"/>
    <w:rsid w:val="000379DD"/>
    <w:rsid w:val="00040251"/>
    <w:rsid w:val="0004099A"/>
    <w:rsid w:val="00044DF9"/>
    <w:rsid w:val="0004583C"/>
    <w:rsid w:val="00056C57"/>
    <w:rsid w:val="000612F3"/>
    <w:rsid w:val="000639CB"/>
    <w:rsid w:val="00067596"/>
    <w:rsid w:val="00073D63"/>
    <w:rsid w:val="00074CBA"/>
    <w:rsid w:val="000807B7"/>
    <w:rsid w:val="0008619E"/>
    <w:rsid w:val="000901F1"/>
    <w:rsid w:val="0009042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E001D"/>
    <w:rsid w:val="000F076D"/>
    <w:rsid w:val="000F47F5"/>
    <w:rsid w:val="000F7599"/>
    <w:rsid w:val="001027F6"/>
    <w:rsid w:val="00105FC8"/>
    <w:rsid w:val="00114CCC"/>
    <w:rsid w:val="00117853"/>
    <w:rsid w:val="00124529"/>
    <w:rsid w:val="0012527E"/>
    <w:rsid w:val="00127F37"/>
    <w:rsid w:val="00130BB0"/>
    <w:rsid w:val="00132B8E"/>
    <w:rsid w:val="001340AD"/>
    <w:rsid w:val="00135FD0"/>
    <w:rsid w:val="001424AC"/>
    <w:rsid w:val="00146564"/>
    <w:rsid w:val="001470ED"/>
    <w:rsid w:val="00152EC4"/>
    <w:rsid w:val="0015354D"/>
    <w:rsid w:val="001658AF"/>
    <w:rsid w:val="001676F4"/>
    <w:rsid w:val="001730B8"/>
    <w:rsid w:val="001808F3"/>
    <w:rsid w:val="001821EF"/>
    <w:rsid w:val="00185088"/>
    <w:rsid w:val="00187C89"/>
    <w:rsid w:val="00192C00"/>
    <w:rsid w:val="00195914"/>
    <w:rsid w:val="001A496A"/>
    <w:rsid w:val="001A6A8F"/>
    <w:rsid w:val="001A7EE6"/>
    <w:rsid w:val="001B3F12"/>
    <w:rsid w:val="001C0B3A"/>
    <w:rsid w:val="001C16D5"/>
    <w:rsid w:val="001C77BF"/>
    <w:rsid w:val="001D0B3D"/>
    <w:rsid w:val="001D16E8"/>
    <w:rsid w:val="001E0AF3"/>
    <w:rsid w:val="001E1CC7"/>
    <w:rsid w:val="001E5ED1"/>
    <w:rsid w:val="001E78CE"/>
    <w:rsid w:val="001F6A38"/>
    <w:rsid w:val="00200B31"/>
    <w:rsid w:val="0021205E"/>
    <w:rsid w:val="002139B6"/>
    <w:rsid w:val="00213C52"/>
    <w:rsid w:val="00213FF5"/>
    <w:rsid w:val="002201EE"/>
    <w:rsid w:val="002205D5"/>
    <w:rsid w:val="00222CC7"/>
    <w:rsid w:val="002232E9"/>
    <w:rsid w:val="00223E01"/>
    <w:rsid w:val="00231058"/>
    <w:rsid w:val="00233B72"/>
    <w:rsid w:val="00234F54"/>
    <w:rsid w:val="00235031"/>
    <w:rsid w:val="00237DE4"/>
    <w:rsid w:val="00243FAF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F09CD"/>
    <w:rsid w:val="002F38DB"/>
    <w:rsid w:val="002F5AC0"/>
    <w:rsid w:val="003111D6"/>
    <w:rsid w:val="003231AD"/>
    <w:rsid w:val="00324603"/>
    <w:rsid w:val="00325184"/>
    <w:rsid w:val="00325B20"/>
    <w:rsid w:val="00333C97"/>
    <w:rsid w:val="00335A8E"/>
    <w:rsid w:val="003367E0"/>
    <w:rsid w:val="00336913"/>
    <w:rsid w:val="00336F5F"/>
    <w:rsid w:val="003406A1"/>
    <w:rsid w:val="003445C2"/>
    <w:rsid w:val="003463A5"/>
    <w:rsid w:val="00346DFF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C1DE0"/>
    <w:rsid w:val="003C4710"/>
    <w:rsid w:val="003D234C"/>
    <w:rsid w:val="003D4587"/>
    <w:rsid w:val="003D5039"/>
    <w:rsid w:val="003D5CD7"/>
    <w:rsid w:val="003E2D2B"/>
    <w:rsid w:val="003E3AFB"/>
    <w:rsid w:val="003E6884"/>
    <w:rsid w:val="003F0249"/>
    <w:rsid w:val="003F526B"/>
    <w:rsid w:val="003F6E9F"/>
    <w:rsid w:val="003F7C02"/>
    <w:rsid w:val="00401411"/>
    <w:rsid w:val="00401504"/>
    <w:rsid w:val="004030D7"/>
    <w:rsid w:val="004058AB"/>
    <w:rsid w:val="004074EC"/>
    <w:rsid w:val="00407C03"/>
    <w:rsid w:val="00415747"/>
    <w:rsid w:val="00422679"/>
    <w:rsid w:val="00422F7E"/>
    <w:rsid w:val="00423FF0"/>
    <w:rsid w:val="004251EA"/>
    <w:rsid w:val="00434DB4"/>
    <w:rsid w:val="00440497"/>
    <w:rsid w:val="00460B75"/>
    <w:rsid w:val="004625C5"/>
    <w:rsid w:val="00467723"/>
    <w:rsid w:val="00472186"/>
    <w:rsid w:val="00476851"/>
    <w:rsid w:val="00480799"/>
    <w:rsid w:val="004817FE"/>
    <w:rsid w:val="00481C06"/>
    <w:rsid w:val="00482638"/>
    <w:rsid w:val="0048363B"/>
    <w:rsid w:val="00483717"/>
    <w:rsid w:val="00497013"/>
    <w:rsid w:val="004B31D0"/>
    <w:rsid w:val="004C393F"/>
    <w:rsid w:val="004C4680"/>
    <w:rsid w:val="004D4D90"/>
    <w:rsid w:val="004D5B71"/>
    <w:rsid w:val="004D5EE7"/>
    <w:rsid w:val="004D7036"/>
    <w:rsid w:val="004F2581"/>
    <w:rsid w:val="004F7051"/>
    <w:rsid w:val="004F73C3"/>
    <w:rsid w:val="00501203"/>
    <w:rsid w:val="00502711"/>
    <w:rsid w:val="0050544D"/>
    <w:rsid w:val="00507F65"/>
    <w:rsid w:val="005104AE"/>
    <w:rsid w:val="00542904"/>
    <w:rsid w:val="00544FC8"/>
    <w:rsid w:val="00545B9D"/>
    <w:rsid w:val="00546878"/>
    <w:rsid w:val="005527CA"/>
    <w:rsid w:val="00553966"/>
    <w:rsid w:val="005706D3"/>
    <w:rsid w:val="0057509D"/>
    <w:rsid w:val="00576357"/>
    <w:rsid w:val="00580510"/>
    <w:rsid w:val="00583CCF"/>
    <w:rsid w:val="005844C3"/>
    <w:rsid w:val="00591775"/>
    <w:rsid w:val="00592B92"/>
    <w:rsid w:val="005A6E43"/>
    <w:rsid w:val="005A730B"/>
    <w:rsid w:val="005A7815"/>
    <w:rsid w:val="005B09E6"/>
    <w:rsid w:val="005B2517"/>
    <w:rsid w:val="005B30AA"/>
    <w:rsid w:val="005C5A15"/>
    <w:rsid w:val="005D333C"/>
    <w:rsid w:val="005D6AB4"/>
    <w:rsid w:val="005D769E"/>
    <w:rsid w:val="005E018C"/>
    <w:rsid w:val="005E52D5"/>
    <w:rsid w:val="005E683B"/>
    <w:rsid w:val="005E753C"/>
    <w:rsid w:val="005E7F1F"/>
    <w:rsid w:val="005F171B"/>
    <w:rsid w:val="00604678"/>
    <w:rsid w:val="00605A3A"/>
    <w:rsid w:val="0061164C"/>
    <w:rsid w:val="00611F3C"/>
    <w:rsid w:val="00615A35"/>
    <w:rsid w:val="00617D02"/>
    <w:rsid w:val="00617E2B"/>
    <w:rsid w:val="006231CD"/>
    <w:rsid w:val="00624578"/>
    <w:rsid w:val="00630246"/>
    <w:rsid w:val="00636159"/>
    <w:rsid w:val="00636C53"/>
    <w:rsid w:val="00641E13"/>
    <w:rsid w:val="00644D9B"/>
    <w:rsid w:val="00646ECA"/>
    <w:rsid w:val="006554F1"/>
    <w:rsid w:val="006575A2"/>
    <w:rsid w:val="00660CA5"/>
    <w:rsid w:val="00662CB0"/>
    <w:rsid w:val="006656A3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46A2"/>
    <w:rsid w:val="006D637F"/>
    <w:rsid w:val="006D7486"/>
    <w:rsid w:val="006E00D5"/>
    <w:rsid w:val="006E0B6F"/>
    <w:rsid w:val="006E3A71"/>
    <w:rsid w:val="006E4206"/>
    <w:rsid w:val="006F1C90"/>
    <w:rsid w:val="006F20E7"/>
    <w:rsid w:val="006F3DF7"/>
    <w:rsid w:val="006F5206"/>
    <w:rsid w:val="00701EBA"/>
    <w:rsid w:val="00712C4D"/>
    <w:rsid w:val="0071319C"/>
    <w:rsid w:val="00713CB2"/>
    <w:rsid w:val="00714689"/>
    <w:rsid w:val="007233ED"/>
    <w:rsid w:val="00723F68"/>
    <w:rsid w:val="00724DC7"/>
    <w:rsid w:val="00725D43"/>
    <w:rsid w:val="00727CD3"/>
    <w:rsid w:val="00732350"/>
    <w:rsid w:val="007363AB"/>
    <w:rsid w:val="00740209"/>
    <w:rsid w:val="0075022B"/>
    <w:rsid w:val="00753667"/>
    <w:rsid w:val="007548EA"/>
    <w:rsid w:val="007550A1"/>
    <w:rsid w:val="007665EB"/>
    <w:rsid w:val="00773EFF"/>
    <w:rsid w:val="0077677F"/>
    <w:rsid w:val="00792A89"/>
    <w:rsid w:val="00792D7F"/>
    <w:rsid w:val="00794A63"/>
    <w:rsid w:val="007962F0"/>
    <w:rsid w:val="0079776C"/>
    <w:rsid w:val="007A52D7"/>
    <w:rsid w:val="007A5BBA"/>
    <w:rsid w:val="007A75BF"/>
    <w:rsid w:val="007B59B4"/>
    <w:rsid w:val="007C3D26"/>
    <w:rsid w:val="007D1CE0"/>
    <w:rsid w:val="007D34F1"/>
    <w:rsid w:val="007D7943"/>
    <w:rsid w:val="007E208A"/>
    <w:rsid w:val="007E6740"/>
    <w:rsid w:val="007F1B80"/>
    <w:rsid w:val="007F433A"/>
    <w:rsid w:val="007F472B"/>
    <w:rsid w:val="007F7361"/>
    <w:rsid w:val="0080257E"/>
    <w:rsid w:val="0080394D"/>
    <w:rsid w:val="008052B5"/>
    <w:rsid w:val="00805EDD"/>
    <w:rsid w:val="0081616D"/>
    <w:rsid w:val="00823D3D"/>
    <w:rsid w:val="00824C1C"/>
    <w:rsid w:val="0083288B"/>
    <w:rsid w:val="00833BCC"/>
    <w:rsid w:val="00840A98"/>
    <w:rsid w:val="0084181C"/>
    <w:rsid w:val="008424E2"/>
    <w:rsid w:val="00847401"/>
    <w:rsid w:val="00850ABD"/>
    <w:rsid w:val="008535E1"/>
    <w:rsid w:val="00856DB8"/>
    <w:rsid w:val="00864926"/>
    <w:rsid w:val="0087209B"/>
    <w:rsid w:val="008776C1"/>
    <w:rsid w:val="00880551"/>
    <w:rsid w:val="00886F67"/>
    <w:rsid w:val="00894982"/>
    <w:rsid w:val="008A167B"/>
    <w:rsid w:val="008A1A20"/>
    <w:rsid w:val="008B0CE0"/>
    <w:rsid w:val="008B7B4A"/>
    <w:rsid w:val="008C09BC"/>
    <w:rsid w:val="008C6027"/>
    <w:rsid w:val="008D6219"/>
    <w:rsid w:val="008E273D"/>
    <w:rsid w:val="008E276D"/>
    <w:rsid w:val="008F4C8D"/>
    <w:rsid w:val="008F55E9"/>
    <w:rsid w:val="008F72B7"/>
    <w:rsid w:val="00900743"/>
    <w:rsid w:val="00900D67"/>
    <w:rsid w:val="00904ABC"/>
    <w:rsid w:val="00907110"/>
    <w:rsid w:val="0091013F"/>
    <w:rsid w:val="009165BE"/>
    <w:rsid w:val="009169D0"/>
    <w:rsid w:val="00924AC2"/>
    <w:rsid w:val="0092698F"/>
    <w:rsid w:val="009270E0"/>
    <w:rsid w:val="00932422"/>
    <w:rsid w:val="00936F10"/>
    <w:rsid w:val="009375F4"/>
    <w:rsid w:val="009452BC"/>
    <w:rsid w:val="0095042F"/>
    <w:rsid w:val="00950A90"/>
    <w:rsid w:val="00953A6F"/>
    <w:rsid w:val="00954C62"/>
    <w:rsid w:val="0096021F"/>
    <w:rsid w:val="00972868"/>
    <w:rsid w:val="00973995"/>
    <w:rsid w:val="00974D16"/>
    <w:rsid w:val="00976503"/>
    <w:rsid w:val="00976C53"/>
    <w:rsid w:val="0098135A"/>
    <w:rsid w:val="00987132"/>
    <w:rsid w:val="00992BC9"/>
    <w:rsid w:val="00993A4E"/>
    <w:rsid w:val="009A4D18"/>
    <w:rsid w:val="009A6E9C"/>
    <w:rsid w:val="009B1C11"/>
    <w:rsid w:val="009B340D"/>
    <w:rsid w:val="009B52C7"/>
    <w:rsid w:val="009B5730"/>
    <w:rsid w:val="009B5907"/>
    <w:rsid w:val="009B6091"/>
    <w:rsid w:val="009C3FCB"/>
    <w:rsid w:val="009C64A0"/>
    <w:rsid w:val="009C7D0F"/>
    <w:rsid w:val="009D1EDE"/>
    <w:rsid w:val="009D5ADE"/>
    <w:rsid w:val="009E3DD1"/>
    <w:rsid w:val="009F02BE"/>
    <w:rsid w:val="009F1E49"/>
    <w:rsid w:val="009F2C58"/>
    <w:rsid w:val="009F6847"/>
    <w:rsid w:val="00A12841"/>
    <w:rsid w:val="00A150E7"/>
    <w:rsid w:val="00A158D0"/>
    <w:rsid w:val="00A1793A"/>
    <w:rsid w:val="00A24A2E"/>
    <w:rsid w:val="00A26C59"/>
    <w:rsid w:val="00A41EE9"/>
    <w:rsid w:val="00A42AE1"/>
    <w:rsid w:val="00A43190"/>
    <w:rsid w:val="00A44F81"/>
    <w:rsid w:val="00A52A51"/>
    <w:rsid w:val="00A62075"/>
    <w:rsid w:val="00A62930"/>
    <w:rsid w:val="00A63125"/>
    <w:rsid w:val="00A65047"/>
    <w:rsid w:val="00A71A5B"/>
    <w:rsid w:val="00A73393"/>
    <w:rsid w:val="00A737A1"/>
    <w:rsid w:val="00A73F21"/>
    <w:rsid w:val="00A74C80"/>
    <w:rsid w:val="00A81B29"/>
    <w:rsid w:val="00A93440"/>
    <w:rsid w:val="00A962AC"/>
    <w:rsid w:val="00AB24B9"/>
    <w:rsid w:val="00AB610D"/>
    <w:rsid w:val="00AD0962"/>
    <w:rsid w:val="00AD0AB6"/>
    <w:rsid w:val="00AD2CA6"/>
    <w:rsid w:val="00AE229A"/>
    <w:rsid w:val="00AE3D4E"/>
    <w:rsid w:val="00AF0826"/>
    <w:rsid w:val="00AF0E45"/>
    <w:rsid w:val="00AF2689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71E4"/>
    <w:rsid w:val="00B60987"/>
    <w:rsid w:val="00B622FD"/>
    <w:rsid w:val="00B62917"/>
    <w:rsid w:val="00B65432"/>
    <w:rsid w:val="00B67AED"/>
    <w:rsid w:val="00B76BA7"/>
    <w:rsid w:val="00B85D35"/>
    <w:rsid w:val="00B92CB4"/>
    <w:rsid w:val="00BA29E1"/>
    <w:rsid w:val="00BA4981"/>
    <w:rsid w:val="00BB1CB9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3E38"/>
    <w:rsid w:val="00C16C62"/>
    <w:rsid w:val="00C23849"/>
    <w:rsid w:val="00C33956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C0545"/>
    <w:rsid w:val="00CC1F73"/>
    <w:rsid w:val="00CC58F0"/>
    <w:rsid w:val="00CD2DC0"/>
    <w:rsid w:val="00CD67F4"/>
    <w:rsid w:val="00D0380A"/>
    <w:rsid w:val="00D10CA5"/>
    <w:rsid w:val="00D14A5A"/>
    <w:rsid w:val="00D15F27"/>
    <w:rsid w:val="00D20287"/>
    <w:rsid w:val="00D21B9D"/>
    <w:rsid w:val="00D41012"/>
    <w:rsid w:val="00D416BD"/>
    <w:rsid w:val="00D43FAF"/>
    <w:rsid w:val="00D44B05"/>
    <w:rsid w:val="00D45A33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7B4A"/>
    <w:rsid w:val="00D9158E"/>
    <w:rsid w:val="00D952E0"/>
    <w:rsid w:val="00D9737D"/>
    <w:rsid w:val="00D97C9F"/>
    <w:rsid w:val="00D97D9F"/>
    <w:rsid w:val="00DA2D12"/>
    <w:rsid w:val="00DA5748"/>
    <w:rsid w:val="00DA5B13"/>
    <w:rsid w:val="00DA65E8"/>
    <w:rsid w:val="00DA778F"/>
    <w:rsid w:val="00DB7227"/>
    <w:rsid w:val="00DC660A"/>
    <w:rsid w:val="00DD0AD1"/>
    <w:rsid w:val="00DD4B87"/>
    <w:rsid w:val="00DD69DA"/>
    <w:rsid w:val="00DE028B"/>
    <w:rsid w:val="00DF395D"/>
    <w:rsid w:val="00DF3B8B"/>
    <w:rsid w:val="00DF5C2E"/>
    <w:rsid w:val="00DF7861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5D0B"/>
    <w:rsid w:val="00EA1182"/>
    <w:rsid w:val="00EA55BE"/>
    <w:rsid w:val="00EA7372"/>
    <w:rsid w:val="00EB04FD"/>
    <w:rsid w:val="00EB0596"/>
    <w:rsid w:val="00EB0BF3"/>
    <w:rsid w:val="00EB19BC"/>
    <w:rsid w:val="00EC6ABC"/>
    <w:rsid w:val="00ED22C5"/>
    <w:rsid w:val="00ED36C2"/>
    <w:rsid w:val="00ED69BC"/>
    <w:rsid w:val="00EE0FB5"/>
    <w:rsid w:val="00EE121E"/>
    <w:rsid w:val="00EF35DC"/>
    <w:rsid w:val="00F201D2"/>
    <w:rsid w:val="00F3242C"/>
    <w:rsid w:val="00F343BD"/>
    <w:rsid w:val="00F51D02"/>
    <w:rsid w:val="00F53871"/>
    <w:rsid w:val="00F539A2"/>
    <w:rsid w:val="00F53DC3"/>
    <w:rsid w:val="00F54186"/>
    <w:rsid w:val="00F602C9"/>
    <w:rsid w:val="00F62A59"/>
    <w:rsid w:val="00F66CD5"/>
    <w:rsid w:val="00F71A3E"/>
    <w:rsid w:val="00F74A26"/>
    <w:rsid w:val="00F94007"/>
    <w:rsid w:val="00F96DF2"/>
    <w:rsid w:val="00F97EDD"/>
    <w:rsid w:val="00FA31B0"/>
    <w:rsid w:val="00FA4641"/>
    <w:rsid w:val="00FA60DB"/>
    <w:rsid w:val="00FB2F78"/>
    <w:rsid w:val="00FB7C44"/>
    <w:rsid w:val="00FC235B"/>
    <w:rsid w:val="00FC3596"/>
    <w:rsid w:val="00FC45DE"/>
    <w:rsid w:val="00FC6054"/>
    <w:rsid w:val="00FC7DB3"/>
    <w:rsid w:val="00FD0D2C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11E7-9359-4BF5-A08D-855ACC71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2159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2</cp:revision>
  <cp:lastPrinted>2017-06-06T06:55:00Z</cp:lastPrinted>
  <dcterms:created xsi:type="dcterms:W3CDTF">2017-06-29T12:31:00Z</dcterms:created>
  <dcterms:modified xsi:type="dcterms:W3CDTF">2017-06-29T12:31:00Z</dcterms:modified>
</cp:coreProperties>
</file>