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96A" w:rsidRPr="004B396A" w:rsidRDefault="004B396A">
      <w:pPr>
        <w:pStyle w:val="Nadpis30"/>
        <w:keepNext/>
        <w:keepLines/>
        <w:shd w:val="clear" w:color="auto" w:fill="auto"/>
        <w:spacing w:after="506" w:line="240" w:lineRule="exact"/>
        <w:ind w:firstLine="0"/>
        <w:rPr>
          <w:b w:val="0"/>
          <w:sz w:val="22"/>
          <w:szCs w:val="22"/>
        </w:rPr>
      </w:pPr>
      <w:bookmarkStart w:id="0" w:name="bookmark0"/>
      <w:r>
        <w:tab/>
      </w:r>
      <w:r>
        <w:tab/>
      </w:r>
      <w:r>
        <w:tab/>
      </w:r>
      <w:r>
        <w:tab/>
      </w:r>
      <w:r>
        <w:tab/>
      </w:r>
      <w:r>
        <w:tab/>
      </w:r>
      <w:r>
        <w:tab/>
      </w:r>
      <w:r>
        <w:tab/>
      </w:r>
      <w:r>
        <w:tab/>
      </w:r>
      <w:r w:rsidRPr="004B396A">
        <w:rPr>
          <w:b w:val="0"/>
          <w:sz w:val="22"/>
          <w:szCs w:val="22"/>
        </w:rPr>
        <w:t>Č.j. NG 734/2016</w:t>
      </w:r>
    </w:p>
    <w:p w:rsidR="00217EF9" w:rsidRDefault="00A372BA">
      <w:pPr>
        <w:pStyle w:val="Nadpis30"/>
        <w:keepNext/>
        <w:keepLines/>
        <w:shd w:val="clear" w:color="auto" w:fill="auto"/>
        <w:spacing w:after="506" w:line="240" w:lineRule="exact"/>
        <w:ind w:firstLine="0"/>
      </w:pPr>
      <w:r>
        <w:t xml:space="preserve">Dodatek č. 1 ke smlouvě o spolupráci </w:t>
      </w:r>
      <w:r w:rsidR="004B396A">
        <w:t>č</w:t>
      </w:r>
      <w:r>
        <w:t>.j. NG 1523/2013</w:t>
      </w:r>
      <w:bookmarkEnd w:id="0"/>
    </w:p>
    <w:p w:rsidR="00217EF9" w:rsidRDefault="00A372BA">
      <w:pPr>
        <w:pStyle w:val="Nadpis30"/>
        <w:keepNext/>
        <w:keepLines/>
        <w:shd w:val="clear" w:color="auto" w:fill="auto"/>
        <w:spacing w:after="0" w:line="274" w:lineRule="exact"/>
        <w:ind w:left="420"/>
        <w:jc w:val="both"/>
      </w:pPr>
      <w:bookmarkStart w:id="1" w:name="bookmark1"/>
      <w:r>
        <w:t>Národní galerie v Praze</w:t>
      </w:r>
      <w:bookmarkEnd w:id="1"/>
    </w:p>
    <w:p w:rsidR="00217EF9" w:rsidRDefault="00A372BA">
      <w:pPr>
        <w:pStyle w:val="Zkladntext20"/>
        <w:shd w:val="clear" w:color="auto" w:fill="auto"/>
        <w:ind w:left="420"/>
      </w:pPr>
      <w:r>
        <w:t>se sídlem: Staroměstské nám. 12, 110 15 Praha 1</w:t>
      </w:r>
    </w:p>
    <w:p w:rsidR="00217EF9" w:rsidRDefault="00A372BA">
      <w:pPr>
        <w:pStyle w:val="Zkladntext20"/>
        <w:shd w:val="clear" w:color="auto" w:fill="auto"/>
        <w:ind w:left="420"/>
      </w:pPr>
      <w:r>
        <w:t>IČ: 00023281, DIČ: CZ00023281</w:t>
      </w:r>
    </w:p>
    <w:p w:rsidR="00217EF9" w:rsidRDefault="00A372BA">
      <w:pPr>
        <w:pStyle w:val="Zkladntext20"/>
        <w:shd w:val="clear" w:color="auto" w:fill="auto"/>
        <w:ind w:left="420"/>
      </w:pPr>
      <w:r>
        <w:t>bankovní spojení: KB Praha 1, č.ú.: 8839011/0100</w:t>
      </w:r>
    </w:p>
    <w:p w:rsidR="00217EF9" w:rsidRDefault="00A372BA">
      <w:pPr>
        <w:pStyle w:val="Zkladntext20"/>
        <w:shd w:val="clear" w:color="auto" w:fill="auto"/>
        <w:spacing w:after="327"/>
        <w:ind w:right="2300" w:firstLine="0"/>
        <w:jc w:val="left"/>
      </w:pPr>
      <w:r>
        <w:t>zastoupená: Doc. Dr. et Ing. Jiřím Fajtem, Ph.D., generálním ředitelem (dále jen „NG“) na straně druhé</w:t>
      </w:r>
    </w:p>
    <w:p w:rsidR="00217EF9" w:rsidRDefault="00A372BA">
      <w:pPr>
        <w:pStyle w:val="Zkladntext20"/>
        <w:shd w:val="clear" w:color="auto" w:fill="auto"/>
        <w:spacing w:after="266" w:line="240" w:lineRule="exact"/>
        <w:ind w:left="420"/>
      </w:pPr>
      <w:r>
        <w:t>a</w:t>
      </w:r>
    </w:p>
    <w:p w:rsidR="00217EF9" w:rsidRDefault="00A372BA">
      <w:pPr>
        <w:pStyle w:val="Nadpis30"/>
        <w:keepNext/>
        <w:keepLines/>
        <w:shd w:val="clear" w:color="auto" w:fill="auto"/>
        <w:spacing w:after="0" w:line="274" w:lineRule="exact"/>
        <w:ind w:left="420"/>
        <w:jc w:val="both"/>
      </w:pPr>
      <w:bookmarkStart w:id="2" w:name="bookmark2"/>
      <w:r>
        <w:t>Společnost přátel Národní galerie v Praze</w:t>
      </w:r>
      <w:bookmarkEnd w:id="2"/>
    </w:p>
    <w:p w:rsidR="00217EF9" w:rsidRDefault="00A372BA">
      <w:pPr>
        <w:pStyle w:val="Zkladntext20"/>
        <w:shd w:val="clear" w:color="auto" w:fill="auto"/>
        <w:ind w:left="420"/>
      </w:pPr>
      <w:r>
        <w:t>se sídlem: Hradčanské nám. 15, 118 00 Praha 1</w:t>
      </w:r>
    </w:p>
    <w:p w:rsidR="004B396A" w:rsidRDefault="00A372BA">
      <w:pPr>
        <w:pStyle w:val="Zkladntext20"/>
        <w:shd w:val="clear" w:color="auto" w:fill="auto"/>
        <w:ind w:firstLine="0"/>
        <w:jc w:val="left"/>
      </w:pPr>
      <w:r>
        <w:t xml:space="preserve">zapsaná ve spolkovém rejstříku vedeném Městským soudem v Praze, oddíl L, vložka 3486 </w:t>
      </w:r>
    </w:p>
    <w:p w:rsidR="00217EF9" w:rsidRDefault="00A372BA">
      <w:pPr>
        <w:pStyle w:val="Zkladntext20"/>
        <w:shd w:val="clear" w:color="auto" w:fill="auto"/>
        <w:ind w:firstLine="0"/>
        <w:jc w:val="left"/>
      </w:pPr>
      <w:r>
        <w:t>IČ: 47607068</w:t>
      </w:r>
    </w:p>
    <w:p w:rsidR="004B396A" w:rsidRDefault="00A372BA">
      <w:pPr>
        <w:pStyle w:val="Zkladntext20"/>
        <w:shd w:val="clear" w:color="auto" w:fill="auto"/>
        <w:ind w:firstLine="0"/>
        <w:jc w:val="left"/>
      </w:pPr>
      <w:r>
        <w:t xml:space="preserve">bankovní spojení: </w:t>
      </w:r>
      <w:r w:rsidR="004B396A">
        <w:t>XXXXXXXXXXX</w:t>
      </w:r>
      <w:r>
        <w:t xml:space="preserve">, č.ú.: </w:t>
      </w:r>
      <w:r w:rsidR="004B396A">
        <w:t>XXXXXXXXXXXXXX</w:t>
      </w:r>
      <w:r>
        <w:t xml:space="preserve"> </w:t>
      </w:r>
    </w:p>
    <w:p w:rsidR="00217EF9" w:rsidRDefault="00A372BA">
      <w:pPr>
        <w:pStyle w:val="Zkladntext20"/>
        <w:shd w:val="clear" w:color="auto" w:fill="auto"/>
        <w:ind w:firstLine="0"/>
        <w:jc w:val="left"/>
      </w:pPr>
      <w:r>
        <w:t>zastoupená: PhDr. Olgou Pujmanovou, CSc.</w:t>
      </w:r>
    </w:p>
    <w:p w:rsidR="004B396A" w:rsidRDefault="00A372BA" w:rsidP="004B396A">
      <w:pPr>
        <w:pStyle w:val="Zkladntext20"/>
        <w:shd w:val="clear" w:color="auto" w:fill="auto"/>
        <w:spacing w:line="240" w:lineRule="auto"/>
        <w:ind w:firstLine="0"/>
        <w:jc w:val="left"/>
      </w:pPr>
      <w:r>
        <w:t xml:space="preserve">(dále jen „SPNG“) na straně jedné </w:t>
      </w:r>
    </w:p>
    <w:p w:rsidR="00217EF9" w:rsidRDefault="00A372BA" w:rsidP="004B396A">
      <w:pPr>
        <w:pStyle w:val="Zkladntext20"/>
        <w:shd w:val="clear" w:color="auto" w:fill="auto"/>
        <w:spacing w:line="240" w:lineRule="auto"/>
        <w:ind w:firstLine="0"/>
        <w:jc w:val="left"/>
        <w:rPr>
          <w:rStyle w:val="Zkladntext2Tun"/>
        </w:rPr>
      </w:pPr>
      <w:r>
        <w:t xml:space="preserve">(dále společně jen </w:t>
      </w:r>
      <w:r>
        <w:rPr>
          <w:rStyle w:val="Zkladntext2Tun"/>
        </w:rPr>
        <w:t>„smluvní strany“)</w:t>
      </w:r>
    </w:p>
    <w:p w:rsidR="004B396A" w:rsidRDefault="004B396A" w:rsidP="004B396A">
      <w:pPr>
        <w:pStyle w:val="Zkladntext20"/>
        <w:shd w:val="clear" w:color="auto" w:fill="auto"/>
        <w:spacing w:line="240" w:lineRule="auto"/>
        <w:ind w:firstLine="0"/>
        <w:jc w:val="left"/>
      </w:pPr>
    </w:p>
    <w:p w:rsidR="00217EF9" w:rsidRDefault="00A372BA" w:rsidP="004B396A">
      <w:pPr>
        <w:pStyle w:val="Zkladntext20"/>
        <w:shd w:val="clear" w:color="auto" w:fill="auto"/>
        <w:spacing w:line="240" w:lineRule="exact"/>
        <w:ind w:left="420"/>
        <w:rPr>
          <w:rStyle w:val="Zkladntext2Tun"/>
        </w:rPr>
      </w:pPr>
      <w:r>
        <w:t xml:space="preserve">uzavřely dne 16.10.2013 smlouvu o spolupráci č.j. NG 1523/2013 (dále jen </w:t>
      </w:r>
      <w:r>
        <w:rPr>
          <w:rStyle w:val="Zkladntext2Tun"/>
        </w:rPr>
        <w:t>„Smlouva“).</w:t>
      </w:r>
    </w:p>
    <w:p w:rsidR="004B396A" w:rsidRDefault="004B396A" w:rsidP="004B396A">
      <w:pPr>
        <w:pStyle w:val="Zkladntext20"/>
        <w:shd w:val="clear" w:color="auto" w:fill="auto"/>
        <w:spacing w:line="240" w:lineRule="exact"/>
        <w:ind w:left="420"/>
      </w:pPr>
    </w:p>
    <w:p w:rsidR="004B396A" w:rsidRDefault="004B396A" w:rsidP="004B396A">
      <w:pPr>
        <w:pStyle w:val="Zkladntext20"/>
        <w:shd w:val="clear" w:color="auto" w:fill="auto"/>
        <w:spacing w:line="240" w:lineRule="exact"/>
        <w:ind w:left="420"/>
      </w:pPr>
    </w:p>
    <w:p w:rsidR="00217EF9" w:rsidRDefault="00A372BA" w:rsidP="004B396A">
      <w:pPr>
        <w:pStyle w:val="Zkladntext20"/>
        <w:shd w:val="clear" w:color="auto" w:fill="auto"/>
        <w:spacing w:line="240" w:lineRule="exact"/>
        <w:ind w:left="420"/>
      </w:pPr>
      <w:r>
        <w:t>Vzhledem ke skutečnosti, že:</w:t>
      </w:r>
    </w:p>
    <w:p w:rsidR="004B396A" w:rsidRDefault="004B396A" w:rsidP="004B396A">
      <w:pPr>
        <w:pStyle w:val="Zkladntext20"/>
        <w:shd w:val="clear" w:color="auto" w:fill="auto"/>
        <w:spacing w:line="240" w:lineRule="exact"/>
        <w:ind w:left="420"/>
      </w:pPr>
    </w:p>
    <w:p w:rsidR="00217EF9" w:rsidRDefault="00A372BA" w:rsidP="004B396A">
      <w:pPr>
        <w:pStyle w:val="Zkladntext20"/>
        <w:numPr>
          <w:ilvl w:val="0"/>
          <w:numId w:val="1"/>
        </w:numPr>
        <w:shd w:val="clear" w:color="auto" w:fill="auto"/>
        <w:tabs>
          <w:tab w:val="left" w:pos="780"/>
        </w:tabs>
        <w:spacing w:line="270" w:lineRule="exact"/>
        <w:ind w:left="820" w:hanging="400"/>
        <w:jc w:val="left"/>
      </w:pPr>
      <w:r>
        <w:t>Dosud nedošlo k uzavření dodatku ke Smlouvě ve smyslu čl. II odst. 2.5, věta druhá Smlouvy na rok 2016;</w:t>
      </w:r>
    </w:p>
    <w:p w:rsidR="00217EF9" w:rsidRDefault="00A372BA" w:rsidP="004B396A">
      <w:pPr>
        <w:pStyle w:val="Zkladntext20"/>
        <w:numPr>
          <w:ilvl w:val="0"/>
          <w:numId w:val="1"/>
        </w:numPr>
        <w:shd w:val="clear" w:color="auto" w:fill="auto"/>
        <w:tabs>
          <w:tab w:val="left" w:pos="780"/>
        </w:tabs>
        <w:spacing w:line="270" w:lineRule="exact"/>
        <w:ind w:left="820" w:hanging="400"/>
        <w:jc w:val="left"/>
      </w:pPr>
      <w:r>
        <w:t>SPNG má zájem v roce 2016 podpořit činnost NG mimořádným finančním příspěvkem;</w:t>
      </w:r>
    </w:p>
    <w:p w:rsidR="00217EF9" w:rsidRDefault="00A372BA" w:rsidP="004B396A">
      <w:pPr>
        <w:pStyle w:val="Zkladntext20"/>
        <w:numPr>
          <w:ilvl w:val="0"/>
          <w:numId w:val="1"/>
        </w:numPr>
        <w:shd w:val="clear" w:color="auto" w:fill="auto"/>
        <w:tabs>
          <w:tab w:val="left" w:pos="780"/>
        </w:tabs>
        <w:spacing w:line="277" w:lineRule="exact"/>
        <w:ind w:left="820" w:hanging="400"/>
        <w:jc w:val="left"/>
      </w:pPr>
      <w:r>
        <w:t>SPNG a NG souhlasně prohlašují, že v roce 2016 bude třeba nalézt nový model fungování spolupráce SPNG a NG, který bude následně vyjádřen změnou Smlouvy;</w:t>
      </w:r>
    </w:p>
    <w:p w:rsidR="004B396A" w:rsidRDefault="004B396A" w:rsidP="004B396A">
      <w:pPr>
        <w:pStyle w:val="Zkladntext20"/>
        <w:shd w:val="clear" w:color="auto" w:fill="auto"/>
        <w:tabs>
          <w:tab w:val="left" w:pos="780"/>
        </w:tabs>
        <w:spacing w:line="277" w:lineRule="exact"/>
        <w:ind w:left="820" w:firstLine="0"/>
        <w:jc w:val="left"/>
      </w:pPr>
    </w:p>
    <w:p w:rsidR="00217EF9" w:rsidRDefault="00A372BA" w:rsidP="004B396A">
      <w:pPr>
        <w:pStyle w:val="Zkladntext30"/>
        <w:shd w:val="clear" w:color="auto" w:fill="auto"/>
        <w:spacing w:before="0" w:after="0"/>
      </w:pPr>
      <w:r>
        <w:rPr>
          <w:rStyle w:val="Zkladntext3Netun"/>
        </w:rPr>
        <w:t xml:space="preserve">sjednaly smluvní strany tento </w:t>
      </w:r>
      <w:r>
        <w:t xml:space="preserve">dodatek </w:t>
      </w:r>
      <w:r>
        <w:rPr>
          <w:rStyle w:val="Zkladntext3Netun"/>
        </w:rPr>
        <w:t xml:space="preserve">č. </w:t>
      </w:r>
      <w:r>
        <w:t xml:space="preserve">1 ke smlouvě o spolupráci </w:t>
      </w:r>
      <w:r w:rsidR="004B396A">
        <w:t>č</w:t>
      </w:r>
      <w:r>
        <w:t xml:space="preserve">.j. </w:t>
      </w:r>
      <w:r>
        <w:rPr>
          <w:rStyle w:val="Zkladntext3Netun"/>
        </w:rPr>
        <w:t xml:space="preserve">NG </w:t>
      </w:r>
      <w:r>
        <w:t xml:space="preserve">1523/2013 </w:t>
      </w:r>
      <w:r>
        <w:rPr>
          <w:rStyle w:val="Zkladntext3Netun"/>
        </w:rPr>
        <w:t xml:space="preserve">(dále jen </w:t>
      </w:r>
      <w:r>
        <w:t>„Dodatek“).</w:t>
      </w:r>
    </w:p>
    <w:p w:rsidR="004B396A" w:rsidRDefault="004B396A" w:rsidP="004B396A">
      <w:pPr>
        <w:pStyle w:val="Zkladntext30"/>
        <w:shd w:val="clear" w:color="auto" w:fill="auto"/>
        <w:spacing w:before="0" w:after="0"/>
      </w:pPr>
    </w:p>
    <w:p w:rsidR="00217EF9" w:rsidRDefault="00A372BA">
      <w:pPr>
        <w:pStyle w:val="Nadpis10"/>
        <w:keepNext/>
        <w:keepLines/>
        <w:shd w:val="clear" w:color="auto" w:fill="auto"/>
        <w:spacing w:before="0" w:after="0" w:line="220" w:lineRule="exact"/>
        <w:ind w:left="4500"/>
      </w:pPr>
      <w:bookmarkStart w:id="3" w:name="bookmark3"/>
      <w:r w:rsidRPr="004B396A">
        <w:rPr>
          <w:rFonts w:ascii="Times New Roman" w:hAnsi="Times New Roman" w:cs="Times New Roman"/>
        </w:rPr>
        <w:t>I</w:t>
      </w:r>
      <w:r>
        <w:t>.</w:t>
      </w:r>
      <w:bookmarkEnd w:id="3"/>
    </w:p>
    <w:p w:rsidR="00217EF9" w:rsidRDefault="00A372BA">
      <w:pPr>
        <w:pStyle w:val="Nadpis30"/>
        <w:keepNext/>
        <w:keepLines/>
        <w:shd w:val="clear" w:color="auto" w:fill="auto"/>
        <w:spacing w:after="263" w:line="240" w:lineRule="exact"/>
        <w:ind w:firstLine="0"/>
      </w:pPr>
      <w:bookmarkStart w:id="4" w:name="bookmark4"/>
      <w:r>
        <w:t>Předmět Dodatku</w:t>
      </w:r>
      <w:bookmarkEnd w:id="4"/>
    </w:p>
    <w:p w:rsidR="00217EF9" w:rsidRDefault="00A372BA">
      <w:pPr>
        <w:pStyle w:val="Zkladntext20"/>
        <w:numPr>
          <w:ilvl w:val="0"/>
          <w:numId w:val="2"/>
        </w:numPr>
        <w:shd w:val="clear" w:color="auto" w:fill="auto"/>
        <w:tabs>
          <w:tab w:val="left" w:pos="355"/>
        </w:tabs>
        <w:spacing w:after="330" w:line="277" w:lineRule="exact"/>
        <w:ind w:left="420"/>
      </w:pPr>
      <w:r>
        <w:t>Předmětem tohoto Dodatku je změna a doplnění některých vzájemných práv a povinností smluvních stran plynoucích ze Smlouvy.</w:t>
      </w:r>
    </w:p>
    <w:p w:rsidR="00217EF9" w:rsidRDefault="00A372BA">
      <w:pPr>
        <w:pStyle w:val="Nadpis30"/>
        <w:keepNext/>
        <w:keepLines/>
        <w:shd w:val="clear" w:color="auto" w:fill="auto"/>
        <w:spacing w:after="0" w:line="240" w:lineRule="exact"/>
        <w:ind w:left="4500" w:firstLine="0"/>
        <w:jc w:val="left"/>
      </w:pPr>
      <w:bookmarkStart w:id="5" w:name="bookmark5"/>
      <w:r>
        <w:t>II.</w:t>
      </w:r>
      <w:bookmarkEnd w:id="5"/>
    </w:p>
    <w:p w:rsidR="00217EF9" w:rsidRDefault="00A372BA">
      <w:pPr>
        <w:pStyle w:val="Nadpis30"/>
        <w:keepNext/>
        <w:keepLines/>
        <w:shd w:val="clear" w:color="auto" w:fill="auto"/>
        <w:spacing w:after="266" w:line="240" w:lineRule="exact"/>
        <w:ind w:firstLine="0"/>
      </w:pPr>
      <w:bookmarkStart w:id="6" w:name="bookmark6"/>
      <w:r>
        <w:t>Stanovení výše členského příspěvku</w:t>
      </w:r>
      <w:bookmarkEnd w:id="6"/>
    </w:p>
    <w:p w:rsidR="00217EF9" w:rsidRDefault="00A372BA">
      <w:pPr>
        <w:pStyle w:val="Zkladntext20"/>
        <w:numPr>
          <w:ilvl w:val="0"/>
          <w:numId w:val="2"/>
        </w:numPr>
        <w:shd w:val="clear" w:color="auto" w:fill="auto"/>
        <w:tabs>
          <w:tab w:val="left" w:pos="358"/>
        </w:tabs>
        <w:ind w:left="420"/>
      </w:pPr>
      <w:r>
        <w:t>Vzhledem ke skutečnosti, že ke dni uzavření tohoto Dodatku nebyl mezi stranami uzavřen dodatek ke Smlouvě ve smyslu čl. II odst. 2.5, věta druhá, Smlouvy pro rok 2016, sjednávají smluvní strany pro rok 2016 podmínky volného vstupu členů SPNG do expozic NG aktualizací přílohy č. 1 Smlouvy takto:</w:t>
      </w:r>
      <w:r>
        <w:br w:type="page"/>
      </w:r>
    </w:p>
    <w:p w:rsidR="00217EF9" w:rsidRDefault="00A372BA" w:rsidP="004B396A">
      <w:pPr>
        <w:pStyle w:val="Zkladntext40"/>
        <w:shd w:val="clear" w:color="auto" w:fill="auto"/>
        <w:spacing w:after="0" w:line="240" w:lineRule="auto"/>
        <w:ind w:left="400"/>
      </w:pPr>
      <w:r>
        <w:lastRenderedPageBreak/>
        <w:t>Volný vstup do stálých expozic Národní galerie</w:t>
      </w:r>
      <w:r>
        <w:rPr>
          <w:rStyle w:val="Zkladntext4Nekurzva"/>
        </w:rPr>
        <w:t xml:space="preserve"> v </w:t>
      </w:r>
      <w:r>
        <w:t>Praze může využít pouze člen SPNG, který se pokladny prokáže členskou legitimací opatřenou hologramem. Vzor členské legitimace platné pro rok 2016 tvoří součást tohoto dodatku jako jeho příloha č. 1, zároveň bude k dispozici na všech pokladnách Národní galerie v Praze.</w:t>
      </w:r>
    </w:p>
    <w:p w:rsidR="004B396A" w:rsidRDefault="004B396A" w:rsidP="004B396A">
      <w:pPr>
        <w:pStyle w:val="Zkladntext40"/>
        <w:shd w:val="clear" w:color="auto" w:fill="auto"/>
        <w:spacing w:after="0" w:line="240" w:lineRule="auto"/>
        <w:ind w:left="400"/>
      </w:pPr>
    </w:p>
    <w:p w:rsidR="00217EF9" w:rsidRDefault="00A372BA" w:rsidP="004B396A">
      <w:pPr>
        <w:pStyle w:val="Zkladntext40"/>
        <w:shd w:val="clear" w:color="auto" w:fill="auto"/>
        <w:spacing w:after="0" w:line="240" w:lineRule="auto"/>
        <w:ind w:left="403"/>
      </w:pPr>
      <w:r>
        <w:t>Minimální členské příspěvky jsou po dohodě s NG stanoveny pro rok 2016 následovně:</w:t>
      </w:r>
    </w:p>
    <w:p w:rsidR="00217EF9" w:rsidRDefault="00A372BA" w:rsidP="004B396A">
      <w:pPr>
        <w:pStyle w:val="Zkladntext40"/>
        <w:numPr>
          <w:ilvl w:val="0"/>
          <w:numId w:val="3"/>
        </w:numPr>
        <w:shd w:val="clear" w:color="auto" w:fill="auto"/>
        <w:tabs>
          <w:tab w:val="left" w:pos="774"/>
        </w:tabs>
        <w:spacing w:after="0" w:line="240" w:lineRule="auto"/>
        <w:ind w:left="403"/>
      </w:pPr>
      <w:r>
        <w:t>člen 750,- Kč</w:t>
      </w:r>
    </w:p>
    <w:p w:rsidR="00217EF9" w:rsidRDefault="00A372BA" w:rsidP="004B396A">
      <w:pPr>
        <w:pStyle w:val="Zkladntext40"/>
        <w:numPr>
          <w:ilvl w:val="0"/>
          <w:numId w:val="3"/>
        </w:numPr>
        <w:shd w:val="clear" w:color="auto" w:fill="auto"/>
        <w:tabs>
          <w:tab w:val="left" w:pos="774"/>
        </w:tabs>
        <w:spacing w:after="0" w:line="240" w:lineRule="auto"/>
        <w:ind w:left="403"/>
      </w:pPr>
      <w:r>
        <w:t>člen junior 300,- Kč</w:t>
      </w:r>
    </w:p>
    <w:p w:rsidR="00217EF9" w:rsidRDefault="00A372BA" w:rsidP="004B396A">
      <w:pPr>
        <w:pStyle w:val="Zkladntext40"/>
        <w:numPr>
          <w:ilvl w:val="0"/>
          <w:numId w:val="3"/>
        </w:numPr>
        <w:shd w:val="clear" w:color="auto" w:fill="auto"/>
        <w:tabs>
          <w:tab w:val="left" w:pos="774"/>
        </w:tabs>
        <w:spacing w:after="0" w:line="240" w:lineRule="auto"/>
        <w:ind w:left="403"/>
      </w:pPr>
      <w:r>
        <w:t>člen senior 400,- Kč</w:t>
      </w:r>
    </w:p>
    <w:p w:rsidR="00217EF9" w:rsidRDefault="00A372BA" w:rsidP="004B396A">
      <w:pPr>
        <w:pStyle w:val="Zkladntext40"/>
        <w:numPr>
          <w:ilvl w:val="0"/>
          <w:numId w:val="3"/>
        </w:numPr>
        <w:shd w:val="clear" w:color="auto" w:fill="auto"/>
        <w:tabs>
          <w:tab w:val="left" w:pos="806"/>
        </w:tabs>
        <w:spacing w:after="0" w:line="240" w:lineRule="auto"/>
        <w:ind w:left="403"/>
      </w:pPr>
      <w:r>
        <w:t>rodina 900,- Kč</w:t>
      </w:r>
    </w:p>
    <w:p w:rsidR="00217EF9" w:rsidRDefault="00A372BA" w:rsidP="004B396A">
      <w:pPr>
        <w:pStyle w:val="Zkladntext40"/>
        <w:numPr>
          <w:ilvl w:val="0"/>
          <w:numId w:val="3"/>
        </w:numPr>
        <w:shd w:val="clear" w:color="auto" w:fill="auto"/>
        <w:tabs>
          <w:tab w:val="left" w:pos="806"/>
        </w:tabs>
        <w:spacing w:after="0" w:line="240" w:lineRule="auto"/>
        <w:ind w:left="403"/>
      </w:pPr>
      <w:r>
        <w:t>mecenáš od 1500,- Kč výše</w:t>
      </w:r>
    </w:p>
    <w:p w:rsidR="004B396A" w:rsidRDefault="004B396A" w:rsidP="004B396A">
      <w:pPr>
        <w:pStyle w:val="Zkladntext20"/>
        <w:shd w:val="clear" w:color="auto" w:fill="auto"/>
        <w:spacing w:line="240" w:lineRule="auto"/>
        <w:ind w:left="403" w:firstLine="0"/>
      </w:pPr>
    </w:p>
    <w:p w:rsidR="00217EF9" w:rsidRPr="009E338A" w:rsidRDefault="00A372BA" w:rsidP="004B396A">
      <w:pPr>
        <w:pStyle w:val="Zkladntext20"/>
        <w:shd w:val="clear" w:color="auto" w:fill="auto"/>
        <w:spacing w:line="240" w:lineRule="auto"/>
        <w:ind w:left="403" w:firstLine="0"/>
      </w:pPr>
      <w:r>
        <w:t xml:space="preserve">Volný vstup se vztahuje jak do stálých expozic, tak na krátkodobé výstavy vyjma výstav, na které se vztahuje speciální režim stanovený výjimkou generálního ředitele NG. V roce </w:t>
      </w:r>
      <w:r w:rsidRPr="009E338A">
        <w:rPr>
          <w:rStyle w:val="Zkladntext2Tun"/>
          <w:b w:val="0"/>
        </w:rPr>
        <w:t>2016</w:t>
      </w:r>
      <w:r w:rsidRPr="009E338A">
        <w:rPr>
          <w:rStyle w:val="Zkladntext2Tun"/>
        </w:rPr>
        <w:t xml:space="preserve"> </w:t>
      </w:r>
      <w:r w:rsidRPr="009E338A">
        <w:t xml:space="preserve">se jedná o výstavy Císař Karel IV. </w:t>
      </w:r>
      <w:r w:rsidRPr="009E338A">
        <w:rPr>
          <w:rStyle w:val="Zkladntext2Tun"/>
          <w:b w:val="0"/>
        </w:rPr>
        <w:t>1316-2016</w:t>
      </w:r>
      <w:r w:rsidR="004B396A" w:rsidRPr="009E338A">
        <w:rPr>
          <w:rStyle w:val="Zkladntext2Tun"/>
        </w:rPr>
        <w:t>.</w:t>
      </w:r>
    </w:p>
    <w:p w:rsidR="004B396A" w:rsidRDefault="004B1270" w:rsidP="004B396A">
      <w:pPr>
        <w:pStyle w:val="Nadpis30"/>
        <w:keepNext/>
        <w:keepLines/>
        <w:shd w:val="clear" w:color="auto" w:fill="auto"/>
        <w:spacing w:after="0" w:line="240" w:lineRule="auto"/>
        <w:ind w:firstLine="0"/>
      </w:pPr>
      <w:bookmarkStart w:id="7" w:name="_GoBack"/>
      <w:bookmarkEnd w:id="7"/>
      <w:r>
        <w:pict>
          <v:shapetype id="_x0000_t202" coordsize="21600,21600" o:spt="202" path="m,l,21600r21600,l21600,xe">
            <v:stroke joinstyle="miter"/>
            <v:path gradientshapeok="t" o:connecttype="rect"/>
          </v:shapetype>
          <v:shape id="_x0000_s1026" type="#_x0000_t202" style="position:absolute;left:0;text-align:left;margin-left:15.95pt;margin-top:-44.5pt;width:79.75pt;height:20.3pt;z-index:-125829376;mso-wrap-distance-left:14.95pt;mso-wrap-distance-right:13.7pt;mso-position-horizontal-relative:margin" filled="f" stroked="f">
            <v:textbox style="mso-fit-shape-to-text:t" inset="0,0,0,0">
              <w:txbxContent>
                <w:p w:rsidR="00217EF9" w:rsidRDefault="00217EF9">
                  <w:pPr>
                    <w:pStyle w:val="Zkladntext5"/>
                    <w:shd w:val="clear" w:color="auto" w:fill="auto"/>
                    <w:spacing w:line="280" w:lineRule="exact"/>
                  </w:pPr>
                </w:p>
              </w:txbxContent>
            </v:textbox>
            <w10:wrap type="topAndBottom" anchorx="margin"/>
          </v:shape>
        </w:pict>
      </w:r>
      <w:bookmarkStart w:id="8" w:name="bookmark7"/>
    </w:p>
    <w:p w:rsidR="004B396A" w:rsidRDefault="004B396A" w:rsidP="004B396A">
      <w:pPr>
        <w:pStyle w:val="Nadpis30"/>
        <w:keepNext/>
        <w:keepLines/>
        <w:shd w:val="clear" w:color="auto" w:fill="auto"/>
        <w:spacing w:after="0" w:line="240" w:lineRule="auto"/>
        <w:ind w:firstLine="0"/>
      </w:pPr>
      <w:r>
        <w:t>III.</w:t>
      </w:r>
    </w:p>
    <w:p w:rsidR="00217EF9" w:rsidRDefault="00A372BA" w:rsidP="004B396A">
      <w:pPr>
        <w:pStyle w:val="Nadpis30"/>
        <w:keepNext/>
        <w:keepLines/>
        <w:shd w:val="clear" w:color="auto" w:fill="auto"/>
        <w:spacing w:after="0" w:line="240" w:lineRule="auto"/>
        <w:ind w:firstLine="0"/>
      </w:pPr>
      <w:r>
        <w:t>Ujednání o budoucím sponzorském daru</w:t>
      </w:r>
      <w:bookmarkEnd w:id="8"/>
    </w:p>
    <w:p w:rsidR="004B396A" w:rsidRDefault="004B396A" w:rsidP="004B396A">
      <w:pPr>
        <w:pStyle w:val="Nadpis30"/>
        <w:keepNext/>
        <w:keepLines/>
        <w:shd w:val="clear" w:color="auto" w:fill="auto"/>
        <w:spacing w:after="0" w:line="240" w:lineRule="auto"/>
        <w:ind w:firstLine="0"/>
      </w:pPr>
    </w:p>
    <w:p w:rsidR="00217EF9" w:rsidRDefault="00A372BA">
      <w:pPr>
        <w:pStyle w:val="Zkladntext20"/>
        <w:numPr>
          <w:ilvl w:val="0"/>
          <w:numId w:val="4"/>
        </w:numPr>
        <w:shd w:val="clear" w:color="auto" w:fill="auto"/>
        <w:tabs>
          <w:tab w:val="left" w:pos="355"/>
        </w:tabs>
        <w:ind w:left="400" w:hanging="400"/>
      </w:pPr>
      <w:r>
        <w:t>SPNG má zájem po dohodě s NG podpořit konkrétní projekt NG realizovaný v roce 2016 nebo 2017 sponzorským darem ve výši 250.000,- Kč. Tento dar SPNG poskytne jako mimořádný, nad rámec pravidelného příspěvku dle čl. III odst. 3.4. Smlouvy.</w:t>
      </w:r>
    </w:p>
    <w:p w:rsidR="00217EF9" w:rsidRDefault="00A372BA">
      <w:pPr>
        <w:pStyle w:val="Zkladntext20"/>
        <w:numPr>
          <w:ilvl w:val="0"/>
          <w:numId w:val="4"/>
        </w:numPr>
        <w:shd w:val="clear" w:color="auto" w:fill="auto"/>
        <w:tabs>
          <w:tab w:val="left" w:pos="355"/>
        </w:tabs>
        <w:ind w:left="400" w:hanging="400"/>
      </w:pPr>
      <w:r>
        <w:t>Pro účely uzavření darovací smlouvy se NG zavazuje předložit do 31.7.2016 SPNG přehled (nabídku) projektů, jejichž financování by mohlo být podpořeno darem dle odst. 1 tohoto článku.</w:t>
      </w:r>
    </w:p>
    <w:p w:rsidR="00217EF9" w:rsidRDefault="00A372BA">
      <w:pPr>
        <w:pStyle w:val="Zkladntext20"/>
        <w:numPr>
          <w:ilvl w:val="0"/>
          <w:numId w:val="4"/>
        </w:numPr>
        <w:shd w:val="clear" w:color="auto" w:fill="auto"/>
        <w:tabs>
          <w:tab w:val="left" w:pos="355"/>
        </w:tabs>
        <w:spacing w:after="267"/>
        <w:ind w:left="400" w:hanging="400"/>
      </w:pPr>
      <w:r>
        <w:t>Obě smluvní strany se zavazují, že smlouvu o sponzorském daru dle odst. 1 tohoto článku na podporu konkrétního projektu NG uzavřou, po společném odsouhlasení vhodného projektu, do 30.9.2016. V této smlouvě zároveň vymezí podmínky užití sponzorského daru a podmínky partnerství v rámci vybraného projektu.</w:t>
      </w:r>
    </w:p>
    <w:p w:rsidR="00217EF9" w:rsidRDefault="00A372BA">
      <w:pPr>
        <w:pStyle w:val="Nadpis30"/>
        <w:keepNext/>
        <w:keepLines/>
        <w:shd w:val="clear" w:color="auto" w:fill="auto"/>
        <w:spacing w:after="0" w:line="240" w:lineRule="exact"/>
        <w:ind w:left="4420" w:firstLine="0"/>
        <w:jc w:val="left"/>
      </w:pPr>
      <w:bookmarkStart w:id="9" w:name="bookmark8"/>
      <w:r>
        <w:t>IV.</w:t>
      </w:r>
      <w:bookmarkEnd w:id="9"/>
    </w:p>
    <w:p w:rsidR="00217EF9" w:rsidRDefault="00A372BA">
      <w:pPr>
        <w:pStyle w:val="Nadpis30"/>
        <w:keepNext/>
        <w:keepLines/>
        <w:shd w:val="clear" w:color="auto" w:fill="auto"/>
        <w:spacing w:after="206" w:line="240" w:lineRule="exact"/>
        <w:ind w:firstLine="0"/>
      </w:pPr>
      <w:bookmarkStart w:id="10" w:name="bookmark9"/>
      <w:r>
        <w:t>Ujednání o budoucí úpravě spolupráce</w:t>
      </w:r>
      <w:bookmarkEnd w:id="10"/>
    </w:p>
    <w:p w:rsidR="00217EF9" w:rsidRDefault="00A372BA">
      <w:pPr>
        <w:pStyle w:val="Zkladntext20"/>
        <w:numPr>
          <w:ilvl w:val="0"/>
          <w:numId w:val="5"/>
        </w:numPr>
        <w:shd w:val="clear" w:color="auto" w:fill="auto"/>
        <w:tabs>
          <w:tab w:val="left" w:pos="355"/>
        </w:tabs>
        <w:ind w:left="400" w:hanging="400"/>
      </w:pPr>
      <w:r>
        <w:t>SPNG se zavazuje na nejbližší členské schůzi nabídnout svým členům možnost rozesílání newsletteru NG, pokud potvrdí za tímto účelem svůj souhlas s poskytnutím jejich kontaktních údajů (jméno, příjmení, e-mailová adresa). SPNG zajistí bez zbytečného odkladu jejich předání NG.</w:t>
      </w:r>
    </w:p>
    <w:p w:rsidR="00217EF9" w:rsidRDefault="00A372BA">
      <w:pPr>
        <w:pStyle w:val="Zkladntext20"/>
        <w:numPr>
          <w:ilvl w:val="0"/>
          <w:numId w:val="5"/>
        </w:numPr>
        <w:shd w:val="clear" w:color="auto" w:fill="auto"/>
        <w:tabs>
          <w:tab w:val="left" w:pos="355"/>
        </w:tabs>
        <w:ind w:left="400" w:hanging="400"/>
      </w:pPr>
      <w:r>
        <w:t>Obě smluvní strany se zavazují počínaje dnem uzavření tohoto Dodatku vést jednání ohledně změny forem spolupráce, sjednaných Smlouvou a tato jednání nejpozději do 30.9.2016 završit uzavřením příslušného dodatku ke Smlouvě, kterým budou tyto změny konkrétně vymezeny.</w:t>
      </w:r>
    </w:p>
    <w:p w:rsidR="00217EF9" w:rsidRDefault="00A372BA">
      <w:pPr>
        <w:pStyle w:val="Zkladntext20"/>
        <w:numPr>
          <w:ilvl w:val="0"/>
          <w:numId w:val="5"/>
        </w:numPr>
        <w:shd w:val="clear" w:color="auto" w:fill="auto"/>
        <w:tabs>
          <w:tab w:val="left" w:pos="355"/>
        </w:tabs>
        <w:spacing w:after="267"/>
        <w:ind w:left="400" w:hanging="400"/>
      </w:pPr>
      <w:r>
        <w:t>Okruhy spolupráce, které by měly být dalším dodatkem do dne 30.9.2016 změněny jsou zejména tyto: úprava vztahu NG a SPNG jako jedné z organizací podporujících činnost NG, rozsah a forma spolupráce v roce 2017 s ohledem na naplňování Koncepce rozvoje Národní galerie na léta 2015-2020.</w:t>
      </w:r>
    </w:p>
    <w:p w:rsidR="00217EF9" w:rsidRDefault="00A372BA">
      <w:pPr>
        <w:pStyle w:val="Nadpis30"/>
        <w:keepNext/>
        <w:keepLines/>
        <w:shd w:val="clear" w:color="auto" w:fill="auto"/>
        <w:spacing w:after="0" w:line="240" w:lineRule="exact"/>
        <w:ind w:left="4640" w:firstLine="0"/>
        <w:jc w:val="left"/>
      </w:pPr>
      <w:bookmarkStart w:id="11" w:name="bookmark10"/>
      <w:r>
        <w:t>V.</w:t>
      </w:r>
      <w:bookmarkEnd w:id="11"/>
    </w:p>
    <w:p w:rsidR="00217EF9" w:rsidRDefault="00A372BA">
      <w:pPr>
        <w:pStyle w:val="Nadpis30"/>
        <w:keepNext/>
        <w:keepLines/>
        <w:shd w:val="clear" w:color="auto" w:fill="auto"/>
        <w:spacing w:after="0" w:line="240" w:lineRule="exact"/>
        <w:ind w:left="4260" w:firstLine="0"/>
        <w:jc w:val="left"/>
      </w:pPr>
      <w:bookmarkStart w:id="12" w:name="bookmark11"/>
      <w:r>
        <w:t>Kontakty</w:t>
      </w:r>
      <w:bookmarkEnd w:id="12"/>
      <w:r>
        <w:br w:type="page"/>
      </w:r>
    </w:p>
    <w:p w:rsidR="00217EF9" w:rsidRDefault="00A372BA">
      <w:pPr>
        <w:pStyle w:val="Zkladntext20"/>
        <w:shd w:val="clear" w:color="auto" w:fill="auto"/>
        <w:spacing w:line="240" w:lineRule="exact"/>
        <w:ind w:left="420" w:firstLine="0"/>
        <w:jc w:val="left"/>
      </w:pPr>
      <w:r>
        <w:lastRenderedPageBreak/>
        <w:t xml:space="preserve">Za SPNG: </w:t>
      </w:r>
      <w:r w:rsidR="00B87A98">
        <w:t>XXXXXXXXXX, tel: XXXXXXXXX</w:t>
      </w:r>
      <w:r>
        <w:t>, e-mail:</w:t>
      </w:r>
      <w:r w:rsidR="00B87A98">
        <w:t xml:space="preserve"> XXXXXXXXXX</w:t>
      </w:r>
      <w:r>
        <w:rPr>
          <w:rStyle w:val="Zkladntext22"/>
        </w:rPr>
        <w:t>.</w:t>
      </w:r>
    </w:p>
    <w:p w:rsidR="00217EF9" w:rsidRDefault="00A372BA">
      <w:pPr>
        <w:pStyle w:val="Zkladntext20"/>
        <w:shd w:val="clear" w:color="auto" w:fill="auto"/>
        <w:spacing w:after="286" w:line="240" w:lineRule="exact"/>
        <w:ind w:left="420" w:firstLine="0"/>
        <w:jc w:val="left"/>
      </w:pPr>
      <w:r>
        <w:t xml:space="preserve">Za NG: </w:t>
      </w:r>
      <w:r w:rsidR="00B87A98">
        <w:t>XXXXXXXXXXX</w:t>
      </w:r>
      <w:r>
        <w:t xml:space="preserve">, tel: </w:t>
      </w:r>
      <w:r w:rsidR="00B87A98">
        <w:t>XXXXXXXXX</w:t>
      </w:r>
      <w:r>
        <w:t>, e-mail:</w:t>
      </w:r>
      <w:r w:rsidR="00B87A98">
        <w:t xml:space="preserve"> XXXXXXXXXXXXXX</w:t>
      </w:r>
      <w:r>
        <w:rPr>
          <w:lang w:val="en-US" w:eastAsia="en-US" w:bidi="en-US"/>
        </w:rPr>
        <w:t>.</w:t>
      </w:r>
    </w:p>
    <w:p w:rsidR="00217EF9" w:rsidRDefault="00A372BA">
      <w:pPr>
        <w:pStyle w:val="Nadpis30"/>
        <w:keepNext/>
        <w:keepLines/>
        <w:shd w:val="clear" w:color="auto" w:fill="auto"/>
        <w:spacing w:after="0" w:line="240" w:lineRule="exact"/>
        <w:ind w:left="4440" w:firstLine="0"/>
        <w:jc w:val="left"/>
      </w:pPr>
      <w:bookmarkStart w:id="13" w:name="bookmark12"/>
      <w:r>
        <w:t>VI.</w:t>
      </w:r>
      <w:bookmarkEnd w:id="13"/>
    </w:p>
    <w:p w:rsidR="00217EF9" w:rsidRDefault="00A372BA">
      <w:pPr>
        <w:pStyle w:val="Zkladntext30"/>
        <w:shd w:val="clear" w:color="auto" w:fill="auto"/>
        <w:spacing w:before="0" w:after="266" w:line="240" w:lineRule="exact"/>
        <w:ind w:right="40"/>
        <w:jc w:val="center"/>
      </w:pPr>
      <w:r>
        <w:t>Závěrečná ujednání</w:t>
      </w:r>
    </w:p>
    <w:p w:rsidR="00217EF9" w:rsidRDefault="00A372BA">
      <w:pPr>
        <w:pStyle w:val="Zkladntext20"/>
        <w:numPr>
          <w:ilvl w:val="0"/>
          <w:numId w:val="6"/>
        </w:numPr>
        <w:shd w:val="clear" w:color="auto" w:fill="auto"/>
        <w:tabs>
          <w:tab w:val="left" w:pos="351"/>
        </w:tabs>
        <w:ind w:firstLine="0"/>
      </w:pPr>
      <w:r>
        <w:t>Ustanovení Smlouvy tímto dodatkem nedotčená zůstávají bez změny.</w:t>
      </w:r>
    </w:p>
    <w:p w:rsidR="00217EF9" w:rsidRDefault="00A372BA">
      <w:pPr>
        <w:pStyle w:val="Zkladntext20"/>
        <w:numPr>
          <w:ilvl w:val="0"/>
          <w:numId w:val="6"/>
        </w:numPr>
        <w:shd w:val="clear" w:color="auto" w:fill="auto"/>
        <w:tabs>
          <w:tab w:val="left" w:pos="351"/>
        </w:tabs>
        <w:ind w:left="420"/>
        <w:jc w:val="left"/>
      </w:pPr>
      <w:r>
        <w:t>Tento Dodatek je vyhotoven ve dvou stejnopisech, z nichž jeden obdrží NG a jeden SPNG.</w:t>
      </w:r>
    </w:p>
    <w:p w:rsidR="00217EF9" w:rsidRDefault="00A372BA">
      <w:pPr>
        <w:pStyle w:val="Zkladntext20"/>
        <w:numPr>
          <w:ilvl w:val="0"/>
          <w:numId w:val="6"/>
        </w:numPr>
        <w:shd w:val="clear" w:color="auto" w:fill="auto"/>
        <w:tabs>
          <w:tab w:val="left" w:pos="351"/>
        </w:tabs>
        <w:ind w:left="420"/>
        <w:jc w:val="left"/>
      </w:pPr>
      <w:r>
        <w:t>Tento Dodatek nabývá platnosti a účinnosti dnem podpisu oprávněnými zástupci obou smluvních stran.</w:t>
      </w:r>
    </w:p>
    <w:p w:rsidR="00217EF9" w:rsidRDefault="004B1270" w:rsidP="00B87A98">
      <w:pPr>
        <w:pStyle w:val="Zkladntext20"/>
        <w:numPr>
          <w:ilvl w:val="0"/>
          <w:numId w:val="6"/>
        </w:numPr>
        <w:shd w:val="clear" w:color="auto" w:fill="auto"/>
        <w:tabs>
          <w:tab w:val="left" w:pos="355"/>
        </w:tabs>
        <w:spacing w:after="240" w:line="240" w:lineRule="auto"/>
        <w:ind w:left="420"/>
      </w:pPr>
      <w:r>
        <w:pict>
          <v:shape id="_x0000_s1029" type="#_x0000_t202" style="position:absolute;left:0;text-align:left;margin-left:.45pt;margin-top:105.95pt;width:137.05pt;height:41.1pt;z-index:-125829374;mso-wrap-distance-left:5pt;mso-wrap-distance-top:44.3pt;mso-wrap-distance-right:98.65pt;mso-position-horizontal-relative:margin" filled="f" stroked="f">
            <v:textbox style="mso-next-textbox:#_x0000_s1029;mso-fit-shape-to-text:t" inset="0,0,0,0">
              <w:txbxContent>
                <w:p w:rsidR="00B87A98" w:rsidRDefault="00B87A98">
                  <w:pPr>
                    <w:pStyle w:val="Zkladntext20"/>
                    <w:shd w:val="clear" w:color="auto" w:fill="auto"/>
                    <w:ind w:firstLine="0"/>
                    <w:jc w:val="left"/>
                    <w:rPr>
                      <w:rStyle w:val="Zkladntext2Exact"/>
                    </w:rPr>
                  </w:pPr>
                </w:p>
                <w:p w:rsidR="00B87A98" w:rsidRDefault="00A372BA">
                  <w:pPr>
                    <w:pStyle w:val="Zkladntext20"/>
                    <w:shd w:val="clear" w:color="auto" w:fill="auto"/>
                    <w:ind w:firstLine="0"/>
                    <w:jc w:val="left"/>
                    <w:rPr>
                      <w:rStyle w:val="Zkladntext2Exact"/>
                    </w:rPr>
                  </w:pPr>
                  <w:r>
                    <w:rPr>
                      <w:rStyle w:val="Zkladntext2Exact"/>
                    </w:rPr>
                    <w:t>Doc. Dr. et. Ing. Jiř</w:t>
                  </w:r>
                  <w:r w:rsidR="00B87A98">
                    <w:rPr>
                      <w:rStyle w:val="Zkladntext2Exact"/>
                    </w:rPr>
                    <w:t xml:space="preserve">í Fajt,  </w:t>
                  </w:r>
                  <w:r>
                    <w:rPr>
                      <w:rStyle w:val="Zkladntext2Exact"/>
                    </w:rPr>
                    <w:t xml:space="preserve"> generální ředitel </w:t>
                  </w:r>
                </w:p>
                <w:p w:rsidR="00217EF9" w:rsidRDefault="00A372BA">
                  <w:pPr>
                    <w:pStyle w:val="Zkladntext20"/>
                    <w:shd w:val="clear" w:color="auto" w:fill="auto"/>
                    <w:ind w:firstLine="0"/>
                    <w:jc w:val="left"/>
                  </w:pPr>
                  <w:r>
                    <w:rPr>
                      <w:rStyle w:val="Zkladntext2Exact"/>
                    </w:rPr>
                    <w:t>Národní galerie v Praze</w:t>
                  </w:r>
                </w:p>
              </w:txbxContent>
            </v:textbox>
            <w10:wrap type="square" side="right" anchorx="margin"/>
          </v:shape>
        </w:pict>
      </w:r>
      <w:r w:rsidR="00A372BA">
        <w:t>Obě smluvní strany prohlašují, že tento Dodatek je projeve</w:t>
      </w:r>
      <w:r w:rsidR="00B87A98">
        <w:t xml:space="preserve">m jejich svobodné, vážně míněné </w:t>
      </w:r>
      <w:r w:rsidR="00A372BA">
        <w:t>a omylu prosté vů</w:t>
      </w:r>
      <w:r w:rsidR="004B396A">
        <w:t>le, což stvrzují svými podpisy</w:t>
      </w:r>
      <w:r w:rsidR="00B87A98">
        <w:t>.</w:t>
      </w:r>
    </w:p>
    <w:p w:rsidR="00B87A98" w:rsidRDefault="00B87A98" w:rsidP="00B87A98">
      <w:pPr>
        <w:pStyle w:val="Zkladntext20"/>
        <w:shd w:val="clear" w:color="auto" w:fill="auto"/>
        <w:tabs>
          <w:tab w:val="left" w:pos="355"/>
        </w:tabs>
        <w:spacing w:after="240" w:line="240" w:lineRule="auto"/>
        <w:ind w:firstLine="0"/>
      </w:pPr>
    </w:p>
    <w:p w:rsidR="00217EF9" w:rsidRPr="00B87A98" w:rsidRDefault="00B87A98" w:rsidP="00B87A98">
      <w:pPr>
        <w:framePr w:w="4901" w:h="577" w:hSpace="3596" w:wrap="notBeside" w:vAnchor="text" w:hAnchor="page" w:x="1169" w:y="3"/>
        <w:rPr>
          <w:rFonts w:ascii="Times New Roman" w:hAnsi="Times New Roman" w:cs="Times New Roman"/>
        </w:rPr>
      </w:pPr>
      <w:r>
        <w:rPr>
          <w:rFonts w:ascii="Times New Roman" w:hAnsi="Times New Roman" w:cs="Times New Roman"/>
        </w:rPr>
        <w:t xml:space="preserve">  V Praze dne  28. 7. 2016</w:t>
      </w:r>
    </w:p>
    <w:p w:rsidR="00B87A98" w:rsidRDefault="00B87A98">
      <w:pPr>
        <w:pStyle w:val="Zkladntext20"/>
        <w:shd w:val="clear" w:color="auto" w:fill="auto"/>
        <w:spacing w:before="14"/>
        <w:ind w:right="2040" w:firstLine="0"/>
        <w:jc w:val="left"/>
      </w:pPr>
    </w:p>
    <w:p w:rsidR="00B87A98" w:rsidRDefault="00B87A98">
      <w:pPr>
        <w:pStyle w:val="Zkladntext20"/>
        <w:shd w:val="clear" w:color="auto" w:fill="auto"/>
        <w:spacing w:before="14"/>
        <w:ind w:right="2040" w:firstLine="0"/>
        <w:jc w:val="left"/>
      </w:pPr>
    </w:p>
    <w:p w:rsidR="00217EF9" w:rsidRDefault="00A372BA" w:rsidP="00B87A98">
      <w:pPr>
        <w:pStyle w:val="Zkladntext20"/>
        <w:shd w:val="clear" w:color="auto" w:fill="auto"/>
        <w:spacing w:before="14"/>
        <w:ind w:right="2040" w:firstLine="0"/>
        <w:jc w:val="left"/>
      </w:pPr>
      <w:r>
        <w:t>P</w:t>
      </w:r>
      <w:r w:rsidR="00B87A98">
        <w:t xml:space="preserve">hDr. </w:t>
      </w:r>
      <w:r>
        <w:t>Olga</w:t>
      </w:r>
      <w:r w:rsidR="00B87A98">
        <w:t xml:space="preserve"> </w:t>
      </w:r>
      <w:r>
        <w:t>P</w:t>
      </w:r>
      <w:r w:rsidR="00B87A98">
        <w:t xml:space="preserve">ujmanová, </w:t>
      </w:r>
      <w:r>
        <w:t>předsedkyně</w:t>
      </w:r>
    </w:p>
    <w:p w:rsidR="00217EF9" w:rsidRDefault="00A372BA">
      <w:pPr>
        <w:pStyle w:val="Zkladntext20"/>
        <w:shd w:val="clear" w:color="auto" w:fill="auto"/>
        <w:ind w:firstLine="0"/>
      </w:pPr>
      <w:r>
        <w:t>Společnost přátel Národní galerie v Praze</w:t>
      </w:r>
    </w:p>
    <w:sectPr w:rsidR="00217EF9">
      <w:footerReference w:type="default" r:id="rId7"/>
      <w:pgSz w:w="11900" w:h="16840"/>
      <w:pgMar w:top="1386" w:right="1384" w:bottom="1439" w:left="133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270" w:rsidRDefault="004B1270">
      <w:r>
        <w:separator/>
      </w:r>
    </w:p>
  </w:endnote>
  <w:endnote w:type="continuationSeparator" w:id="0">
    <w:p w:rsidR="004B1270" w:rsidRDefault="004B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EF9" w:rsidRDefault="004B1270">
    <w:pPr>
      <w:rPr>
        <w:sz w:val="2"/>
        <w:szCs w:val="2"/>
      </w:rPr>
    </w:pPr>
    <w:r>
      <w:pict>
        <v:shapetype id="_x0000_t202" coordsize="21600,21600" o:spt="202" path="m,l,21600r21600,l21600,xe">
          <v:stroke joinstyle="miter"/>
          <v:path gradientshapeok="t" o:connecttype="rect"/>
        </v:shapetype>
        <v:shape id="_x0000_s2049" type="#_x0000_t202" style="position:absolute;margin-left:279.95pt;margin-top:795.25pt;width:31.7pt;height:7pt;z-index:-251658752;mso-wrap-style:none;mso-wrap-distance-left:5pt;mso-wrap-distance-right:5pt;mso-position-horizontal-relative:page;mso-position-vertical-relative:page" wrapcoords="0 0" filled="f" stroked="f">
          <v:textbox style="mso-fit-shape-to-text:t" inset="0,0,0,0">
            <w:txbxContent>
              <w:p w:rsidR="00217EF9" w:rsidRDefault="00A372BA">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sidR="009E338A" w:rsidRPr="009E338A">
                  <w:rPr>
                    <w:rStyle w:val="ZhlavneboZpat1"/>
                    <w:noProof/>
                  </w:rPr>
                  <w:t>2</w:t>
                </w:r>
                <w:r>
                  <w:rPr>
                    <w:rStyle w:val="ZhlavneboZpat1"/>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270" w:rsidRDefault="004B1270"/>
  </w:footnote>
  <w:footnote w:type="continuationSeparator" w:id="0">
    <w:p w:rsidR="004B1270" w:rsidRDefault="004B127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05973"/>
    <w:multiLevelType w:val="multilevel"/>
    <w:tmpl w:val="A642B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07B1181"/>
    <w:multiLevelType w:val="multilevel"/>
    <w:tmpl w:val="7B90D5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FB3CA2"/>
    <w:multiLevelType w:val="multilevel"/>
    <w:tmpl w:val="8924A7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AB10DB"/>
    <w:multiLevelType w:val="multilevel"/>
    <w:tmpl w:val="83CC96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6A13FE"/>
    <w:multiLevelType w:val="multilevel"/>
    <w:tmpl w:val="6562F908"/>
    <w:lvl w:ilvl="0">
      <w:start w:val="1"/>
      <w:numFmt w:val="upp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1C45B81"/>
    <w:multiLevelType w:val="multilevel"/>
    <w:tmpl w:val="744AC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217EF9"/>
    <w:rsid w:val="00217EF9"/>
    <w:rsid w:val="004B1270"/>
    <w:rsid w:val="004B396A"/>
    <w:rsid w:val="009E338A"/>
    <w:rsid w:val="00A372BA"/>
    <w:rsid w:val="00B87A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A643A35-3AFA-4975-841C-9D73A6C2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0080"/>
      <w:u w:val="single"/>
    </w:rPr>
  </w:style>
  <w:style w:type="character" w:customStyle="1" w:styleId="Zkladntext5Exact">
    <w:name w:val="Základní text (5) Exact"/>
    <w:basedOn w:val="Standardnpsmoodstavce"/>
    <w:link w:val="Zkladntext5"/>
    <w:rPr>
      <w:rFonts w:ascii="Times New Roman" w:eastAsia="Times New Roman" w:hAnsi="Times New Roman" w:cs="Times New Roman"/>
      <w:b/>
      <w:bCs/>
      <w:i/>
      <w:iCs/>
      <w:smallCaps w:val="0"/>
      <w:strike w:val="0"/>
      <w:sz w:val="28"/>
      <w:szCs w:val="28"/>
      <w:u w:val="none"/>
    </w:rPr>
  </w:style>
  <w:style w:type="character" w:customStyle="1" w:styleId="Zkladntext5Exact0">
    <w:name w:val="Základní text (5) Exact"/>
    <w:basedOn w:val="Zkladntext5Exact"/>
    <w:rPr>
      <w:rFonts w:ascii="Times New Roman" w:eastAsia="Times New Roman" w:hAnsi="Times New Roman" w:cs="Times New Roman"/>
      <w:b/>
      <w:bCs/>
      <w:i/>
      <w:iCs/>
      <w:smallCaps w:val="0"/>
      <w:strike w:val="0"/>
      <w:color w:val="000000"/>
      <w:spacing w:val="0"/>
      <w:w w:val="100"/>
      <w:position w:val="0"/>
      <w:sz w:val="28"/>
      <w:szCs w:val="28"/>
      <w:u w:val="none"/>
      <w:lang w:val="cs-CZ" w:eastAsia="cs-CZ" w:bidi="cs-CZ"/>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0"/>
      <w:szCs w:val="20"/>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u w:val="none"/>
    </w:rPr>
  </w:style>
  <w:style w:type="character" w:customStyle="1" w:styleId="Zkladntext3Netun">
    <w:name w:val="Základní text (3) + Ne tučné"/>
    <w:basedOn w:val="Zkladntext3"/>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Nadpis1">
    <w:name w:val="Nadpis #1_"/>
    <w:basedOn w:val="Standardnpsmoodstavce"/>
    <w:link w:val="Nadpis10"/>
    <w:rPr>
      <w:rFonts w:ascii="Bookman Old Style" w:eastAsia="Bookman Old Style" w:hAnsi="Bookman Old Style" w:cs="Bookman Old Style"/>
      <w:b/>
      <w:bCs/>
      <w:i w:val="0"/>
      <w:iCs w:val="0"/>
      <w:smallCaps w:val="0"/>
      <w:strike w:val="0"/>
      <w:sz w:val="22"/>
      <w:szCs w:val="22"/>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iCs/>
      <w:smallCaps w:val="0"/>
      <w:strike w:val="0"/>
      <w:u w:val="none"/>
    </w:rPr>
  </w:style>
  <w:style w:type="character" w:customStyle="1" w:styleId="Zkladntext4Nekurzva">
    <w:name w:val="Základní text (4) + Ne kurzíva"/>
    <w:basedOn w:val="Zkladntext4"/>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Tun1">
    <w:name w:val="Základní text (2) + Tučné"/>
    <w:basedOn w:val="Zkladntext2"/>
    <w:rPr>
      <w:rFonts w:ascii="Times New Roman" w:eastAsia="Times New Roman" w:hAnsi="Times New Roman" w:cs="Times New Roman"/>
      <w:b/>
      <w:bCs/>
      <w:i w:val="0"/>
      <w:iCs w:val="0"/>
      <w:smallCaps w:val="0"/>
      <w:strike/>
      <w:color w:val="000000"/>
      <w:spacing w:val="0"/>
      <w:w w:val="100"/>
      <w:position w:val="0"/>
      <w:sz w:val="24"/>
      <w:szCs w:val="24"/>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u w:val="none"/>
    </w:rPr>
  </w:style>
  <w:style w:type="character" w:customStyle="1" w:styleId="Nadpis28ptTundkovn0pt">
    <w:name w:val="Nadpis #2 + 8 pt;Tučné;Řádkování 0 pt"/>
    <w:basedOn w:val="Nadpis2"/>
    <w:rPr>
      <w:rFonts w:ascii="Times New Roman" w:eastAsia="Times New Roman" w:hAnsi="Times New Roman" w:cs="Times New Roman"/>
      <w:b/>
      <w:bCs/>
      <w:i w:val="0"/>
      <w:iCs w:val="0"/>
      <w:smallCaps w:val="0"/>
      <w:strike w:val="0"/>
      <w:color w:val="000000"/>
      <w:spacing w:val="10"/>
      <w:w w:val="100"/>
      <w:position w:val="0"/>
      <w:sz w:val="16"/>
      <w:szCs w:val="16"/>
      <w:u w:val="none"/>
      <w:lang w:val="cs-CZ" w:eastAsia="cs-CZ" w:bidi="cs-CZ"/>
    </w:rPr>
  </w:style>
  <w:style w:type="character" w:customStyle="1" w:styleId="Nadpis215ptTundkovn0ptMtko60">
    <w:name w:val="Nadpis #2 + 15 pt;Tučné;Řádkování 0 pt;Měřítko 60%"/>
    <w:basedOn w:val="Nadpis2"/>
    <w:rPr>
      <w:rFonts w:ascii="Times New Roman" w:eastAsia="Times New Roman" w:hAnsi="Times New Roman" w:cs="Times New Roman"/>
      <w:b/>
      <w:bCs/>
      <w:i w:val="0"/>
      <w:iCs w:val="0"/>
      <w:smallCaps w:val="0"/>
      <w:strike w:val="0"/>
      <w:color w:val="000000"/>
      <w:spacing w:val="-10"/>
      <w:w w:val="60"/>
      <w:position w:val="0"/>
      <w:sz w:val="30"/>
      <w:szCs w:val="30"/>
      <w:u w:val="none"/>
      <w:lang w:val="cs-CZ" w:eastAsia="cs-CZ" w:bidi="cs-CZ"/>
    </w:rPr>
  </w:style>
  <w:style w:type="paragraph" w:customStyle="1" w:styleId="Zkladntext5">
    <w:name w:val="Základní text (5)"/>
    <w:basedOn w:val="Normln"/>
    <w:link w:val="Zkladntext5Exact"/>
    <w:pPr>
      <w:shd w:val="clear" w:color="auto" w:fill="FFFFFF"/>
      <w:spacing w:line="0" w:lineRule="atLeast"/>
      <w:jc w:val="right"/>
    </w:pPr>
    <w:rPr>
      <w:rFonts w:ascii="Times New Roman" w:eastAsia="Times New Roman" w:hAnsi="Times New Roman" w:cs="Times New Roman"/>
      <w:b/>
      <w:bCs/>
      <w:i/>
      <w:iCs/>
      <w:sz w:val="28"/>
      <w:szCs w:val="28"/>
    </w:rPr>
  </w:style>
  <w:style w:type="paragraph" w:customStyle="1" w:styleId="Zkladntext20">
    <w:name w:val="Základní text (2)"/>
    <w:basedOn w:val="Normln"/>
    <w:link w:val="Zkladntext2"/>
    <w:pPr>
      <w:shd w:val="clear" w:color="auto" w:fill="FFFFFF"/>
      <w:spacing w:line="274" w:lineRule="exact"/>
      <w:ind w:hanging="420"/>
      <w:jc w:val="both"/>
    </w:pPr>
    <w:rPr>
      <w:rFonts w:ascii="Times New Roman" w:eastAsia="Times New Roman" w:hAnsi="Times New Roman" w:cs="Times New Roman"/>
    </w:rPr>
  </w:style>
  <w:style w:type="paragraph" w:customStyle="1" w:styleId="Nadpis30">
    <w:name w:val="Nadpis #3"/>
    <w:basedOn w:val="Normln"/>
    <w:link w:val="Nadpis3"/>
    <w:pPr>
      <w:shd w:val="clear" w:color="auto" w:fill="FFFFFF"/>
      <w:spacing w:after="600" w:line="0" w:lineRule="atLeast"/>
      <w:ind w:hanging="420"/>
      <w:jc w:val="center"/>
      <w:outlineLvl w:val="2"/>
    </w:pPr>
    <w:rPr>
      <w:rFonts w:ascii="Times New Roman" w:eastAsia="Times New Roman" w:hAnsi="Times New Roman" w:cs="Times New Roman"/>
      <w:b/>
      <w:bCs/>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before="480" w:after="300" w:line="274" w:lineRule="exact"/>
    </w:pPr>
    <w:rPr>
      <w:rFonts w:ascii="Times New Roman" w:eastAsia="Times New Roman" w:hAnsi="Times New Roman" w:cs="Times New Roman"/>
      <w:b/>
      <w:bCs/>
    </w:rPr>
  </w:style>
  <w:style w:type="paragraph" w:customStyle="1" w:styleId="Nadpis10">
    <w:name w:val="Nadpis #1"/>
    <w:basedOn w:val="Normln"/>
    <w:link w:val="Nadpis1"/>
    <w:pPr>
      <w:shd w:val="clear" w:color="auto" w:fill="FFFFFF"/>
      <w:spacing w:before="300" w:after="60" w:line="0" w:lineRule="atLeast"/>
      <w:outlineLvl w:val="0"/>
    </w:pPr>
    <w:rPr>
      <w:rFonts w:ascii="Bookman Old Style" w:eastAsia="Bookman Old Style" w:hAnsi="Bookman Old Style" w:cs="Bookman Old Style"/>
      <w:b/>
      <w:bCs/>
      <w:sz w:val="22"/>
      <w:szCs w:val="22"/>
    </w:rPr>
  </w:style>
  <w:style w:type="paragraph" w:customStyle="1" w:styleId="Zkladntext40">
    <w:name w:val="Základní text (4)"/>
    <w:basedOn w:val="Normln"/>
    <w:link w:val="Zkladntext4"/>
    <w:pPr>
      <w:shd w:val="clear" w:color="auto" w:fill="FFFFFF"/>
      <w:spacing w:after="240" w:line="277" w:lineRule="exact"/>
      <w:jc w:val="both"/>
    </w:pPr>
    <w:rPr>
      <w:rFonts w:ascii="Times New Roman" w:eastAsia="Times New Roman" w:hAnsi="Times New Roman" w:cs="Times New Roman"/>
      <w:i/>
      <w:iCs/>
    </w:rPr>
  </w:style>
  <w:style w:type="paragraph" w:customStyle="1" w:styleId="Nadpis20">
    <w:name w:val="Nadpis #2"/>
    <w:basedOn w:val="Normln"/>
    <w:link w:val="Nadpis2"/>
    <w:pPr>
      <w:shd w:val="clear" w:color="auto" w:fill="FFFFFF"/>
      <w:spacing w:before="1080" w:after="780" w:line="0" w:lineRule="atLeast"/>
      <w:jc w:val="both"/>
      <w:outlineLvl w:val="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688</Words>
  <Characters>4062</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c224.pk.gr-20170629110230</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c224.pk.gr-20170629110230</dc:title>
  <dc:subject/>
  <dc:creator/>
  <cp:keywords/>
  <cp:lastModifiedBy>Zdenka Šímová</cp:lastModifiedBy>
  <cp:revision>4</cp:revision>
  <dcterms:created xsi:type="dcterms:W3CDTF">2017-06-29T08:41:00Z</dcterms:created>
  <dcterms:modified xsi:type="dcterms:W3CDTF">2017-06-29T09:03:00Z</dcterms:modified>
</cp:coreProperties>
</file>