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17068B00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C4D05">
        <w:rPr>
          <w:rFonts w:ascii="Arial" w:hAnsi="Arial"/>
          <w:spacing w:val="0"/>
          <w:kern w:val="0"/>
          <w:sz w:val="24"/>
          <w:szCs w:val="24"/>
        </w:rPr>
        <w:t>7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Trpkošem,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9E0F4B9" w14:textId="77777777" w:rsidR="00521978" w:rsidRPr="004D66EA" w:rsidRDefault="00521978" w:rsidP="00521978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26193420" w14:textId="77777777" w:rsidR="00521978" w:rsidRPr="004D66EA" w:rsidRDefault="00521978" w:rsidP="00521978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2FF17E14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5E7E7F8F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648/1a, 186 00 Praha 8</w:t>
      </w:r>
    </w:p>
    <w:p w14:paraId="35F076ED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650F441A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15B489C4" w14:textId="798EE438" w:rsidR="00521978" w:rsidRDefault="00521978" w:rsidP="0052197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1704F" w:rsidRPr="00C1704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A15E265" w14:textId="77777777" w:rsidR="00521978" w:rsidRPr="004D66EA" w:rsidRDefault="00521978" w:rsidP="00521978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449B0D64" w14:textId="77777777" w:rsidR="00521978" w:rsidRPr="004D66EA" w:rsidRDefault="00521978" w:rsidP="0052197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0B5D80DC" w14:textId="77777777" w:rsidR="00521978" w:rsidRPr="004D66EA" w:rsidRDefault="00521978" w:rsidP="00521978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1D252EFF" w14:textId="77777777" w:rsidR="00521978" w:rsidRPr="004D66EA" w:rsidRDefault="00521978" w:rsidP="00521978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3688B385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U Nikolajky 1097/3, 150 00 Praha 5 – Smíchov,</w:t>
      </w:r>
    </w:p>
    <w:p w14:paraId="355BC8B6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D2FCE54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E0B28AF" w14:textId="61CCCE70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1704F" w:rsidRPr="00C1704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D2495F2" w14:textId="77777777" w:rsidR="00521978" w:rsidRPr="004D66EA" w:rsidRDefault="00521978" w:rsidP="00521978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1F992C9F" w14:textId="77777777" w:rsidR="00521978" w:rsidRPr="004D66EA" w:rsidRDefault="00521978" w:rsidP="00521978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6CE9DD1D" w14:textId="5860117E" w:rsidR="00F24A5C" w:rsidRPr="009C4D05" w:rsidRDefault="00F06FC1" w:rsidP="00CB194C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C4D05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 w:rsidRPr="009C4D05">
        <w:rPr>
          <w:rFonts w:ascii="Arial" w:hAnsi="Arial" w:cs="Arial"/>
          <w:sz w:val="20"/>
          <w:szCs w:val="20"/>
        </w:rPr>
        <w:t xml:space="preserve">spočívající v zajištění kapacit IT odborníků </w:t>
      </w:r>
      <w:r w:rsidR="00F24A5C" w:rsidRPr="009C4D05">
        <w:rPr>
          <w:rFonts w:ascii="Arial" w:hAnsi="Arial" w:cs="Arial"/>
          <w:sz w:val="20"/>
          <w:szCs w:val="20"/>
        </w:rPr>
        <w:t xml:space="preserve">na </w:t>
      </w:r>
      <w:bookmarkStart w:id="9" w:name="_Hlk152696144"/>
      <w:r w:rsidR="00F24A5C" w:rsidRPr="009C4D05">
        <w:rPr>
          <w:rFonts w:ascii="Arial" w:hAnsi="Arial" w:cs="Arial"/>
          <w:sz w:val="20"/>
          <w:szCs w:val="20"/>
        </w:rPr>
        <w:t xml:space="preserve">poskytování odborných poradenských služeb </w:t>
      </w:r>
      <w:bookmarkStart w:id="10" w:name="_Hlk152696871"/>
      <w:r w:rsidR="00002A0B">
        <w:rPr>
          <w:rFonts w:ascii="Arial" w:hAnsi="Arial" w:cs="Arial"/>
          <w:sz w:val="20"/>
          <w:szCs w:val="20"/>
        </w:rPr>
        <w:t>- řízení pro digitalizaci agend SUIP (Zákon č. 251/2005 Sb., o inspekci práce a souvisejících agend zahraniční zaměstnanosti)</w:t>
      </w:r>
      <w:r w:rsidR="00CE29AB" w:rsidRPr="009C4D05">
        <w:rPr>
          <w:rFonts w:ascii="Arial" w:hAnsi="Arial" w:cs="Arial"/>
          <w:sz w:val="20"/>
          <w:szCs w:val="20"/>
        </w:rPr>
        <w:t>.</w:t>
      </w:r>
      <w:r w:rsidR="009C4D05" w:rsidRPr="009C4D05">
        <w:rPr>
          <w:rFonts w:ascii="Arial" w:hAnsi="Arial" w:cs="Arial"/>
          <w:sz w:val="20"/>
          <w:szCs w:val="20"/>
        </w:rPr>
        <w:t xml:space="preserve"> </w:t>
      </w:r>
      <w:bookmarkEnd w:id="9"/>
      <w:r w:rsidR="00EC798C">
        <w:rPr>
          <w:rFonts w:ascii="Arial" w:hAnsi="Arial" w:cs="Arial"/>
          <w:sz w:val="20"/>
          <w:szCs w:val="20"/>
        </w:rPr>
        <w:t xml:space="preserve">Aktivity mají </w:t>
      </w:r>
      <w:r w:rsidR="009C4D05" w:rsidRPr="009C4D05">
        <w:rPr>
          <w:rFonts w:ascii="Arial" w:hAnsi="Arial" w:cs="Arial"/>
          <w:sz w:val="20"/>
          <w:szCs w:val="20"/>
        </w:rPr>
        <w:t>za cíl eliminovat významnou část administrativní zátěže, která je nyní kladena na zaměstnavatele a vytvořit jim jednoduché, uživatelsky příjemné prostředí pro sběr ze strany státu požadovaných informací. Zároveň dojde i k zefektivnění procesů na</w:t>
      </w:r>
      <w:r w:rsidR="004E18A4">
        <w:rPr>
          <w:rFonts w:ascii="Arial" w:hAnsi="Arial" w:cs="Arial"/>
          <w:sz w:val="20"/>
          <w:szCs w:val="20"/>
        </w:rPr>
        <w:t> </w:t>
      </w:r>
      <w:r w:rsidR="009C4D05" w:rsidRPr="009C4D05">
        <w:rPr>
          <w:rFonts w:ascii="Arial" w:hAnsi="Arial" w:cs="Arial"/>
          <w:sz w:val="20"/>
          <w:szCs w:val="20"/>
        </w:rPr>
        <w:t>straně úřadu a s ním souvisejícím úsporám, ve výsledku je cíl úspora nákladů na straně rezortu MPSV</w:t>
      </w:r>
      <w:bookmarkEnd w:id="10"/>
      <w:r w:rsidR="009C4D05" w:rsidRPr="009C4D05">
        <w:rPr>
          <w:rFonts w:ascii="Arial" w:hAnsi="Arial" w:cs="Arial"/>
          <w:sz w:val="20"/>
          <w:szCs w:val="20"/>
        </w:rPr>
        <w:t>.</w:t>
      </w:r>
      <w:r w:rsidR="00C87BE7" w:rsidRPr="009C4D05">
        <w:rPr>
          <w:rFonts w:ascii="Arial" w:hAnsi="Arial" w:cs="Arial"/>
          <w:sz w:val="20"/>
          <w:szCs w:val="20"/>
        </w:rPr>
        <w:t xml:space="preserve"> </w:t>
      </w:r>
    </w:p>
    <w:p w14:paraId="21332418" w14:textId="5BDDB96E" w:rsidR="009D7486" w:rsidRDefault="00E470A8" w:rsidP="009D748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 w:rsidR="009D7486">
        <w:rPr>
          <w:rFonts w:ascii="Arial" w:hAnsi="Arial" w:cs="Arial"/>
          <w:sz w:val="20"/>
          <w:szCs w:val="20"/>
        </w:rPr>
        <w:t>:</w:t>
      </w:r>
    </w:p>
    <w:p w14:paraId="0A3BC61F" w14:textId="49FACF6A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2"/>
        </w:rPr>
        <w:t>p</w:t>
      </w:r>
      <w:r w:rsidRPr="009D7486">
        <w:rPr>
          <w:rFonts w:ascii="Arial" w:hAnsi="Arial" w:cs="Arial"/>
          <w:b w:val="0"/>
          <w:bCs/>
          <w:sz w:val="20"/>
          <w:szCs w:val="22"/>
        </w:rPr>
        <w:t>rovádění řízení projektu, jednotlivých jeho fází a odpovědnosti za dodávky a organizace činností teamu</w:t>
      </w:r>
      <w:r>
        <w:rPr>
          <w:rFonts w:ascii="Arial" w:hAnsi="Arial" w:cs="Arial"/>
          <w:b w:val="0"/>
          <w:bCs/>
          <w:sz w:val="20"/>
          <w:szCs w:val="22"/>
        </w:rPr>
        <w:t>,</w:t>
      </w:r>
    </w:p>
    <w:p w14:paraId="322C40D2" w14:textId="625B4A3D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p</w:t>
      </w:r>
      <w:r w:rsidRPr="009D7486">
        <w:rPr>
          <w:rFonts w:ascii="Arial" w:hAnsi="Arial" w:cs="Arial"/>
          <w:b w:val="0"/>
          <w:bCs/>
          <w:sz w:val="20"/>
          <w:szCs w:val="22"/>
        </w:rPr>
        <w:t>odpoře pro vedení projektu a vedoucí teamů, koordinace dodávek a vedení běžné projektové administrativy</w:t>
      </w:r>
      <w:r>
        <w:rPr>
          <w:rFonts w:ascii="Arial" w:hAnsi="Arial" w:cs="Arial"/>
          <w:b w:val="0"/>
          <w:bCs/>
          <w:sz w:val="20"/>
          <w:szCs w:val="22"/>
        </w:rPr>
        <w:t>,</w:t>
      </w:r>
    </w:p>
    <w:p w14:paraId="66BF7C8C" w14:textId="15289E0E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p</w:t>
      </w:r>
      <w:r w:rsidRPr="009D7486">
        <w:rPr>
          <w:rFonts w:ascii="Arial" w:hAnsi="Arial" w:cs="Arial"/>
          <w:b w:val="0"/>
          <w:bCs/>
          <w:sz w:val="20"/>
          <w:szCs w:val="22"/>
        </w:rPr>
        <w:t>řípravě podkladů pro řídící orgány a vedení projektu, organizace statusů a řídících výborů</w:t>
      </w:r>
    </w:p>
    <w:p w14:paraId="5B19F2E8" w14:textId="77090690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k</w:t>
      </w:r>
      <w:r w:rsidRPr="009D7486">
        <w:rPr>
          <w:rFonts w:ascii="Arial" w:hAnsi="Arial" w:cs="Arial"/>
          <w:b w:val="0"/>
          <w:bCs/>
          <w:sz w:val="20"/>
          <w:szCs w:val="22"/>
        </w:rPr>
        <w:t>oordinaci činností zapojených pracovníků při dodávce výstupů</w:t>
      </w:r>
      <w:r>
        <w:rPr>
          <w:rFonts w:ascii="Arial" w:hAnsi="Arial" w:cs="Arial"/>
          <w:b w:val="0"/>
          <w:bCs/>
          <w:sz w:val="20"/>
          <w:szCs w:val="22"/>
        </w:rPr>
        <w:t>,</w:t>
      </w:r>
    </w:p>
    <w:p w14:paraId="0D888547" w14:textId="54E3222C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d</w:t>
      </w:r>
      <w:r w:rsidRPr="009D7486">
        <w:rPr>
          <w:rFonts w:ascii="Arial" w:hAnsi="Arial" w:cs="Arial"/>
          <w:b w:val="0"/>
          <w:bCs/>
          <w:sz w:val="20"/>
          <w:szCs w:val="22"/>
        </w:rPr>
        <w:t>efinování obsahu a rozsahu požadovaných výstupů</w:t>
      </w:r>
      <w:r>
        <w:rPr>
          <w:rFonts w:ascii="Arial" w:hAnsi="Arial" w:cs="Arial"/>
          <w:b w:val="0"/>
          <w:bCs/>
          <w:sz w:val="20"/>
          <w:szCs w:val="22"/>
        </w:rPr>
        <w:t>,</w:t>
      </w:r>
    </w:p>
    <w:p w14:paraId="496DA3D9" w14:textId="0A066BCE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ř</w:t>
      </w:r>
      <w:r w:rsidRPr="009D7486">
        <w:rPr>
          <w:rFonts w:ascii="Arial" w:hAnsi="Arial" w:cs="Arial"/>
          <w:b w:val="0"/>
          <w:bCs/>
          <w:sz w:val="20"/>
          <w:szCs w:val="22"/>
        </w:rPr>
        <w:t>ízení kvality výstupů, řešení výtek na kvalitu dodaných výstupů teamů, vedení a ošetření rizik</w:t>
      </w:r>
      <w:r>
        <w:rPr>
          <w:rFonts w:ascii="Arial" w:hAnsi="Arial" w:cs="Arial"/>
          <w:b w:val="0"/>
          <w:bCs/>
          <w:sz w:val="20"/>
          <w:szCs w:val="22"/>
        </w:rPr>
        <w:t>,</w:t>
      </w:r>
    </w:p>
    <w:p w14:paraId="0E33985F" w14:textId="22F9F3A4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e</w:t>
      </w:r>
      <w:r w:rsidRPr="009D7486">
        <w:rPr>
          <w:rFonts w:ascii="Arial" w:hAnsi="Arial" w:cs="Arial"/>
          <w:b w:val="0"/>
          <w:bCs/>
          <w:sz w:val="20"/>
          <w:szCs w:val="22"/>
        </w:rPr>
        <w:t>fektivní využití všech řízených zdrojů a jejich průběžná koordinace a optimalizace</w:t>
      </w:r>
      <w:r>
        <w:rPr>
          <w:rFonts w:ascii="Arial" w:hAnsi="Arial" w:cs="Arial"/>
          <w:b w:val="0"/>
          <w:bCs/>
          <w:sz w:val="20"/>
          <w:szCs w:val="22"/>
        </w:rPr>
        <w:t>,</w:t>
      </w:r>
    </w:p>
    <w:p w14:paraId="6C693480" w14:textId="1948E82A" w:rsidR="009D7486" w:rsidRPr="009D7486" w:rsidRDefault="009D7486" w:rsidP="009D7486">
      <w:pPr>
        <w:pStyle w:val="RLlneksmlouvy"/>
        <w:numPr>
          <w:ilvl w:val="0"/>
          <w:numId w:val="62"/>
        </w:numPr>
        <w:tabs>
          <w:tab w:val="clear" w:pos="737"/>
          <w:tab w:val="num" w:pos="993"/>
        </w:tabs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b w:val="0"/>
          <w:bCs/>
          <w:sz w:val="20"/>
          <w:szCs w:val="22"/>
        </w:rPr>
        <w:t>p</w:t>
      </w:r>
      <w:r w:rsidRPr="009D7486">
        <w:rPr>
          <w:rFonts w:ascii="Arial" w:hAnsi="Arial" w:cs="Arial"/>
          <w:b w:val="0"/>
          <w:bCs/>
          <w:sz w:val="20"/>
          <w:szCs w:val="22"/>
        </w:rPr>
        <w:t>řípravě workshopů s uživateli, zaměstnanci, vedoucími pracovníky resortu a dodavatelů pro realizaci výstupů</w:t>
      </w:r>
      <w:r>
        <w:rPr>
          <w:rFonts w:ascii="Arial" w:hAnsi="Arial" w:cs="Arial"/>
          <w:b w:val="0"/>
          <w:bCs/>
          <w:sz w:val="20"/>
          <w:szCs w:val="22"/>
        </w:rPr>
        <w:t>.</w:t>
      </w:r>
    </w:p>
    <w:p w14:paraId="03897486" w14:textId="575E83A3" w:rsidR="00E470A8" w:rsidRDefault="009D7486" w:rsidP="009D7486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prostřednictvím </w:t>
      </w:r>
      <w:r w:rsidR="00E470A8" w:rsidRPr="00E470A8">
        <w:rPr>
          <w:rFonts w:ascii="Arial" w:hAnsi="Arial" w:cs="Arial"/>
          <w:sz w:val="20"/>
          <w:szCs w:val="20"/>
        </w:rPr>
        <w:t xml:space="preserve">osob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44BD801E" w:rsidR="00E470A8" w:rsidRDefault="00BE7ECB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m</w:t>
      </w:r>
      <w:r w:rsidR="00C87BE7">
        <w:rPr>
          <w:rFonts w:ascii="Arial" w:hAnsi="Arial" w:cs="Arial"/>
          <w:sz w:val="20"/>
          <w:szCs w:val="20"/>
        </w:rPr>
        <w:t>anager</w:t>
      </w:r>
      <w:r w:rsidR="00D2241A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 w:rsidR="005900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590024">
        <w:rPr>
          <w:rFonts w:ascii="Arial" w:hAnsi="Arial" w:cs="Arial"/>
          <w:sz w:val="20"/>
          <w:szCs w:val="20"/>
        </w:rPr>
        <w:t>0</w:t>
      </w:r>
      <w:r w:rsidR="00793B3D">
        <w:rPr>
          <w:rFonts w:ascii="Arial" w:hAnsi="Arial" w:cs="Arial"/>
          <w:sz w:val="20"/>
          <w:szCs w:val="20"/>
        </w:rPr>
        <w:t xml:space="preserve"> MD</w:t>
      </w:r>
      <w:r w:rsidR="009C4D05">
        <w:rPr>
          <w:rFonts w:ascii="Arial" w:hAnsi="Arial" w:cs="Arial"/>
          <w:sz w:val="20"/>
          <w:szCs w:val="20"/>
        </w:rPr>
        <w:t xml:space="preserve"> </w:t>
      </w:r>
    </w:p>
    <w:p w14:paraId="5B9E543D" w14:textId="654B0B42" w:rsidR="00E470A8" w:rsidRDefault="009C4D05" w:rsidP="00BE7EC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konzultant</w:t>
      </w:r>
      <w:r w:rsidR="00C87BE7">
        <w:rPr>
          <w:rFonts w:ascii="Arial" w:hAnsi="Arial" w:cs="Arial"/>
          <w:sz w:val="20"/>
          <w:szCs w:val="20"/>
        </w:rPr>
        <w:t xml:space="preserve"> – předpokládaný rozsah je 2</w:t>
      </w:r>
      <w:r w:rsidR="00BE7ECB">
        <w:rPr>
          <w:rFonts w:ascii="Arial" w:hAnsi="Arial" w:cs="Arial"/>
          <w:sz w:val="20"/>
          <w:szCs w:val="20"/>
        </w:rPr>
        <w:t>4</w:t>
      </w:r>
      <w:r w:rsidR="00C87BE7">
        <w:rPr>
          <w:rFonts w:ascii="Arial" w:hAnsi="Arial" w:cs="Arial"/>
          <w:sz w:val="20"/>
          <w:szCs w:val="20"/>
        </w:rPr>
        <w:t>0 MD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1" w:name="_Ref98485684"/>
      <w:bookmarkStart w:id="12" w:name="_Ref372629542"/>
      <w:r w:rsidRPr="00FD5EE9">
        <w:rPr>
          <w:rFonts w:ascii="Arial" w:hAnsi="Arial" w:cs="Arial"/>
          <w:sz w:val="20"/>
          <w:szCs w:val="20"/>
        </w:rPr>
        <w:lastRenderedPageBreak/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11"/>
      <w:bookmarkEnd w:id="12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3" w:name="_Toc357594082"/>
      <w:bookmarkStart w:id="14" w:name="_Toc358638378"/>
      <w:bookmarkStart w:id="15" w:name="_Toc361816451"/>
      <w:bookmarkStart w:id="16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3"/>
      <w:bookmarkEnd w:id="14"/>
      <w:bookmarkEnd w:id="15"/>
      <w:bookmarkEnd w:id="16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7ECAFA04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7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70581B">
        <w:rPr>
          <w:rFonts w:ascii="Arial" w:hAnsi="Arial" w:cs="Arial"/>
          <w:sz w:val="20"/>
          <w:szCs w:val="20"/>
          <w:lang w:eastAsia="en-US"/>
        </w:rPr>
        <w:t xml:space="preserve"> 5 880 000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7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FE941FD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>na dobu 12 měsíců ode dne nabytí účinnosti této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8" w:name="_Toc357594085"/>
      <w:bookmarkStart w:id="19" w:name="_Toc358638381"/>
      <w:bookmarkStart w:id="20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8"/>
      <w:bookmarkEnd w:id="19"/>
      <w:bookmarkEnd w:id="20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Dílčí smlouva je uzavřena elektronicky, tj. prostřednictvím uznávaného elektronického podpisu </w:t>
      </w:r>
      <w:r w:rsidRPr="00407C33">
        <w:rPr>
          <w:rFonts w:ascii="Arial" w:hAnsi="Arial" w:cs="Arial"/>
          <w:sz w:val="20"/>
          <w:szCs w:val="20"/>
        </w:rPr>
        <w:lastRenderedPageBreak/>
        <w:t>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70581B" w:rsidRPr="00A16B28" w14:paraId="5BA7A486" w14:textId="77777777" w:rsidTr="00493628">
        <w:trPr>
          <w:jc w:val="center"/>
        </w:trPr>
        <w:tc>
          <w:tcPr>
            <w:tcW w:w="4535" w:type="dxa"/>
          </w:tcPr>
          <w:p w14:paraId="54D7BF93" w14:textId="77777777" w:rsidR="0070581B" w:rsidRPr="00A16B28" w:rsidRDefault="0070581B" w:rsidP="00493628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73DD4D14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E300F0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1EA7B6A7" w14:textId="77777777" w:rsidR="0070581B" w:rsidRPr="00A16B28" w:rsidRDefault="0070581B" w:rsidP="00493628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316F8BD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3513CDB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98815E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70581B" w:rsidRPr="00A16B28" w14:paraId="0C6E7A66" w14:textId="77777777" w:rsidTr="00493628">
        <w:trPr>
          <w:trHeight w:val="820"/>
          <w:jc w:val="center"/>
        </w:trPr>
        <w:tc>
          <w:tcPr>
            <w:tcW w:w="4535" w:type="dxa"/>
          </w:tcPr>
          <w:p w14:paraId="495F9D6B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426EB8F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27B70D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2A628FD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4B7F65C0" w14:textId="77777777" w:rsidR="0070581B" w:rsidRPr="00E07D66" w:rsidRDefault="0070581B" w:rsidP="0049362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716F498B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55654EAF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A886CB6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BF537D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CF2C64B" w14:textId="77777777" w:rsidR="0070581B" w:rsidRDefault="0070581B" w:rsidP="0049362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28ADE398" w14:textId="77777777" w:rsidR="0070581B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Martin Hladík</w:t>
            </w:r>
          </w:p>
          <w:p w14:paraId="32010879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prokurista</w:t>
            </w:r>
          </w:p>
          <w:p w14:paraId="6CAEE405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81B" w:rsidRPr="00A16B28" w14:paraId="3A6C4C3E" w14:textId="77777777" w:rsidTr="00493628">
        <w:trPr>
          <w:trHeight w:val="820"/>
          <w:jc w:val="center"/>
        </w:trPr>
        <w:tc>
          <w:tcPr>
            <w:tcW w:w="4535" w:type="dxa"/>
          </w:tcPr>
          <w:p w14:paraId="055A41CC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29ADF10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81B" w:rsidRPr="00A16B28" w14:paraId="62CC9900" w14:textId="77777777" w:rsidTr="00493628">
        <w:trPr>
          <w:trHeight w:val="820"/>
          <w:jc w:val="center"/>
        </w:trPr>
        <w:tc>
          <w:tcPr>
            <w:tcW w:w="4535" w:type="dxa"/>
          </w:tcPr>
          <w:p w14:paraId="67B5C1DC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2DAFEDF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67084B4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9FE97A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70581B" w:rsidRPr="00A16B28" w14:paraId="47FAE6D8" w14:textId="77777777" w:rsidTr="00493628">
        <w:trPr>
          <w:trHeight w:val="820"/>
          <w:jc w:val="center"/>
        </w:trPr>
        <w:tc>
          <w:tcPr>
            <w:tcW w:w="4535" w:type="dxa"/>
          </w:tcPr>
          <w:p w14:paraId="5E16913B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2CE646B" w14:textId="77777777" w:rsidR="0070581B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2EF2A7F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C3E2ADF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FF7398" w14:textId="77777777" w:rsidR="0070581B" w:rsidRPr="00A16B28" w:rsidRDefault="0070581B" w:rsidP="0049362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E026C1B" w14:textId="77777777" w:rsidR="0070581B" w:rsidRDefault="0070581B" w:rsidP="0049362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2DFA1224" w14:textId="77777777" w:rsidR="0070581B" w:rsidRDefault="0070581B" w:rsidP="0049362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</w:t>
            </w:r>
            <w:r w:rsidRPr="004D66EA">
              <w:rPr>
                <w:rFonts w:ascii="Arial" w:hAnsi="Arial" w:cs="Arial"/>
                <w:bCs/>
                <w:sz w:val="20"/>
                <w:szCs w:val="20"/>
              </w:rPr>
              <w:t>Wimmer</w:t>
            </w:r>
          </w:p>
          <w:p w14:paraId="6D96A9BF" w14:textId="77777777" w:rsidR="0070581B" w:rsidRPr="00521E7C" w:rsidRDefault="0070581B" w:rsidP="0049362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856DB6" w:rsidRPr="00A5360B" w14:paraId="6F4CF446" w14:textId="6FB2770A" w:rsidTr="00593A6D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1068037" w14:textId="7F688899" w:rsidR="00856DB6" w:rsidRPr="00856DB6" w:rsidRDefault="00CD407C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</w:t>
            </w:r>
            <w:r w:rsidR="00A56AC2">
              <w:rPr>
                <w:rFonts w:ascii="Arial" w:hAnsi="Arial" w:cs="Arial"/>
                <w:sz w:val="20"/>
                <w:szCs w:val="20"/>
              </w:rPr>
              <w:t>anager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71A17D" w14:textId="0F1333D5" w:rsidR="00856DB6" w:rsidRPr="00113337" w:rsidRDefault="00C1704F" w:rsidP="00593A6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1704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856DB6" w:rsidRPr="00796AF1" w:rsidRDefault="00856DB6" w:rsidP="00856D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8DBFC8" w14:textId="040D90BC" w:rsidR="00856DB6" w:rsidRPr="00796AF1" w:rsidRDefault="0070581B" w:rsidP="00593A6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26627B42" w:rsidR="00A56AC2" w:rsidRPr="00856DB6" w:rsidRDefault="009C4D05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63995150" w:rsidR="00A56AC2" w:rsidRPr="00113337" w:rsidRDefault="00C1704F" w:rsidP="0011333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1704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1F0A04B1" w:rsidR="00A56AC2" w:rsidRPr="00796AF1" w:rsidRDefault="0070581B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9 500,-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67A3" w14:textId="77777777" w:rsidR="00C8251B" w:rsidRDefault="00C8251B">
      <w:r>
        <w:separator/>
      </w:r>
    </w:p>
  </w:endnote>
  <w:endnote w:type="continuationSeparator" w:id="0">
    <w:p w14:paraId="5052F861" w14:textId="77777777" w:rsidR="00C8251B" w:rsidRDefault="00C8251B">
      <w:r>
        <w:continuationSeparator/>
      </w:r>
    </w:p>
  </w:endnote>
  <w:endnote w:type="continuationNotice" w:id="1">
    <w:p w14:paraId="6207FC5F" w14:textId="77777777" w:rsidR="00C8251B" w:rsidRDefault="00C82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9CAD" w14:textId="77777777" w:rsidR="00C8251B" w:rsidRDefault="00C8251B">
      <w:r>
        <w:separator/>
      </w:r>
    </w:p>
  </w:footnote>
  <w:footnote w:type="continuationSeparator" w:id="0">
    <w:p w14:paraId="6084D5A9" w14:textId="77777777" w:rsidR="00C8251B" w:rsidRDefault="00C8251B">
      <w:r>
        <w:continuationSeparator/>
      </w:r>
    </w:p>
  </w:footnote>
  <w:footnote w:type="continuationNotice" w:id="1">
    <w:p w14:paraId="6773625D" w14:textId="77777777" w:rsidR="00C8251B" w:rsidRDefault="00C825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161B36F6"/>
    <w:multiLevelType w:val="hybridMultilevel"/>
    <w:tmpl w:val="6792B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0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7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8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1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3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7"/>
  </w:num>
  <w:num w:numId="2" w16cid:durableId="2507420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5"/>
  </w:num>
  <w:num w:numId="5" w16cid:durableId="1600867120">
    <w:abstractNumId w:val="19"/>
  </w:num>
  <w:num w:numId="6" w16cid:durableId="949317791">
    <w:abstractNumId w:val="13"/>
  </w:num>
  <w:num w:numId="7" w16cid:durableId="294872119">
    <w:abstractNumId w:val="43"/>
  </w:num>
  <w:num w:numId="8" w16cid:durableId="2060742888">
    <w:abstractNumId w:val="55"/>
  </w:num>
  <w:num w:numId="9" w16cid:durableId="745686164">
    <w:abstractNumId w:val="37"/>
  </w:num>
  <w:num w:numId="10" w16cid:durableId="1645768299">
    <w:abstractNumId w:val="29"/>
  </w:num>
  <w:num w:numId="11" w16cid:durableId="10037740">
    <w:abstractNumId w:val="25"/>
  </w:num>
  <w:num w:numId="12" w16cid:durableId="409543295">
    <w:abstractNumId w:val="40"/>
  </w:num>
  <w:num w:numId="13" w16cid:durableId="654459808">
    <w:abstractNumId w:val="39"/>
  </w:num>
  <w:num w:numId="14" w16cid:durableId="463155709">
    <w:abstractNumId w:val="10"/>
  </w:num>
  <w:num w:numId="15" w16cid:durableId="2120103895">
    <w:abstractNumId w:val="49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6"/>
  </w:num>
  <w:num w:numId="21" w16cid:durableId="106316517">
    <w:abstractNumId w:val="44"/>
  </w:num>
  <w:num w:numId="22" w16cid:durableId="1418865306">
    <w:abstractNumId w:val="48"/>
  </w:num>
  <w:num w:numId="23" w16cid:durableId="7706645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20"/>
  </w:num>
  <w:num w:numId="27" w16cid:durableId="173426749">
    <w:abstractNumId w:val="47"/>
  </w:num>
  <w:num w:numId="28" w16cid:durableId="758210841">
    <w:abstractNumId w:val="53"/>
  </w:num>
  <w:num w:numId="29" w16cid:durableId="359165940">
    <w:abstractNumId w:val="54"/>
  </w:num>
  <w:num w:numId="30" w16cid:durableId="2027823902">
    <w:abstractNumId w:val="30"/>
  </w:num>
  <w:num w:numId="31" w16cid:durableId="1480613658">
    <w:abstractNumId w:val="42"/>
  </w:num>
  <w:num w:numId="32" w16cid:durableId="112411444">
    <w:abstractNumId w:val="51"/>
  </w:num>
  <w:num w:numId="33" w16cid:durableId="1384864722">
    <w:abstractNumId w:val="41"/>
  </w:num>
  <w:num w:numId="34" w16cid:durableId="1364398714">
    <w:abstractNumId w:val="35"/>
  </w:num>
  <w:num w:numId="35" w16cid:durableId="1414161201">
    <w:abstractNumId w:val="6"/>
  </w:num>
  <w:num w:numId="36" w16cid:durableId="900405738">
    <w:abstractNumId w:val="21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3"/>
  </w:num>
  <w:num w:numId="40" w16cid:durableId="121701034">
    <w:abstractNumId w:val="7"/>
  </w:num>
  <w:num w:numId="41" w16cid:durableId="782190033">
    <w:abstractNumId w:val="31"/>
  </w:num>
  <w:num w:numId="42" w16cid:durableId="79330020">
    <w:abstractNumId w:val="26"/>
  </w:num>
  <w:num w:numId="43" w16cid:durableId="936643173">
    <w:abstractNumId w:val="58"/>
  </w:num>
  <w:num w:numId="44" w16cid:durableId="932325692">
    <w:abstractNumId w:val="18"/>
  </w:num>
  <w:num w:numId="45" w16cid:durableId="561913590">
    <w:abstractNumId w:val="5"/>
  </w:num>
  <w:num w:numId="46" w16cid:durableId="861821656">
    <w:abstractNumId w:val="32"/>
  </w:num>
  <w:num w:numId="47" w16cid:durableId="1609387607">
    <w:abstractNumId w:val="46"/>
  </w:num>
  <w:num w:numId="48" w16cid:durableId="1553732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8"/>
  </w:num>
  <w:num w:numId="51" w16cid:durableId="510222785">
    <w:abstractNumId w:val="38"/>
  </w:num>
  <w:num w:numId="52" w16cid:durableId="908535363">
    <w:abstractNumId w:val="11"/>
  </w:num>
  <w:num w:numId="53" w16cid:durableId="2147159868">
    <w:abstractNumId w:val="33"/>
  </w:num>
  <w:num w:numId="54" w16cid:durableId="1777947227">
    <w:abstractNumId w:val="57"/>
  </w:num>
  <w:num w:numId="55" w16cid:durableId="823737311">
    <w:abstractNumId w:val="24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7"/>
  </w:num>
  <w:num w:numId="58" w16cid:durableId="690763604">
    <w:abstractNumId w:val="27"/>
  </w:num>
  <w:num w:numId="59" w16cid:durableId="2033145636">
    <w:abstractNumId w:val="27"/>
  </w:num>
  <w:num w:numId="60" w16cid:durableId="1874804016">
    <w:abstractNumId w:val="27"/>
  </w:num>
  <w:num w:numId="61" w16cid:durableId="1933972850">
    <w:abstractNumId w:val="16"/>
  </w:num>
  <w:num w:numId="62" w16cid:durableId="1272783055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A0B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3337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CBD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506B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199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8A4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1978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81B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486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4F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51B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94C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98C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1227</Words>
  <Characters>7283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37</cp:revision>
  <cp:lastPrinted>2022-11-22T11:37:00Z</cp:lastPrinted>
  <dcterms:created xsi:type="dcterms:W3CDTF">2023-08-14T19:38:00Z</dcterms:created>
  <dcterms:modified xsi:type="dcterms:W3CDTF">2024-02-28T08:11:00Z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