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FA6CCC">
        <w:rPr>
          <w:rFonts w:cs="Times New Roman"/>
          <w:bCs/>
        </w:rPr>
        <w:t>Mgr. Ondřejem Boháčem</w:t>
      </w:r>
      <w:r w:rsidRPr="00BE2197">
        <w:rPr>
          <w:rFonts w:cs="Times New Roman"/>
          <w:bCs/>
        </w:rPr>
        <w:t>, ředitelem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bankovní spojení: </w:t>
      </w:r>
      <w:r w:rsidR="00CB7F9E">
        <w:rPr>
          <w:rFonts w:cs="Times New Roman"/>
          <w:bCs/>
        </w:rPr>
        <w:t>xxxxxxxxx</w:t>
      </w:r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  <w:bCs/>
        </w:rPr>
        <w:t xml:space="preserve">číslo účtu: </w:t>
      </w:r>
      <w:r w:rsidR="00CB7F9E">
        <w:rPr>
          <w:rFonts w:cs="Times New Roman"/>
          <w:bCs/>
        </w:rPr>
        <w:t>xxxxxxxxxxx</w:t>
      </w:r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:rsidR="00DB0698" w:rsidRPr="0060154C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60154C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60154C">
        <w:rPr>
          <w:rFonts w:cs="Times New Roman"/>
          <w:b/>
          <w:bCs/>
        </w:rPr>
        <w:t>a</w:t>
      </w:r>
    </w:p>
    <w:p w:rsidR="00D353D9" w:rsidRDefault="00D353D9" w:rsidP="00BF2C3F">
      <w:pPr>
        <w:spacing w:line="276" w:lineRule="auto"/>
        <w:rPr>
          <w:rFonts w:cs="Times New Roman"/>
          <w:bCs/>
        </w:rPr>
      </w:pPr>
    </w:p>
    <w:p w:rsidR="00DA6E4E" w:rsidRPr="0060154C" w:rsidRDefault="00D35ED0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TeS, spol. s r.o. Chotěboř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D35ED0">
        <w:rPr>
          <w:rFonts w:cs="Times New Roman"/>
          <w:bCs/>
        </w:rPr>
        <w:t>Josefem Sobotkou, jednatelem společnosti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D35ED0">
        <w:rPr>
          <w:rFonts w:cs="Times New Roman"/>
          <w:bCs/>
        </w:rPr>
        <w:t>Zednická 558, 583 01 Chotěboř</w:t>
      </w:r>
    </w:p>
    <w:p w:rsidR="00D353D9" w:rsidRPr="0060154C" w:rsidRDefault="00DA6E4E" w:rsidP="00D35ED0">
      <w:pPr>
        <w:spacing w:line="276" w:lineRule="auto"/>
        <w:ind w:left="1134" w:hanging="850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D35ED0">
        <w:rPr>
          <w:rFonts w:cs="Times New Roman"/>
        </w:rPr>
        <w:t xml:space="preserve">v obchodním rejstříku vedeném Krajským soudem v Hradci Králové, oddíl C, vložka 6075 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D35ED0">
        <w:rPr>
          <w:rFonts w:cs="Times New Roman"/>
        </w:rPr>
        <w:t>60934395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DIČ:  </w:t>
      </w:r>
      <w:r w:rsidR="00D35ED0">
        <w:rPr>
          <w:rFonts w:cs="Times New Roman"/>
        </w:rPr>
        <w:t>CZ60934395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r w:rsidR="00CB7F9E">
        <w:rPr>
          <w:rFonts w:cs="Times New Roman"/>
        </w:rPr>
        <w:t>xxxxxxxxxxxxxx</w:t>
      </w:r>
    </w:p>
    <w:p w:rsidR="00D353D9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r w:rsidR="00CB7F9E">
        <w:rPr>
          <w:rFonts w:cs="Times New Roman"/>
        </w:rPr>
        <w:t>xxxxxxxxxxxxxx</w:t>
      </w:r>
    </w:p>
    <w:p w:rsidR="00347907" w:rsidRPr="0060154C" w:rsidRDefault="00347907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="00D35ED0" w:rsidRPr="00D35ED0">
        <w:rPr>
          <w:rFonts w:cs="Times New Roman"/>
        </w:rPr>
        <w:t>je</w:t>
      </w:r>
      <w:r>
        <w:rPr>
          <w:rFonts w:cs="Times New Roman"/>
        </w:rPr>
        <w:t xml:space="preserve"> plátcem DPH</w:t>
      </w:r>
    </w:p>
    <w:p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</w:p>
    <w:p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zákona č. 89/2012 Sb., občanský zákoník, ve znění pozdějších předpisů (dále jen „občanský zákoník“)</w:t>
      </w:r>
      <w:r w:rsidR="00C14350">
        <w:rPr>
          <w:rFonts w:cs="Times New Roman"/>
        </w:rPr>
        <w:t>, ve znění pozdějších předpisů</w:t>
      </w:r>
      <w:r w:rsidRPr="0060154C">
        <w:rPr>
          <w:rFonts w:cs="Times New Roman"/>
        </w:rPr>
        <w:t>, tuto</w:t>
      </w: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</w:p>
    <w:p w:rsidR="00DB0698" w:rsidRPr="00BE2197" w:rsidRDefault="00DB0698" w:rsidP="0060154C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 názvem</w:t>
      </w:r>
    </w:p>
    <w:p w:rsidR="00DB0698" w:rsidRPr="00BE2197" w:rsidRDefault="00DB0698" w:rsidP="0060154C">
      <w:pPr>
        <w:spacing w:after="120" w:line="276" w:lineRule="auto"/>
        <w:ind w:hanging="284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133367">
        <w:rPr>
          <w:rFonts w:cs="Times New Roman"/>
          <w:b/>
          <w:bCs/>
        </w:rPr>
        <w:t xml:space="preserve">CAMP: Dodávka </w:t>
      </w:r>
      <w:r w:rsidR="00EE0C09">
        <w:rPr>
          <w:rFonts w:cs="Times New Roman"/>
          <w:b/>
          <w:bCs/>
        </w:rPr>
        <w:t>a montáž gastronomického zařízení</w:t>
      </w:r>
      <w:r w:rsidRPr="00BE2197">
        <w:rPr>
          <w:rFonts w:cs="Times New Roman"/>
          <w:b/>
          <w:bCs/>
        </w:rPr>
        <w:t>“</w:t>
      </w:r>
    </w:p>
    <w:p w:rsidR="00B433EB" w:rsidRPr="00BE2197" w:rsidRDefault="00B433EB" w:rsidP="0060154C">
      <w:pPr>
        <w:spacing w:after="120" w:line="276" w:lineRule="auto"/>
        <w:ind w:hanging="284"/>
        <w:jc w:val="center"/>
        <w:rPr>
          <w:rFonts w:cs="Times New Roman"/>
        </w:rPr>
      </w:pPr>
    </w:p>
    <w:p w:rsidR="00DB0698" w:rsidRPr="00BE2197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DB0698" w:rsidRPr="0060154C" w:rsidRDefault="00EF518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Předmětem </w:t>
      </w:r>
      <w:r w:rsidR="00DB0698" w:rsidRPr="00BE2197">
        <w:rPr>
          <w:rFonts w:cs="Times New Roman"/>
        </w:rPr>
        <w:t xml:space="preserve">smlouvy je závazek zhotovitele realizovat pro objednatele </w:t>
      </w:r>
      <w:r w:rsidR="005B3A40" w:rsidRPr="00BE2197">
        <w:rPr>
          <w:rFonts w:cs="Times New Roman"/>
        </w:rPr>
        <w:t xml:space="preserve">na svůj náklad a nebezpečí </w:t>
      </w:r>
      <w:r w:rsidR="00DB0698" w:rsidRPr="00BE2197">
        <w:rPr>
          <w:rFonts w:cs="Times New Roman"/>
        </w:rPr>
        <w:t xml:space="preserve">dílo, které spočívá </w:t>
      </w:r>
      <w:r w:rsidR="00EE0C09">
        <w:rPr>
          <w:rFonts w:cs="Times New Roman"/>
        </w:rPr>
        <w:t>ve</w:t>
      </w:r>
      <w:r w:rsidR="00EE0C09">
        <w:t xml:space="preserve"> vybavení recepce gastro zařízením včetně instalace k připraveným vývodům elektro </w:t>
      </w:r>
      <w:r w:rsidR="00DA48FB">
        <w:br/>
      </w:r>
      <w:r w:rsidR="00EE0C09">
        <w:t xml:space="preserve">a montáže jednotlivých částí. </w:t>
      </w:r>
      <w:r w:rsidR="00DA48FB">
        <w:t xml:space="preserve">Jedná se o stůl z lamina s barovým pultem ve </w:t>
      </w:r>
      <w:r w:rsidR="00EE0C09">
        <w:t xml:space="preserve">2 chlazených vitrínách. </w:t>
      </w:r>
      <w:r w:rsidR="00DA48FB">
        <w:br/>
      </w:r>
      <w:r w:rsidR="00EE0C09">
        <w:t>3 nerezové stoly, lednice, výrobník ledu a podstolová myčka.</w:t>
      </w:r>
      <w:r w:rsidR="001D54B4" w:rsidRPr="00BE2197">
        <w:rPr>
          <w:rFonts w:cs="Times New Roman"/>
        </w:rPr>
        <w:t xml:space="preserve"> </w:t>
      </w:r>
      <w:r w:rsidR="00D353D9" w:rsidRPr="00BE2197">
        <w:rPr>
          <w:rFonts w:cs="Times New Roman"/>
        </w:rPr>
        <w:t>(dále jen „dílo“</w:t>
      </w:r>
      <w:r w:rsidR="00883398" w:rsidRPr="00BE2197">
        <w:rPr>
          <w:rFonts w:cs="Times New Roman"/>
        </w:rPr>
        <w:t xml:space="preserve"> nebo „předmět smlouvy“</w:t>
      </w:r>
      <w:r w:rsidR="00D353D9" w:rsidRPr="00BE2197">
        <w:rPr>
          <w:rFonts w:cs="Times New Roman"/>
        </w:rPr>
        <w:t>)</w:t>
      </w:r>
      <w:r w:rsidR="00883398" w:rsidRPr="00BE2197">
        <w:rPr>
          <w:rFonts w:cs="Times New Roman"/>
        </w:rPr>
        <w:t xml:space="preserve"> a závazek objednatele</w:t>
      </w:r>
      <w:r w:rsidR="00C14350" w:rsidRPr="00BE2197">
        <w:rPr>
          <w:rFonts w:cs="Times New Roman"/>
        </w:rPr>
        <w:t xml:space="preserve"> řádně provedené dílo převzít a</w:t>
      </w:r>
      <w:r w:rsidR="00883398" w:rsidRPr="00BE2197">
        <w:rPr>
          <w:rFonts w:cs="Times New Roman"/>
        </w:rPr>
        <w:t xml:space="preserve"> v sou</w:t>
      </w:r>
      <w:r w:rsidR="007D31B3" w:rsidRPr="00BE2197">
        <w:rPr>
          <w:rFonts w:cs="Times New Roman"/>
        </w:rPr>
        <w:t>ladu s</w:t>
      </w:r>
      <w:r w:rsidR="00F0129B" w:rsidRPr="00BE2197">
        <w:rPr>
          <w:rFonts w:cs="Times New Roman"/>
        </w:rPr>
        <w:t xml:space="preserve"> čl</w:t>
      </w:r>
      <w:r w:rsidR="00F0129B" w:rsidRPr="007D31B3">
        <w:rPr>
          <w:rFonts w:cs="Times New Roman"/>
        </w:rPr>
        <w:t>. II</w:t>
      </w:r>
      <w:r w:rsidR="00883398" w:rsidRPr="007D31B3">
        <w:rPr>
          <w:rFonts w:cs="Times New Roman"/>
        </w:rPr>
        <w:t xml:space="preserve"> této</w:t>
      </w:r>
      <w:r w:rsidR="00883398" w:rsidRPr="0060154C">
        <w:rPr>
          <w:rFonts w:cs="Times New Roman"/>
        </w:rPr>
        <w:t xml:space="preserve"> smlouvy uhradit zhotoviteli cenu </w:t>
      </w:r>
      <w:r w:rsidR="00C14350">
        <w:rPr>
          <w:rFonts w:cs="Times New Roman"/>
        </w:rPr>
        <w:t>díla</w:t>
      </w:r>
      <w:r w:rsidR="00D353D9" w:rsidRPr="0060154C">
        <w:rPr>
          <w:rFonts w:cs="Times New Roman"/>
        </w:rPr>
        <w:t>.</w:t>
      </w:r>
    </w:p>
    <w:p w:rsidR="00883398" w:rsidRPr="0060154C" w:rsidRDefault="00883398" w:rsidP="0060154C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díla.</w:t>
      </w:r>
    </w:p>
    <w:p w:rsidR="00DB0698" w:rsidRPr="00EE0C09" w:rsidRDefault="001D54B4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EE0C09">
        <w:rPr>
          <w:rFonts w:cs="Times New Roman"/>
        </w:rPr>
        <w:lastRenderedPageBreak/>
        <w:t>Podrobná specifikace předmětu smlouvy je uvedena v Příloze č. 1</w:t>
      </w:r>
      <w:r w:rsidR="00EE0C09" w:rsidRPr="00EE0C09">
        <w:rPr>
          <w:rFonts w:cs="Times New Roman"/>
        </w:rPr>
        <w:t>, č. 2 a č. 3</w:t>
      </w:r>
      <w:r w:rsidRPr="00EE0C09">
        <w:rPr>
          <w:rFonts w:cs="Times New Roman"/>
        </w:rPr>
        <w:t>, která tvoří nedílnou součást této smlouvy</w:t>
      </w:r>
      <w:r w:rsidR="003F6D6A" w:rsidRPr="00EE0C09">
        <w:rPr>
          <w:rFonts w:cs="Times New Roman"/>
        </w:rPr>
        <w:t>.</w:t>
      </w:r>
    </w:p>
    <w:p w:rsidR="002A1B71" w:rsidRPr="00C22C35" w:rsidRDefault="002A1B7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C22C35">
        <w:rPr>
          <w:rFonts w:cs="Times New Roman"/>
        </w:rPr>
        <w:t xml:space="preserve">Plnění předmětu smlouvy bude provedeno za podmínek stanovených v této smlouvě (včetně příloh), </w:t>
      </w:r>
      <w:r w:rsidRPr="00C22C35">
        <w:rPr>
          <w:rFonts w:cs="Times New Roman"/>
          <w:bCs/>
        </w:rPr>
        <w:t>dále pak za podmínek st</w:t>
      </w:r>
      <w:r w:rsidR="00283F23" w:rsidRPr="00C22C35">
        <w:rPr>
          <w:rFonts w:cs="Times New Roman"/>
          <w:bCs/>
        </w:rPr>
        <w:t xml:space="preserve">anovených ve výzvě (č. VU </w:t>
      </w:r>
      <w:r w:rsidR="00C22C35" w:rsidRPr="00C22C35">
        <w:rPr>
          <w:rFonts w:cs="Times New Roman"/>
          <w:bCs/>
        </w:rPr>
        <w:t>17-0095</w:t>
      </w:r>
      <w:r w:rsidR="00283F23" w:rsidRPr="00C22C35">
        <w:rPr>
          <w:rFonts w:cs="Times New Roman"/>
          <w:bCs/>
        </w:rPr>
        <w:t>)</w:t>
      </w:r>
      <w:r w:rsidR="00DA6E4E" w:rsidRPr="00C22C35">
        <w:rPr>
          <w:rFonts w:cs="Times New Roman"/>
          <w:bCs/>
        </w:rPr>
        <w:t>, včetně jejích příloh</w:t>
      </w:r>
      <w:r w:rsidRPr="00C22C35">
        <w:rPr>
          <w:rFonts w:cs="Times New Roman"/>
          <w:bCs/>
        </w:rPr>
        <w:t xml:space="preserve"> a v nab</w:t>
      </w:r>
      <w:r w:rsidR="00283F23" w:rsidRPr="00C22C35">
        <w:rPr>
          <w:rFonts w:cs="Times New Roman"/>
          <w:bCs/>
        </w:rPr>
        <w:t>ídce zhotovitele</w:t>
      </w:r>
      <w:r w:rsidRPr="00C22C35">
        <w:rPr>
          <w:rFonts w:cs="Times New Roman"/>
          <w:bCs/>
        </w:rPr>
        <w:t>.</w:t>
      </w:r>
    </w:p>
    <w:p w:rsidR="00283F23" w:rsidRPr="0060154C" w:rsidRDefault="00283F23" w:rsidP="0060154C">
      <w:pPr>
        <w:pStyle w:val="Zkladntext"/>
        <w:spacing w:after="120" w:line="276" w:lineRule="auto"/>
        <w:ind w:hanging="284"/>
        <w:rPr>
          <w:rFonts w:cs="Times New Roman"/>
          <w:b/>
          <w:u w:val="single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Cena a platební podmínky</w:t>
      </w:r>
    </w:p>
    <w:p w:rsidR="00CE703C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předmětného díla činí</w:t>
      </w:r>
      <w:r w:rsidR="00CE703C" w:rsidRPr="0060154C">
        <w:rPr>
          <w:rFonts w:cs="Times New Roman"/>
        </w:rPr>
        <w:t>:</w:t>
      </w:r>
    </w:p>
    <w:p w:rsidR="00CE703C" w:rsidRPr="0060154C" w:rsidRDefault="00D35ED0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  <w:b/>
        </w:rPr>
        <w:t>363.602</w:t>
      </w:r>
      <w:r w:rsidR="001D54B4" w:rsidRPr="0060154C">
        <w:rPr>
          <w:rFonts w:cs="Times New Roman"/>
          <w:b/>
        </w:rPr>
        <w:t>,-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třistašedesáttřitisícšestsetdva </w:t>
      </w:r>
      <w:r w:rsidR="00CE703C" w:rsidRPr="0060154C">
        <w:rPr>
          <w:rFonts w:cs="Times New Roman"/>
        </w:rPr>
        <w:t>korun českých)</w:t>
      </w:r>
      <w:r w:rsidR="001D54B4" w:rsidRPr="0060154C">
        <w:rPr>
          <w:rFonts w:cs="Times New Roman"/>
        </w:rPr>
        <w:t xml:space="preserve"> bez DPH, </w:t>
      </w:r>
    </w:p>
    <w:p w:rsidR="003B6E46" w:rsidRPr="0060154C" w:rsidRDefault="00D35ED0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439.958</w:t>
      </w:r>
      <w:r w:rsidR="001D54B4" w:rsidRPr="0060154C">
        <w:rPr>
          <w:rFonts w:cs="Times New Roman"/>
        </w:rPr>
        <w:t xml:space="preserve">,- Kč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čtyřistatřicetdevěttisícdevětsetpadesátosm </w:t>
      </w:r>
      <w:r w:rsidR="00CE703C" w:rsidRPr="0060154C">
        <w:rPr>
          <w:rFonts w:cs="Times New Roman"/>
        </w:rPr>
        <w:t xml:space="preserve">korun českých) </w:t>
      </w:r>
      <w:r w:rsidR="001D54B4" w:rsidRPr="0060154C">
        <w:rPr>
          <w:rFonts w:cs="Times New Roman"/>
        </w:rPr>
        <w:t>s DPH.</w:t>
      </w:r>
    </w:p>
    <w:p w:rsidR="007D31B3" w:rsidRPr="007D31B3" w:rsidRDefault="007D31B3" w:rsidP="0060154C">
      <w:pPr>
        <w:pStyle w:val="Zkladntext2"/>
        <w:numPr>
          <w:ilvl w:val="0"/>
          <w:numId w:val="4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Platba za splnění předmětu smlouvy se uskuteční jednorázově po předání kompletního díla</w:t>
      </w:r>
      <w:r>
        <w:rPr>
          <w:rFonts w:cs="Times New Roman"/>
        </w:rPr>
        <w:t xml:space="preserve">, </w:t>
      </w:r>
      <w:r w:rsidR="00713149">
        <w:rPr>
          <w:rFonts w:cs="Times New Roman"/>
        </w:rPr>
        <w:br/>
      </w:r>
      <w:r>
        <w:rPr>
          <w:rFonts w:cs="Times New Roman"/>
        </w:rPr>
        <w:t>a to po </w:t>
      </w:r>
      <w:r w:rsidRPr="007D31B3">
        <w:rPr>
          <w:rFonts w:cs="Times New Roman"/>
        </w:rPr>
        <w:t>oboustranném podepsání akceptačního protokolu.</w:t>
      </w:r>
    </w:p>
    <w:p w:rsidR="003B6E46" w:rsidRPr="0060154C" w:rsidRDefault="00AD68DF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</w:p>
    <w:p w:rsidR="003B6E46" w:rsidRPr="00C22C35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22C35">
        <w:rPr>
          <w:rFonts w:cs="Times New Roman"/>
        </w:rPr>
        <w:t xml:space="preserve">Oprávněným vystavením faktury se rozumí vystavení faktury zhotovitelem </w:t>
      </w:r>
      <w:r w:rsidRPr="00C22C35">
        <w:rPr>
          <w:rFonts w:cs="Times New Roman"/>
        </w:rPr>
        <w:br/>
        <w:t xml:space="preserve">za provedené a </w:t>
      </w:r>
      <w:r w:rsidR="00DA6E4E" w:rsidRPr="00C22C35">
        <w:rPr>
          <w:rFonts w:cs="Times New Roman"/>
        </w:rPr>
        <w:t>na základě akceptačního protokolu</w:t>
      </w:r>
      <w:r w:rsidR="00CC6D7B">
        <w:rPr>
          <w:rFonts w:cs="Times New Roman"/>
        </w:rPr>
        <w:t xml:space="preserve"> </w:t>
      </w:r>
      <w:r w:rsidRPr="00C22C35">
        <w:rPr>
          <w:rFonts w:cs="Times New Roman"/>
        </w:rPr>
        <w:t xml:space="preserve">předané dílo dle čl. </w:t>
      </w:r>
      <w:r w:rsidR="00F0129B" w:rsidRPr="00C22C35">
        <w:rPr>
          <w:rFonts w:cs="Times New Roman"/>
        </w:rPr>
        <w:t>I</w:t>
      </w:r>
      <w:r w:rsidRPr="00C22C35">
        <w:rPr>
          <w:rFonts w:cs="Times New Roman"/>
        </w:rPr>
        <w:t>V této smlouvy</w:t>
      </w:r>
      <w:r w:rsidR="00C22C35" w:rsidRPr="00C22C35">
        <w:rPr>
          <w:rFonts w:cs="Times New Roman"/>
        </w:rPr>
        <w:t>.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 doplnění. V takovém případě se zastaví plynutí lhůty splatnosti a nová lhůta splatnosti začne běžet doručením opravené faktury.</w:t>
      </w:r>
    </w:p>
    <w:p w:rsidR="001D54B4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:rsidR="00BF2C3F" w:rsidRPr="0060154C" w:rsidRDefault="00BF2C3F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III</w:t>
      </w:r>
      <w:r w:rsidR="001D54B4" w:rsidRPr="0060154C">
        <w:rPr>
          <w:rFonts w:cs="Times New Roman"/>
          <w:b/>
          <w:u w:val="single"/>
        </w:rPr>
        <w:t xml:space="preserve">. Termín </w:t>
      </w:r>
      <w:r w:rsidR="00283F23" w:rsidRPr="0060154C">
        <w:rPr>
          <w:rFonts w:cs="Times New Roman"/>
          <w:b/>
          <w:u w:val="single"/>
        </w:rPr>
        <w:t>plnění</w:t>
      </w:r>
    </w:p>
    <w:p w:rsidR="00877083" w:rsidRPr="0060154C" w:rsidRDefault="00877083" w:rsidP="0060154C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je povinen předat objednateli celé dílo nejpozději </w:t>
      </w:r>
      <w:r w:rsidRPr="00BE2197">
        <w:rPr>
          <w:rFonts w:cs="Times New Roman"/>
        </w:rPr>
        <w:t xml:space="preserve">do </w:t>
      </w:r>
      <w:r w:rsidR="00C22C35">
        <w:rPr>
          <w:rFonts w:cs="Times New Roman"/>
        </w:rPr>
        <w:t>7.7.2017</w:t>
      </w:r>
    </w:p>
    <w:p w:rsidR="00283F23" w:rsidRDefault="00283F23" w:rsidP="00DA48FB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:rsidR="0038330D" w:rsidRPr="0060154C" w:rsidRDefault="0038330D" w:rsidP="00DA48FB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a objednatel sepíší o předání předávací protokol (postačí prosté potvrzení o předání), </w:t>
      </w:r>
      <w:r w:rsidR="00713149">
        <w:rPr>
          <w:rFonts w:cs="Times New Roman"/>
        </w:rPr>
        <w:br/>
      </w:r>
      <w:r>
        <w:rPr>
          <w:rFonts w:cs="Times New Roman"/>
        </w:rPr>
        <w:t>teprve po kontrole odevzdaného díla spolu podepíší akceptační protokol.</w:t>
      </w:r>
    </w:p>
    <w:p w:rsidR="00CC6D7B" w:rsidRDefault="00CC6D7B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60154C">
        <w:rPr>
          <w:rFonts w:cs="Times New Roman"/>
          <w:b/>
          <w:u w:val="single"/>
        </w:rPr>
        <w:lastRenderedPageBreak/>
        <w:t>I</w:t>
      </w:r>
      <w:r w:rsidR="001D54B4" w:rsidRPr="0060154C">
        <w:rPr>
          <w:rFonts w:cs="Times New Roman"/>
          <w:b/>
          <w:u w:val="single"/>
        </w:rPr>
        <w:t xml:space="preserve">V. </w:t>
      </w:r>
      <w:r w:rsidR="0038330D">
        <w:rPr>
          <w:rFonts w:cs="Times New Roman"/>
          <w:b/>
          <w:u w:val="single"/>
        </w:rPr>
        <w:t>Způsob plnění</w:t>
      </w:r>
      <w:r w:rsidR="00FE0EDB" w:rsidRPr="0060154C">
        <w:rPr>
          <w:rFonts w:cs="Times New Roman"/>
          <w:b/>
          <w:u w:val="single"/>
        </w:rPr>
        <w:t xml:space="preserve"> a místo předání </w:t>
      </w:r>
      <w:r w:rsidR="001D54B4" w:rsidRPr="0060154C">
        <w:rPr>
          <w:rFonts w:cs="Times New Roman"/>
          <w:b/>
          <w:u w:val="single"/>
        </w:rPr>
        <w:t>díla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Místem předání dí</w:t>
      </w:r>
      <w:r w:rsidR="00877083" w:rsidRPr="0060154C">
        <w:rPr>
          <w:rFonts w:cs="Times New Roman"/>
        </w:rPr>
        <w:t>la je sídlo objednatele, Vyšehradská 57, PSČ: 128 00 Praha 2</w:t>
      </w:r>
      <w:r w:rsidR="00877083" w:rsidRPr="0060154C">
        <w:rPr>
          <w:rFonts w:cs="Times New Roman"/>
          <w:i/>
        </w:rPr>
        <w:t>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akceptačního protokolu, </w:t>
      </w:r>
      <w:r w:rsidR="00C14350">
        <w:rPr>
          <w:rFonts w:cs="Times New Roman"/>
        </w:rPr>
        <w:t xml:space="preserve">jehož vzor </w:t>
      </w:r>
      <w:r w:rsidR="00700E30">
        <w:rPr>
          <w:rFonts w:cs="Times New Roman"/>
        </w:rPr>
        <w:t>tvoří</w:t>
      </w:r>
      <w:r w:rsidR="00C14350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jako </w:t>
      </w:r>
      <w:r w:rsidR="00B16EA8">
        <w:rPr>
          <w:rFonts w:cs="Times New Roman"/>
        </w:rPr>
        <w:t>p</w:t>
      </w:r>
      <w:r w:rsidRPr="0060154C">
        <w:rPr>
          <w:rFonts w:cs="Times New Roman"/>
        </w:rPr>
        <w:t>říloha č</w:t>
      </w:r>
      <w:r w:rsidRPr="00FA6CCC">
        <w:rPr>
          <w:rFonts w:cs="Times New Roman"/>
        </w:rPr>
        <w:t>. 2</w:t>
      </w:r>
      <w:r w:rsidRPr="0060154C">
        <w:rPr>
          <w:rFonts w:cs="Times New Roman"/>
        </w:rPr>
        <w:t xml:space="preserve"> nedílnou součást této smlouvy.  Akceptační protokol bude podepsán pouze tehdy, bude-li předávané předm</w:t>
      </w:r>
      <w:r w:rsidR="00EF70E1" w:rsidRPr="0060154C">
        <w:rPr>
          <w:rFonts w:cs="Times New Roman"/>
        </w:rPr>
        <w:t>ětné dílo splňovat požadavky na </w:t>
      </w:r>
      <w:r w:rsidRPr="0060154C">
        <w:rPr>
          <w:rFonts w:cs="Times New Roman"/>
        </w:rPr>
        <w:t>kvalitu stanovené v čl. V</w:t>
      </w:r>
      <w:r w:rsidR="002D2B5D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 Teprve podpisem akceptačníh</w:t>
      </w:r>
      <w:r w:rsidR="00502231" w:rsidRPr="0060154C">
        <w:rPr>
          <w:rFonts w:cs="Times New Roman"/>
        </w:rPr>
        <w:t>o protokolu se dílo považuje za </w:t>
      </w:r>
      <w:r w:rsidRPr="0060154C">
        <w:rPr>
          <w:rFonts w:cs="Times New Roman"/>
        </w:rPr>
        <w:t>provedené</w:t>
      </w:r>
      <w:r w:rsidR="00877083" w:rsidRPr="0060154C">
        <w:rPr>
          <w:rFonts w:cs="Times New Roman"/>
        </w:rPr>
        <w:t xml:space="preserve"> a </w:t>
      </w:r>
      <w:r w:rsidRPr="0060154C">
        <w:rPr>
          <w:rFonts w:cs="Times New Roman"/>
        </w:rPr>
        <w:t>převzaté a zhotoviteli vzniká právo v souladu s čl. II této smlouvy na její zaplacení.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protokol, pokud dílo nesplňuje některý z požadavků na jeho kvalitu stanovenou v čl. V</w:t>
      </w:r>
      <w:r w:rsidR="00EF70E1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</w:t>
      </w:r>
    </w:p>
    <w:p w:rsidR="00C84C0B" w:rsidRPr="0060154C" w:rsidRDefault="00C84C0B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 dílu přechází na objednatele okamžikem jeho předání a převzetí dle tohoto článku.</w:t>
      </w:r>
    </w:p>
    <w:p w:rsidR="00C84C0B" w:rsidRPr="0060154C" w:rsidRDefault="002D2B5D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Do doby stanovené v odst. 5</w:t>
      </w:r>
      <w:r w:rsidR="00C84C0B" w:rsidRPr="0060154C">
        <w:rPr>
          <w:rFonts w:cs="Times New Roman"/>
        </w:rPr>
        <w:t xml:space="preserve"> tohoto článku nese nebezpečí škody na díle zhotovitel. </w:t>
      </w:r>
    </w:p>
    <w:p w:rsidR="00EF70E1" w:rsidRPr="0060154C" w:rsidRDefault="00EF70E1" w:rsidP="0060154C">
      <w:pPr>
        <w:spacing w:after="120" w:line="276" w:lineRule="auto"/>
        <w:ind w:hanging="284"/>
        <w:jc w:val="both"/>
        <w:rPr>
          <w:rFonts w:cs="Times New Roman"/>
          <w:i/>
          <w:highlight w:val="cyan"/>
        </w:rPr>
      </w:pPr>
    </w:p>
    <w:p w:rsidR="00EF70E1" w:rsidRPr="00D35ED0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D35ED0">
        <w:rPr>
          <w:rFonts w:cs="Times New Roman"/>
          <w:b/>
          <w:u w:val="single"/>
        </w:rPr>
        <w:t>V</w:t>
      </w:r>
      <w:r w:rsidR="00EF70E1" w:rsidRPr="00D35ED0">
        <w:rPr>
          <w:rFonts w:cs="Times New Roman"/>
          <w:b/>
          <w:u w:val="single"/>
        </w:rPr>
        <w:t>. U</w:t>
      </w:r>
      <w:r w:rsidR="00CA3B91" w:rsidRPr="00D35ED0">
        <w:rPr>
          <w:rFonts w:cs="Times New Roman"/>
          <w:b/>
          <w:u w:val="single"/>
        </w:rPr>
        <w:t>stanovení o poddoda</w:t>
      </w:r>
      <w:r w:rsidR="00EF70E1" w:rsidRPr="00D35ED0">
        <w:rPr>
          <w:rFonts w:cs="Times New Roman"/>
          <w:b/>
          <w:u w:val="single"/>
        </w:rPr>
        <w:t>vatelích</w:t>
      </w:r>
    </w:p>
    <w:p w:rsidR="00D35ED0" w:rsidRPr="00D35ED0" w:rsidRDefault="00D35ED0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</w:p>
    <w:p w:rsidR="00BB5233" w:rsidRPr="00D35ED0" w:rsidRDefault="00BB5233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D35ED0">
        <w:rPr>
          <w:szCs w:val="24"/>
        </w:rPr>
        <w:t>Zhotovitel se zavazuje v souladu s podanou nabídkou na veřejnou zakázku „</w:t>
      </w:r>
      <w:r w:rsidR="00DA48FB" w:rsidRPr="00D35ED0">
        <w:rPr>
          <w:szCs w:val="24"/>
        </w:rPr>
        <w:t>CAMP: Dodávka a montáž gastronomického zařízení</w:t>
      </w:r>
      <w:r w:rsidRPr="00D35ED0">
        <w:rPr>
          <w:szCs w:val="24"/>
        </w:rPr>
        <w:t xml:space="preserve">“ zajišťovat veškeré smluvní povinnosti sám, tj. bez účasti poddodavatelů. </w:t>
      </w:r>
    </w:p>
    <w:p w:rsidR="00CA08E1" w:rsidRPr="00DA48FB" w:rsidRDefault="00CA08E1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  <w:highlight w:val="yellow"/>
        </w:rPr>
      </w:pPr>
    </w:p>
    <w:p w:rsidR="00BB5233" w:rsidRPr="00BB5233" w:rsidRDefault="00BB5233" w:rsidP="00BB5233">
      <w:pPr>
        <w:widowControl w:val="0"/>
        <w:suppressAutoHyphens w:val="0"/>
        <w:spacing w:after="120" w:line="276" w:lineRule="auto"/>
        <w:jc w:val="both"/>
        <w:rPr>
          <w:i/>
          <w:szCs w:val="24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Kvalita díla</w:t>
      </w:r>
    </w:p>
    <w:p w:rsidR="003B6E46" w:rsidRPr="0060154C" w:rsidRDefault="001D54B4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stanoveném termínu a s odbornou péčí</w:t>
      </w:r>
      <w:r w:rsidRPr="0060154C">
        <w:rPr>
          <w:rFonts w:cs="Times New Roman"/>
        </w:rPr>
        <w:t>.</w:t>
      </w:r>
    </w:p>
    <w:p w:rsidR="00EF70E1" w:rsidRDefault="00F63739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ve stanoveném termínu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jež odpovídá požadavkům na kvalitu díla, resp. podmínkám stanoveným v právních předpisech </w:t>
      </w:r>
      <w:r w:rsidR="00520434" w:rsidRPr="00FA6CCC">
        <w:rPr>
          <w:rFonts w:cs="Times New Roman"/>
        </w:rPr>
        <w:t>a závazně technických normách,</w:t>
      </w:r>
      <w:r w:rsidR="00520434" w:rsidRPr="00BE2197">
        <w:rPr>
          <w:rFonts w:cs="Times New Roman"/>
        </w:rPr>
        <w:t xml:space="preserve"> 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 VU </w:t>
      </w:r>
      <w:r w:rsidR="00FA6CCC">
        <w:rPr>
          <w:rFonts w:cs="Times New Roman"/>
        </w:rPr>
        <w:t>17-0095.</w:t>
      </w:r>
    </w:p>
    <w:p w:rsidR="005C754A" w:rsidRPr="0060154C" w:rsidRDefault="005C754A" w:rsidP="005C754A">
      <w:pPr>
        <w:spacing w:after="120" w:line="276" w:lineRule="auto"/>
        <w:jc w:val="both"/>
        <w:rPr>
          <w:rFonts w:cs="Times New Roman"/>
        </w:rPr>
      </w:pPr>
    </w:p>
    <w:p w:rsidR="00EF70E1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</w:t>
      </w:r>
      <w:r w:rsidR="00C84C0B" w:rsidRPr="0060154C">
        <w:rPr>
          <w:rFonts w:cs="Times New Roman"/>
          <w:b/>
          <w:u w:val="single"/>
        </w:rPr>
        <w:t xml:space="preserve">. </w:t>
      </w:r>
      <w:r w:rsidR="00BF2C3F" w:rsidRPr="0060154C">
        <w:rPr>
          <w:rFonts w:cs="Times New Roman"/>
          <w:b/>
          <w:u w:val="single"/>
        </w:rPr>
        <w:t>Odpovědnost za vady díla</w:t>
      </w:r>
    </w:p>
    <w:p w:rsidR="00CC0ACD" w:rsidRPr="0060154C" w:rsidRDefault="00CC0ACD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Zhotovitel poskytuje záruku za jakost</w:t>
      </w:r>
      <w:r w:rsidR="00180CDB">
        <w:rPr>
          <w:rFonts w:cs="Times New Roman"/>
        </w:rPr>
        <w:t xml:space="preserve"> díla</w:t>
      </w:r>
      <w:r w:rsidRPr="0060154C">
        <w:rPr>
          <w:rFonts w:cs="Times New Roman"/>
        </w:rPr>
        <w:t>. Zhotovitel odpovídá za to, že předmět této smlouvy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 je provedený podle podmínek smlouvy, zadávací dokumentace, a že po dobu záruční doby bude mít předmět smlouvy vlastnosti dohodnuté v této smlouvě a vlastnosti stanovené právními předpisy, technickými normami, případně vlastnosti obvyklé.</w:t>
      </w:r>
    </w:p>
    <w:p w:rsidR="00C84C0B" w:rsidRPr="0060154C" w:rsidRDefault="00CC0ACD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Záruční doba předmětu smlouvy je </w:t>
      </w:r>
      <w:r w:rsidR="00FA6CCC">
        <w:rPr>
          <w:rFonts w:cs="Times New Roman"/>
        </w:rPr>
        <w:t>24</w:t>
      </w:r>
      <w:r w:rsidRPr="0060154C">
        <w:rPr>
          <w:rFonts w:cs="Times New Roman"/>
        </w:rPr>
        <w:t xml:space="preserve"> měsíců od prvního dne kalen</w:t>
      </w:r>
      <w:r w:rsidR="002D2B5D" w:rsidRPr="0060154C">
        <w:rPr>
          <w:rFonts w:cs="Times New Roman"/>
        </w:rPr>
        <w:t>dářního měsíce následujícího po </w:t>
      </w:r>
      <w:r w:rsidRPr="0060154C">
        <w:rPr>
          <w:rFonts w:cs="Times New Roman"/>
        </w:rPr>
        <w:t>měsíci, v němž bylo dílo předáno</w:t>
      </w:r>
      <w:r w:rsidRPr="0060154C">
        <w:rPr>
          <w:rFonts w:cs="Times New Roman"/>
          <w:i/>
        </w:rPr>
        <w:t>.</w:t>
      </w:r>
      <w:r w:rsidR="00EF70E1" w:rsidRPr="0060154C">
        <w:rPr>
          <w:rFonts w:cs="Times New Roman"/>
        </w:rPr>
        <w:t xml:space="preserve"> </w:t>
      </w:r>
      <w:r w:rsidR="007E0EB3">
        <w:rPr>
          <w:rFonts w:cs="Times New Roman"/>
        </w:rPr>
        <w:t>Pokud byly při akceptaci zjištěny vady, záruční lhůta počíná běžet až předáním díla po odstranění vad. Pokud vytčené vady nebrání akceptaci díla, ustanovení předchozí věty se nepoužije.</w:t>
      </w:r>
    </w:p>
    <w:p w:rsidR="00C84C0B" w:rsidRPr="0060154C" w:rsidRDefault="00EF70E1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 w:rsidR="00E16D0E">
        <w:rPr>
          <w:rFonts w:cs="Times New Roman"/>
        </w:rPr>
        <w:t>,</w:t>
      </w:r>
      <w:r w:rsidR="00E16D0E" w:rsidRPr="00E16D0E">
        <w:rPr>
          <w:rFonts w:cs="Times New Roman"/>
        </w:rPr>
        <w:t xml:space="preserve"> </w:t>
      </w:r>
      <w:r w:rsidR="00E16D0E"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="00CA6CE4">
        <w:rPr>
          <w:rFonts w:cs="Times New Roman"/>
        </w:rPr>
        <w:t xml:space="preserve">jehož vzor tvoří </w:t>
      </w:r>
      <w:r w:rsidRPr="0060154C">
        <w:rPr>
          <w:rFonts w:cs="Times New Roman"/>
        </w:rPr>
        <w:t xml:space="preserve">jako příloha č. </w:t>
      </w:r>
      <w:r w:rsidRPr="00FA6CCC">
        <w:rPr>
          <w:rFonts w:cs="Times New Roman"/>
        </w:rPr>
        <w:t>2</w:t>
      </w:r>
      <w:r w:rsidRPr="0060154C">
        <w:rPr>
          <w:rFonts w:cs="Times New Roman"/>
        </w:rPr>
        <w:t xml:space="preserve"> nedílnou součást této smlouvy, </w:t>
      </w:r>
      <w:r w:rsidRPr="00FA6CCC">
        <w:rPr>
          <w:rFonts w:cs="Times New Roman"/>
        </w:rPr>
        <w:t xml:space="preserve">případně v souladu s podmínkami dle </w:t>
      </w:r>
      <w:r w:rsidR="00B16EA8" w:rsidRPr="00FA6CCC">
        <w:rPr>
          <w:rFonts w:cs="Times New Roman"/>
        </w:rPr>
        <w:t>p</w:t>
      </w:r>
      <w:r w:rsidRPr="00FA6CCC">
        <w:rPr>
          <w:rFonts w:cs="Times New Roman"/>
        </w:rPr>
        <w:t>řílohy č. 1 této smlouvy.</w:t>
      </w:r>
      <w:r w:rsidRPr="0060154C">
        <w:rPr>
          <w:rFonts w:cs="Times New Roman"/>
        </w:rPr>
        <w:t xml:space="preserve"> </w:t>
      </w:r>
    </w:p>
    <w:p w:rsidR="00EF70E1" w:rsidRPr="0060154C" w:rsidRDefault="00EF70E1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Reklamace vad je uplatněna vč</w:t>
      </w:r>
      <w:r w:rsidR="00BE2197">
        <w:rPr>
          <w:rFonts w:cs="Times New Roman"/>
        </w:rPr>
        <w:t xml:space="preserve">as, pokud ji objednatel uplatní </w:t>
      </w:r>
      <w:r w:rsidRPr="0060154C">
        <w:rPr>
          <w:rFonts w:cs="Times New Roman"/>
        </w:rPr>
        <w:t xml:space="preserve">nejpozději </w:t>
      </w:r>
      <w:r w:rsidRPr="0060154C">
        <w:rPr>
          <w:rFonts w:cs="Times New Roman"/>
        </w:rPr>
        <w:br/>
        <w:t>do uplynutí záruční doby, a to způsobem stanoveným v této smlouvě.</w:t>
      </w:r>
    </w:p>
    <w:p w:rsidR="005030DF" w:rsidRPr="0060154C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v případě vzniku vady díla či jeho části, je objednatel povinen bezodkladně po jejich zjištění, písemnou formou</w:t>
      </w:r>
      <w:r w:rsidR="007E0EB3">
        <w:rPr>
          <w:rFonts w:cs="Times New Roman"/>
        </w:rPr>
        <w:t>, postačí emailem kontaktní osobě,</w:t>
      </w:r>
      <w:r w:rsidRPr="0060154C">
        <w:rPr>
          <w:rFonts w:cs="Times New Roman"/>
        </w:rPr>
        <w:t xml:space="preserve"> existenci těchto vad zhotoviteli oznámit, přičemž zhotovitel je povinen písemně oznámené, tedy reklamované vady díla bezplatně odstranit</w:t>
      </w:r>
      <w:r w:rsidR="00FA6CCC">
        <w:rPr>
          <w:rFonts w:cs="Times New Roman"/>
        </w:rPr>
        <w:t>.</w:t>
      </w:r>
    </w:p>
    <w:p w:rsidR="00BF472E" w:rsidRPr="000C082E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C082E">
        <w:rPr>
          <w:rFonts w:cs="Times New Roman"/>
        </w:rPr>
        <w:t>V případě prodlení zhotovitele s odstraněním vad</w:t>
      </w:r>
      <w:r w:rsidR="00503EBE" w:rsidRPr="000C082E">
        <w:rPr>
          <w:rFonts w:cs="Times New Roman"/>
        </w:rPr>
        <w:t xml:space="preserve"> vytčených</w:t>
      </w:r>
      <w:r w:rsidR="00713149" w:rsidRPr="000C082E">
        <w:rPr>
          <w:rFonts w:cs="Times New Roman"/>
        </w:rPr>
        <w:t xml:space="preserve"> v akceptačním protokolu</w:t>
      </w:r>
      <w:r w:rsidRPr="000C082E">
        <w:rPr>
          <w:rFonts w:cs="Times New Roman"/>
        </w:rPr>
        <w:t>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:rsidR="00BF472E" w:rsidRPr="000C082E" w:rsidRDefault="00BF472E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0C082E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BF472E" w:rsidRPr="0060154C" w:rsidRDefault="00180CDB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 xml:space="preserve">hotovitel </w:t>
      </w:r>
      <w:r w:rsidR="00BF472E" w:rsidRPr="0060154C">
        <w:rPr>
          <w:rFonts w:cs="Times New Roman"/>
        </w:rPr>
        <w:t xml:space="preserve">je povinen na vlastní náklady učinit všechna opatření nezbytná </w:t>
      </w:r>
      <w:r w:rsidR="00BF472E" w:rsidRPr="0060154C">
        <w:rPr>
          <w:rFonts w:cs="Times New Roman"/>
        </w:rPr>
        <w:br/>
        <w:t>k odstranění právní vady předmětu smlouvy.  Zhotovitel nese veškeré náklady a hradí veškeré oprávněné nároky třetích osob.</w:t>
      </w:r>
    </w:p>
    <w:p w:rsidR="00BF472E" w:rsidRPr="0060154C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60154C" w:rsidRPr="0060154C" w:rsidRDefault="0060154C" w:rsidP="005A6059">
      <w:pPr>
        <w:pStyle w:val="Zkladntext2"/>
        <w:spacing w:line="276" w:lineRule="auto"/>
        <w:rPr>
          <w:rFonts w:cs="Times New Roman"/>
          <w:b/>
          <w:u w:val="single"/>
        </w:rPr>
      </w:pPr>
    </w:p>
    <w:p w:rsidR="00C84C0B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VIII</w:t>
      </w:r>
      <w:r w:rsidR="00C84C0B" w:rsidRPr="0060154C">
        <w:rPr>
          <w:rFonts w:cs="Times New Roman"/>
          <w:b/>
          <w:u w:val="single"/>
        </w:rPr>
        <w:t>. Smluvní pokuta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</w:t>
      </w:r>
      <w:r w:rsidR="004D3F16">
        <w:rPr>
          <w:rFonts w:cs="Times New Roman"/>
        </w:rPr>
        <w:t>rodlení s termínem předání díla</w:t>
      </w:r>
      <w:r w:rsidRPr="0060154C">
        <w:rPr>
          <w:rFonts w:cs="Times New Roman"/>
        </w:rPr>
        <w:t xml:space="preserve"> dle čl. </w:t>
      </w:r>
      <w:r w:rsidR="005030DF" w:rsidRPr="0060154C">
        <w:rPr>
          <w:rFonts w:cs="Times New Roman"/>
        </w:rPr>
        <w:t>III</w:t>
      </w:r>
      <w:r w:rsidRPr="0060154C">
        <w:rPr>
          <w:rFonts w:cs="Times New Roman"/>
        </w:rPr>
        <w:t xml:space="preserve"> této smlouvy zaplatí zhotovitel objednateli smluvní pokutu ve výši </w:t>
      </w:r>
      <w:r w:rsidR="00364BE1">
        <w:rPr>
          <w:rFonts w:cs="Times New Roman"/>
        </w:rPr>
        <w:t>1000</w:t>
      </w:r>
      <w:r w:rsidRPr="00BE2197">
        <w:rPr>
          <w:rFonts w:cs="Times New Roman"/>
        </w:rPr>
        <w:t>,-</w:t>
      </w:r>
      <w:r w:rsidRPr="0060154C">
        <w:rPr>
          <w:rFonts w:cs="Times New Roman"/>
        </w:rPr>
        <w:t xml:space="preserve"> Kč (slovy: </w:t>
      </w:r>
      <w:r w:rsidR="00364BE1">
        <w:rPr>
          <w:rFonts w:cs="Times New Roman"/>
        </w:rPr>
        <w:t xml:space="preserve">tisíc </w:t>
      </w:r>
      <w:r w:rsidRPr="0060154C">
        <w:rPr>
          <w:rFonts w:cs="Times New Roman"/>
        </w:rPr>
        <w:t>korun českých) za každý započatý den prodlení.</w:t>
      </w:r>
    </w:p>
    <w:p w:rsidR="005030DF" w:rsidRPr="00CC6D7B" w:rsidRDefault="005030DF" w:rsidP="00DA48FB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C082E">
        <w:rPr>
          <w:rFonts w:cs="Times New Roman"/>
          <w:iCs/>
        </w:rPr>
        <w:t>Z</w:t>
      </w:r>
      <w:r w:rsidR="009B2A9A" w:rsidRPr="000C082E">
        <w:rPr>
          <w:rFonts w:cs="Times New Roman"/>
          <w:iCs/>
        </w:rPr>
        <w:t xml:space="preserve">a každé jednotlivé porušení povinností uvedených v čl. </w:t>
      </w:r>
      <w:r w:rsidR="00DA48FB">
        <w:rPr>
          <w:rFonts w:cs="Times New Roman"/>
          <w:iCs/>
        </w:rPr>
        <w:t>I</w:t>
      </w:r>
      <w:r w:rsidRPr="000C082E">
        <w:rPr>
          <w:rFonts w:cs="Times New Roman"/>
          <w:iCs/>
        </w:rPr>
        <w:t>X</w:t>
      </w:r>
      <w:r w:rsidR="009B2A9A" w:rsidRPr="000C082E">
        <w:rPr>
          <w:rFonts w:cs="Times New Roman"/>
          <w:iCs/>
        </w:rPr>
        <w:t xml:space="preserve"> této smlouvy  týkajících se ochrany důvěrných informací a obchodního tajemství, je </w:t>
      </w:r>
      <w:r w:rsidR="0060154C" w:rsidRPr="000C082E">
        <w:rPr>
          <w:rFonts w:cs="Times New Roman"/>
          <w:iCs/>
        </w:rPr>
        <w:t>zhotovitel</w:t>
      </w:r>
      <w:r w:rsidR="009B2A9A" w:rsidRPr="000C082E">
        <w:rPr>
          <w:rFonts w:cs="Times New Roman"/>
          <w:iCs/>
        </w:rPr>
        <w:t xml:space="preserve"> povinen zaplatit objednateli smluvní pokutu ve výši 50.000,- Kč</w:t>
      </w:r>
      <w:r w:rsidRPr="000C082E">
        <w:rPr>
          <w:rFonts w:cs="Times New Roman"/>
          <w:iCs/>
        </w:rPr>
        <w:t>.</w:t>
      </w:r>
    </w:p>
    <w:p w:rsidR="00CC6D7B" w:rsidRPr="00CC6D7B" w:rsidRDefault="00CC6D7B" w:rsidP="00DA48FB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6D7B">
        <w:rPr>
          <w:rFonts w:cs="Times New Roman"/>
        </w:rPr>
        <w:t>Neodstraní-li zhotovitel vadu díla v záruční době do 14 dnů od zjištění vady a jejího oznámení zhotoviteli, zaplatí objednateli smluvní pokutu ve výši 1000,- Kč (slovy: tisíc korun českých) za každý den prodlení.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</w:t>
      </w:r>
      <w:r w:rsidRPr="000C082E">
        <w:rPr>
          <w:rFonts w:cs="Times New Roman"/>
        </w:rPr>
        <w:t>pokuty sjednané</w:t>
      </w:r>
      <w:r w:rsidRPr="0060154C">
        <w:rPr>
          <w:rFonts w:cs="Times New Roman"/>
        </w:rPr>
        <w:t xml:space="preserve"> dle  tohoto článku je splatná do 15 kalendářních dnů </w:t>
      </w:r>
      <w:r w:rsidRPr="0060154C">
        <w:rPr>
          <w:rFonts w:cs="Times New Roman"/>
        </w:rPr>
        <w:br/>
        <w:t>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Ustanovením tohoto článku o smluvní pokutě není dotčeno domáhat se práva </w:t>
      </w:r>
      <w:r w:rsidRPr="0060154C">
        <w:rPr>
          <w:rFonts w:cs="Times New Roman"/>
        </w:rPr>
        <w:br/>
        <w:t>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:rsidR="00C84C0B" w:rsidRPr="0060154C" w:rsidRDefault="00C84C0B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i/>
          <w:sz w:val="22"/>
          <w:highlight w:val="cyan"/>
          <w:u w:val="single"/>
        </w:rPr>
      </w:pPr>
    </w:p>
    <w:p w:rsidR="00883398" w:rsidRPr="0060154C" w:rsidRDefault="000C082E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7F30BA" w:rsidRPr="0060154C">
        <w:rPr>
          <w:rFonts w:cs="Times New Roman"/>
          <w:b/>
          <w:u w:val="single"/>
        </w:rPr>
        <w:t>X</w:t>
      </w:r>
      <w:r w:rsidR="00883398" w:rsidRPr="0060154C">
        <w:rPr>
          <w:rFonts w:cs="Times New Roman"/>
          <w:b/>
          <w:u w:val="single"/>
        </w:rPr>
        <w:t>. Ochrana důvěrných informací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5. 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:rsidR="00CC6D7B" w:rsidRDefault="00CC6D7B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X. Trvání a ukončení smlouvy</w:t>
      </w:r>
    </w:p>
    <w:p w:rsidR="000F439E" w:rsidRPr="0060154C" w:rsidRDefault="000F439E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Tato smlouva se uzavírá na dobu určitou, </w:t>
      </w:r>
      <w:r w:rsidR="000C082E" w:rsidRPr="0060154C">
        <w:rPr>
          <w:rFonts w:cs="Times New Roman"/>
        </w:rPr>
        <w:t>účinnosti nabývá dnem podpisu smlouvy</w:t>
      </w:r>
      <w:r w:rsidR="000C082E">
        <w:rPr>
          <w:rFonts w:cs="Times New Roman"/>
        </w:rPr>
        <w:t xml:space="preserve"> </w:t>
      </w:r>
      <w:r w:rsidR="000C082E" w:rsidRPr="0060154C">
        <w:rPr>
          <w:rFonts w:cs="Times New Roman"/>
        </w:rPr>
        <w:t xml:space="preserve">a končí </w:t>
      </w:r>
      <w:r w:rsidR="000C082E">
        <w:rPr>
          <w:rFonts w:cs="Times New Roman"/>
        </w:rPr>
        <w:t>splněním závazku vymezeném v čl. I této smlouvy.</w:t>
      </w:r>
    </w:p>
    <w:p w:rsidR="001D54B4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odstoupením od smlouvy.</w:t>
      </w:r>
    </w:p>
    <w:p w:rsidR="00581438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:rsidR="00581438" w:rsidRPr="0060154C" w:rsidRDefault="001D54B4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 xml:space="preserve">jejím uplynutím,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že vady neodstraní</w:t>
      </w:r>
      <w:r w:rsidR="00581438" w:rsidRPr="0060154C">
        <w:rPr>
          <w:rFonts w:cs="Times New Roman"/>
        </w:rPr>
        <w:t>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lastRenderedPageBreak/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:rsidR="001D54B4" w:rsidRPr="00DA4E01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vstoupí do likvidace.</w:t>
      </w:r>
    </w:p>
    <w:p w:rsidR="00DA4E01" w:rsidRPr="00CB63E4" w:rsidRDefault="00DA4E01" w:rsidP="00DA4E01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CB63E4">
        <w:rPr>
          <w:rFonts w:eastAsia="Calibri" w:cs="Times New Roman"/>
          <w:lang w:eastAsia="en-US"/>
        </w:rPr>
        <w:t>v případě, kdy bude plnění prováděno v rozporu s čl. V této smlouvy.</w:t>
      </w:r>
    </w:p>
    <w:p w:rsidR="00CC6D7B" w:rsidRDefault="00CC6D7B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0C082E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Ustanovení o doručování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3B6E46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objednatele je </w:t>
      </w:r>
      <w:r w:rsidR="00CC6D7B">
        <w:rPr>
          <w:rFonts w:cs="Times New Roman"/>
        </w:rPr>
        <w:t>Mgr. Jitka Kulhánková</w:t>
      </w:r>
      <w:r w:rsidR="003B6E46" w:rsidRPr="00BE2197">
        <w:rPr>
          <w:rFonts w:cs="Times New Roman"/>
        </w:rPr>
        <w:t xml:space="preserve">, tel. </w:t>
      </w:r>
      <w:r w:rsidR="00CC6D7B">
        <w:rPr>
          <w:rFonts w:cs="Times New Roman"/>
        </w:rPr>
        <w:t>236005670</w:t>
      </w:r>
      <w:r w:rsidR="003B6E46" w:rsidRPr="00BE2197">
        <w:rPr>
          <w:rFonts w:cs="Times New Roman"/>
        </w:rPr>
        <w:t xml:space="preserve">, e-mail: </w:t>
      </w:r>
      <w:r w:rsidR="00CB7F9E">
        <w:rPr>
          <w:rFonts w:cs="Times New Roman"/>
        </w:rPr>
        <w:t>xxxxxxxxxx</w:t>
      </w:r>
    </w:p>
    <w:p w:rsidR="001D54B4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r w:rsidR="00CB7F9E">
        <w:rPr>
          <w:rFonts w:cs="Times New Roman"/>
        </w:rPr>
        <w:t>xxxxxxxxxxxxxxxxxxxxxx</w:t>
      </w:r>
      <w:bookmarkStart w:id="0" w:name="_GoBack"/>
      <w:bookmarkEnd w:id="0"/>
    </w:p>
    <w:p w:rsidR="00D35ED0" w:rsidRDefault="00D35ED0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0C082E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XI</w:t>
      </w:r>
      <w:r w:rsidR="007F30BA" w:rsidRPr="0060154C">
        <w:rPr>
          <w:rFonts w:cs="Times New Roman"/>
          <w:b/>
          <w:u w:val="single"/>
        </w:rPr>
        <w:t>I</w:t>
      </w:r>
      <w:r w:rsidR="001D54B4" w:rsidRPr="0060154C">
        <w:rPr>
          <w:rFonts w:cs="Times New Roman"/>
          <w:b/>
          <w:u w:val="single"/>
        </w:rPr>
        <w:t>. Závěrečná ustanovení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3B6E46" w:rsidRPr="0060154C" w:rsidRDefault="0037586C" w:rsidP="0060154C">
      <w:pPr>
        <w:numPr>
          <w:ilvl w:val="0"/>
          <w:numId w:val="1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2768E" w:rsidRPr="0060154C" w:rsidRDefault="0092768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B63E4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CB63E4">
        <w:rPr>
          <w:rFonts w:cs="Times New Roman"/>
        </w:rPr>
        <w:t>u smluv).</w:t>
      </w:r>
      <w:r w:rsidRPr="00CB63E4">
        <w:rPr>
          <w:rFonts w:cs="Times New Roman"/>
        </w:rPr>
        <w:t xml:space="preserve"> </w:t>
      </w:r>
      <w:r w:rsidR="004A5D1C" w:rsidRPr="00CB63E4">
        <w:rPr>
          <w:rFonts w:cs="Times New Roman"/>
        </w:rPr>
        <w:t>Objednat</w:t>
      </w:r>
      <w:r w:rsidRPr="00CB63E4">
        <w:rPr>
          <w:rFonts w:cs="Times New Roman"/>
        </w:rPr>
        <w:t xml:space="preserve">el zajistí zveřejnění smlouvy zasláním správci registru smluv </w:t>
      </w:r>
      <w:r w:rsidRPr="00CB63E4">
        <w:rPr>
          <w:rFonts w:cs="Times New Roman"/>
        </w:rPr>
        <w:lastRenderedPageBreak/>
        <w:t>nejpozději ve lhůtě do 30 dnů od podpisu smlouvy oběma smluvními stranami</w:t>
      </w:r>
      <w:r w:rsidR="00F62790" w:rsidRPr="00CB63E4">
        <w:rPr>
          <w:rFonts w:cs="Times New Roman"/>
        </w:rPr>
        <w:t xml:space="preserve">. Zhotovitel obdrží potvrzení o uveřejnění v registru smluv automaticky vygenerované správcem registru smluv </w:t>
      </w:r>
      <w:r w:rsidR="00713149" w:rsidRPr="00CB63E4">
        <w:rPr>
          <w:rFonts w:cs="Times New Roman"/>
        </w:rPr>
        <w:br/>
      </w:r>
      <w:r w:rsidR="00F62790" w:rsidRPr="00CB63E4">
        <w:rPr>
          <w:rFonts w:cs="Times New Roman"/>
        </w:rPr>
        <w:t>do své datové schránky</w:t>
      </w:r>
      <w:r w:rsidRPr="00CB63E4">
        <w:rPr>
          <w:rFonts w:cs="Times New Roman"/>
        </w:rPr>
        <w:t>. Smluvní strany dále prohlašují, že  skutečnosti uvedené</w:t>
      </w:r>
      <w:r w:rsidRPr="0060154C">
        <w:rPr>
          <w:rFonts w:cs="Times New Roman"/>
        </w:rPr>
        <w:t xml:space="preserve"> v  této smlouvě nepovažují za obchodní tajemství ve smyslu ustanovení § 504 občanského zákoníku a udělují svolení k jejich užití a zveřejnění bez stanovení jakýchkoliv dalších podmínek.</w:t>
      </w:r>
    </w:p>
    <w:p w:rsidR="002C173E" w:rsidRPr="00CB63E4" w:rsidRDefault="002C173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B63E4">
        <w:rPr>
          <w:rFonts w:cs="Times New Roman"/>
        </w:rPr>
        <w:t>Objednatel uzavírá smlouvu v so</w:t>
      </w:r>
      <w:r w:rsidR="00C529C5" w:rsidRPr="00CB63E4">
        <w:rPr>
          <w:rFonts w:cs="Times New Roman"/>
        </w:rPr>
        <w:t>uladu s ustanovením § 27 odst. 6</w:t>
      </w:r>
      <w:r w:rsidRPr="00CB63E4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1D54B4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60154C">
        <w:rPr>
          <w:rFonts w:cs="Times New Roman"/>
          <w:u w:val="single"/>
        </w:rPr>
        <w:t xml:space="preserve">Přílohy: </w:t>
      </w:r>
    </w:p>
    <w:p w:rsidR="001D54B4" w:rsidRPr="00C5643B" w:rsidRDefault="001D54B4" w:rsidP="0060154C">
      <w:pPr>
        <w:spacing w:after="120" w:line="276" w:lineRule="auto"/>
        <w:ind w:hanging="284"/>
        <w:rPr>
          <w:rFonts w:cs="Times New Roman"/>
        </w:rPr>
      </w:pPr>
      <w:r w:rsidRPr="00C5643B">
        <w:rPr>
          <w:rFonts w:cs="Times New Roman"/>
        </w:rPr>
        <w:t xml:space="preserve">č. 1 </w:t>
      </w:r>
      <w:r w:rsidR="00CB63E4" w:rsidRPr="00C5643B">
        <w:rPr>
          <w:rFonts w:cs="Times New Roman"/>
        </w:rPr>
        <w:t xml:space="preserve">– </w:t>
      </w:r>
      <w:r w:rsidR="00C5643B" w:rsidRPr="00C5643B">
        <w:rPr>
          <w:shd w:val="clear" w:color="auto" w:fill="FFFFFF"/>
        </w:rPr>
        <w:t>Podrobná technická specifikace gastronomického zařízení</w:t>
      </w:r>
      <w:r w:rsidR="00CC6D7B">
        <w:rPr>
          <w:shd w:val="clear" w:color="auto" w:fill="FFFFFF"/>
        </w:rPr>
        <w:t xml:space="preserve"> a cena </w:t>
      </w:r>
    </w:p>
    <w:p w:rsidR="00CB63E4" w:rsidRPr="00C5643B" w:rsidRDefault="00CB63E4" w:rsidP="0060154C">
      <w:pPr>
        <w:spacing w:after="120" w:line="276" w:lineRule="auto"/>
        <w:ind w:hanging="284"/>
        <w:rPr>
          <w:rFonts w:cs="Times New Roman"/>
        </w:rPr>
      </w:pPr>
      <w:r w:rsidRPr="00C5643B">
        <w:rPr>
          <w:rFonts w:cs="Times New Roman"/>
        </w:rPr>
        <w:t xml:space="preserve">č. 2  - Výkresy </w:t>
      </w:r>
    </w:p>
    <w:p w:rsidR="00C5643B" w:rsidRPr="00C5643B" w:rsidRDefault="00C5643B" w:rsidP="0060154C">
      <w:pPr>
        <w:spacing w:after="120" w:line="276" w:lineRule="auto"/>
        <w:ind w:hanging="284"/>
        <w:rPr>
          <w:rFonts w:cs="Times New Roman"/>
        </w:rPr>
      </w:pPr>
      <w:r w:rsidRPr="00C5643B">
        <w:rPr>
          <w:rFonts w:cs="Times New Roman"/>
        </w:rPr>
        <w:t>č. 3 – Projektová dokumentace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 xml:space="preserve">č. </w:t>
      </w:r>
      <w:r w:rsidR="00C5643B">
        <w:rPr>
          <w:rFonts w:cs="Times New Roman"/>
        </w:rPr>
        <w:t>4</w:t>
      </w:r>
      <w:r w:rsidRPr="0060154C">
        <w:rPr>
          <w:rFonts w:cs="Times New Roman"/>
        </w:rPr>
        <w:t xml:space="preserve"> –</w:t>
      </w:r>
      <w:r w:rsidR="005420F9">
        <w:rPr>
          <w:rFonts w:cs="Times New Roman"/>
        </w:rPr>
        <w:t xml:space="preserve"> Vzor</w:t>
      </w:r>
      <w:r w:rsidRPr="0060154C">
        <w:rPr>
          <w:rFonts w:cs="Times New Roman"/>
        </w:rPr>
        <w:t xml:space="preserve"> </w:t>
      </w:r>
      <w:r w:rsidR="005420F9">
        <w:rPr>
          <w:rFonts w:cs="Times New Roman"/>
        </w:rPr>
        <w:t>a</w:t>
      </w:r>
      <w:r w:rsidR="005420F9" w:rsidRPr="0060154C">
        <w:rPr>
          <w:rFonts w:cs="Times New Roman"/>
        </w:rPr>
        <w:t>kceptační</w:t>
      </w:r>
      <w:r w:rsidR="005420F9">
        <w:rPr>
          <w:rFonts w:cs="Times New Roman"/>
        </w:rPr>
        <w:t>ho</w:t>
      </w:r>
      <w:r w:rsidR="005420F9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protokol</w:t>
      </w:r>
      <w:r w:rsidR="005420F9">
        <w:rPr>
          <w:rFonts w:cs="Times New Roman"/>
        </w:rPr>
        <w:t>u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Pr="0060154C">
        <w:rPr>
          <w:rFonts w:cs="Times New Roman"/>
        </w:rPr>
        <w:t xml:space="preserve">V </w:t>
      </w:r>
      <w:r w:rsidR="00D35ED0">
        <w:rPr>
          <w:rFonts w:cs="Times New Roman"/>
        </w:rPr>
        <w:t>Chotěboři</w:t>
      </w:r>
      <w:r w:rsidRPr="0060154C">
        <w:rPr>
          <w:rFonts w:cs="Times New Roman"/>
        </w:rPr>
        <w:t xml:space="preserve"> dne ……………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rPr>
          <w:rFonts w:cs="Times New Roman"/>
        </w:rPr>
      </w:pPr>
    </w:p>
    <w:p w:rsidR="001D54B4" w:rsidRPr="00BE2197" w:rsidRDefault="001D54B4" w:rsidP="0060154C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:rsidR="0060154C" w:rsidRPr="00BE2197" w:rsidRDefault="00CB63E4" w:rsidP="0060154C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Mgr. Ondřej Boháč</w:t>
      </w:r>
      <w:r w:rsidR="001D54B4" w:rsidRPr="00BE2197">
        <w:rPr>
          <w:rFonts w:cs="Times New Roman"/>
        </w:rPr>
        <w:t>,</w:t>
      </w:r>
      <w:r w:rsidR="001D54B4" w:rsidRPr="00BE2197">
        <w:rPr>
          <w:rFonts w:cs="Times New Roman"/>
        </w:rPr>
        <w:tab/>
      </w:r>
      <w:r w:rsidR="001D54B4" w:rsidRPr="00BE2197">
        <w:rPr>
          <w:rFonts w:cs="Times New Roman"/>
        </w:rPr>
        <w:tab/>
        <w:t xml:space="preserve">         </w:t>
      </w:r>
      <w:r w:rsidR="001D54B4"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D35ED0">
        <w:rPr>
          <w:rFonts w:cs="Times New Roman"/>
        </w:rPr>
        <w:t>Josef Sobotka</w:t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</w:p>
    <w:p w:rsidR="00631198" w:rsidRPr="0060154C" w:rsidRDefault="00264961" w:rsidP="0060154C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Ř</w:t>
      </w:r>
      <w:r w:rsidR="001D54B4" w:rsidRPr="00BE2197">
        <w:rPr>
          <w:rFonts w:cs="Times New Roman"/>
        </w:rPr>
        <w:t>editel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35ED0">
        <w:rPr>
          <w:rFonts w:cs="Times New Roman"/>
        </w:rPr>
        <w:t>jednatel</w:t>
      </w:r>
    </w:p>
    <w:sectPr w:rsidR="00631198" w:rsidRPr="006015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9C" w:rsidRDefault="00BE059C">
      <w:r>
        <w:separator/>
      </w:r>
    </w:p>
  </w:endnote>
  <w:endnote w:type="continuationSeparator" w:id="0">
    <w:p w:rsidR="00BE059C" w:rsidRDefault="00B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B7F9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B7F9E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9C" w:rsidRDefault="00BE059C">
      <w:r>
        <w:separator/>
      </w:r>
    </w:p>
  </w:footnote>
  <w:footnote w:type="continuationSeparator" w:id="0">
    <w:p w:rsidR="00BE059C" w:rsidRDefault="00BE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D35ED0">
      <w:rPr>
        <w:sz w:val="22"/>
      </w:rPr>
      <w:t>17-0095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47"/>
  </w:num>
  <w:num w:numId="5">
    <w:abstractNumId w:val="33"/>
  </w:num>
  <w:num w:numId="6">
    <w:abstractNumId w:val="31"/>
  </w:num>
  <w:num w:numId="7">
    <w:abstractNumId w:val="49"/>
  </w:num>
  <w:num w:numId="8">
    <w:abstractNumId w:val="51"/>
  </w:num>
  <w:num w:numId="9">
    <w:abstractNumId w:val="24"/>
  </w:num>
  <w:num w:numId="10">
    <w:abstractNumId w:val="34"/>
  </w:num>
  <w:num w:numId="11">
    <w:abstractNumId w:val="21"/>
  </w:num>
  <w:num w:numId="12">
    <w:abstractNumId w:val="48"/>
  </w:num>
  <w:num w:numId="13">
    <w:abstractNumId w:val="32"/>
  </w:num>
  <w:num w:numId="14">
    <w:abstractNumId w:val="43"/>
  </w:num>
  <w:num w:numId="15">
    <w:abstractNumId w:val="2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7"/>
  </w:num>
  <w:num w:numId="19">
    <w:abstractNumId w:val="20"/>
  </w:num>
  <w:num w:numId="20">
    <w:abstractNumId w:val="40"/>
  </w:num>
  <w:num w:numId="21">
    <w:abstractNumId w:val="26"/>
  </w:num>
  <w:num w:numId="22">
    <w:abstractNumId w:val="23"/>
  </w:num>
  <w:num w:numId="23">
    <w:abstractNumId w:val="44"/>
  </w:num>
  <w:num w:numId="24">
    <w:abstractNumId w:val="38"/>
  </w:num>
  <w:num w:numId="25">
    <w:abstractNumId w:val="45"/>
  </w:num>
  <w:num w:numId="26">
    <w:abstractNumId w:val="29"/>
  </w:num>
  <w:num w:numId="27">
    <w:abstractNumId w:val="50"/>
  </w:num>
  <w:num w:numId="28">
    <w:abstractNumId w:val="37"/>
  </w:num>
  <w:num w:numId="29">
    <w:abstractNumId w:val="30"/>
  </w:num>
  <w:num w:numId="30">
    <w:abstractNumId w:val="39"/>
  </w:num>
  <w:num w:numId="31">
    <w:abstractNumId w:val="42"/>
  </w:num>
  <w:num w:numId="32">
    <w:abstractNumId w:val="35"/>
  </w:num>
  <w:num w:numId="33">
    <w:abstractNumId w:val="25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4B8"/>
    <w:rsid w:val="00033DCA"/>
    <w:rsid w:val="00043028"/>
    <w:rsid w:val="000840F8"/>
    <w:rsid w:val="0009238A"/>
    <w:rsid w:val="000C082E"/>
    <w:rsid w:val="000D58FD"/>
    <w:rsid w:val="000E19BD"/>
    <w:rsid w:val="000E7CD4"/>
    <w:rsid w:val="000F439E"/>
    <w:rsid w:val="000F71C7"/>
    <w:rsid w:val="00127B5C"/>
    <w:rsid w:val="00133367"/>
    <w:rsid w:val="001423F0"/>
    <w:rsid w:val="00150A9D"/>
    <w:rsid w:val="00162DBA"/>
    <w:rsid w:val="0016457C"/>
    <w:rsid w:val="00173A25"/>
    <w:rsid w:val="00180CDB"/>
    <w:rsid w:val="00190A55"/>
    <w:rsid w:val="001A4B2B"/>
    <w:rsid w:val="001D54B4"/>
    <w:rsid w:val="002234EC"/>
    <w:rsid w:val="002263BD"/>
    <w:rsid w:val="002440B2"/>
    <w:rsid w:val="002442B7"/>
    <w:rsid w:val="00253B68"/>
    <w:rsid w:val="00264961"/>
    <w:rsid w:val="002667F0"/>
    <w:rsid w:val="00281EE1"/>
    <w:rsid w:val="00283F23"/>
    <w:rsid w:val="002A1B71"/>
    <w:rsid w:val="002C0981"/>
    <w:rsid w:val="002C173E"/>
    <w:rsid w:val="002D2B5D"/>
    <w:rsid w:val="002D6746"/>
    <w:rsid w:val="002E6AD1"/>
    <w:rsid w:val="002F69D5"/>
    <w:rsid w:val="00302A21"/>
    <w:rsid w:val="0030359E"/>
    <w:rsid w:val="0031420E"/>
    <w:rsid w:val="00347907"/>
    <w:rsid w:val="00360039"/>
    <w:rsid w:val="00364BE1"/>
    <w:rsid w:val="0037586C"/>
    <w:rsid w:val="0038330D"/>
    <w:rsid w:val="003940F2"/>
    <w:rsid w:val="003B6E46"/>
    <w:rsid w:val="003B7D8F"/>
    <w:rsid w:val="003E0388"/>
    <w:rsid w:val="003F6D6A"/>
    <w:rsid w:val="0041139D"/>
    <w:rsid w:val="00483B1F"/>
    <w:rsid w:val="004A5D1C"/>
    <w:rsid w:val="004D3F16"/>
    <w:rsid w:val="004E197D"/>
    <w:rsid w:val="004F7C72"/>
    <w:rsid w:val="00502231"/>
    <w:rsid w:val="005030DF"/>
    <w:rsid w:val="00503EBE"/>
    <w:rsid w:val="00520434"/>
    <w:rsid w:val="00522DAD"/>
    <w:rsid w:val="00531CFB"/>
    <w:rsid w:val="005420F9"/>
    <w:rsid w:val="00552BAD"/>
    <w:rsid w:val="00552E17"/>
    <w:rsid w:val="0056225B"/>
    <w:rsid w:val="00581438"/>
    <w:rsid w:val="005818CC"/>
    <w:rsid w:val="005A6059"/>
    <w:rsid w:val="005B3195"/>
    <w:rsid w:val="005B3A40"/>
    <w:rsid w:val="005B7770"/>
    <w:rsid w:val="005C754A"/>
    <w:rsid w:val="0060154C"/>
    <w:rsid w:val="00603B91"/>
    <w:rsid w:val="00631198"/>
    <w:rsid w:val="00651395"/>
    <w:rsid w:val="0067120C"/>
    <w:rsid w:val="00677C35"/>
    <w:rsid w:val="006B1D27"/>
    <w:rsid w:val="006E3D1A"/>
    <w:rsid w:val="006F12D4"/>
    <w:rsid w:val="00700E30"/>
    <w:rsid w:val="00713149"/>
    <w:rsid w:val="00735E37"/>
    <w:rsid w:val="00740905"/>
    <w:rsid w:val="00754C9B"/>
    <w:rsid w:val="00770489"/>
    <w:rsid w:val="007751A9"/>
    <w:rsid w:val="00775F16"/>
    <w:rsid w:val="007B3CC0"/>
    <w:rsid w:val="007B3DB3"/>
    <w:rsid w:val="007C1397"/>
    <w:rsid w:val="007C5CDF"/>
    <w:rsid w:val="007D31B3"/>
    <w:rsid w:val="007D7B86"/>
    <w:rsid w:val="007E0EB3"/>
    <w:rsid w:val="007E736D"/>
    <w:rsid w:val="007F30BA"/>
    <w:rsid w:val="00802025"/>
    <w:rsid w:val="008054E1"/>
    <w:rsid w:val="0081750C"/>
    <w:rsid w:val="00822F7E"/>
    <w:rsid w:val="00823114"/>
    <w:rsid w:val="00860755"/>
    <w:rsid w:val="00877083"/>
    <w:rsid w:val="00883398"/>
    <w:rsid w:val="00890F78"/>
    <w:rsid w:val="00895D6C"/>
    <w:rsid w:val="008B112F"/>
    <w:rsid w:val="008C0423"/>
    <w:rsid w:val="008D7BC0"/>
    <w:rsid w:val="008F0C54"/>
    <w:rsid w:val="008F0F3B"/>
    <w:rsid w:val="009031EB"/>
    <w:rsid w:val="0092768E"/>
    <w:rsid w:val="0093217E"/>
    <w:rsid w:val="009572F4"/>
    <w:rsid w:val="0097291D"/>
    <w:rsid w:val="00974B02"/>
    <w:rsid w:val="009918E8"/>
    <w:rsid w:val="009B2A9A"/>
    <w:rsid w:val="009B5D97"/>
    <w:rsid w:val="009B60DD"/>
    <w:rsid w:val="009D40D5"/>
    <w:rsid w:val="009F3C46"/>
    <w:rsid w:val="009F6503"/>
    <w:rsid w:val="00A04ABD"/>
    <w:rsid w:val="00A5143A"/>
    <w:rsid w:val="00A94B18"/>
    <w:rsid w:val="00AB2247"/>
    <w:rsid w:val="00AB24EA"/>
    <w:rsid w:val="00AD68DF"/>
    <w:rsid w:val="00AF0A11"/>
    <w:rsid w:val="00B0160D"/>
    <w:rsid w:val="00B16EA8"/>
    <w:rsid w:val="00B32A66"/>
    <w:rsid w:val="00B36174"/>
    <w:rsid w:val="00B433EB"/>
    <w:rsid w:val="00B43F3B"/>
    <w:rsid w:val="00B44A86"/>
    <w:rsid w:val="00B541D8"/>
    <w:rsid w:val="00B914A9"/>
    <w:rsid w:val="00B95361"/>
    <w:rsid w:val="00BA3263"/>
    <w:rsid w:val="00BA69CF"/>
    <w:rsid w:val="00BB5233"/>
    <w:rsid w:val="00BD6904"/>
    <w:rsid w:val="00BD7897"/>
    <w:rsid w:val="00BE059C"/>
    <w:rsid w:val="00BE2197"/>
    <w:rsid w:val="00BE6807"/>
    <w:rsid w:val="00BE7E88"/>
    <w:rsid w:val="00BF2C3F"/>
    <w:rsid w:val="00BF472E"/>
    <w:rsid w:val="00C02878"/>
    <w:rsid w:val="00C14350"/>
    <w:rsid w:val="00C22C35"/>
    <w:rsid w:val="00C529C5"/>
    <w:rsid w:val="00C529D5"/>
    <w:rsid w:val="00C5643B"/>
    <w:rsid w:val="00C6394F"/>
    <w:rsid w:val="00C64888"/>
    <w:rsid w:val="00C84C0B"/>
    <w:rsid w:val="00CA08E1"/>
    <w:rsid w:val="00CA3A54"/>
    <w:rsid w:val="00CA3B91"/>
    <w:rsid w:val="00CA6CE4"/>
    <w:rsid w:val="00CB3F5F"/>
    <w:rsid w:val="00CB63E4"/>
    <w:rsid w:val="00CB7F9E"/>
    <w:rsid w:val="00CC0ACD"/>
    <w:rsid w:val="00CC1EAF"/>
    <w:rsid w:val="00CC4E18"/>
    <w:rsid w:val="00CC6D7B"/>
    <w:rsid w:val="00CD2A02"/>
    <w:rsid w:val="00CE0024"/>
    <w:rsid w:val="00CE6AD3"/>
    <w:rsid w:val="00CE703C"/>
    <w:rsid w:val="00CF4378"/>
    <w:rsid w:val="00D00A49"/>
    <w:rsid w:val="00D044BC"/>
    <w:rsid w:val="00D1144A"/>
    <w:rsid w:val="00D255D6"/>
    <w:rsid w:val="00D353D9"/>
    <w:rsid w:val="00D35ED0"/>
    <w:rsid w:val="00D37798"/>
    <w:rsid w:val="00D55625"/>
    <w:rsid w:val="00D81FE6"/>
    <w:rsid w:val="00D92668"/>
    <w:rsid w:val="00DA48FB"/>
    <w:rsid w:val="00DA4E01"/>
    <w:rsid w:val="00DA6E4E"/>
    <w:rsid w:val="00DA6F4E"/>
    <w:rsid w:val="00DB0698"/>
    <w:rsid w:val="00DB5EA5"/>
    <w:rsid w:val="00DE3B26"/>
    <w:rsid w:val="00E16D0E"/>
    <w:rsid w:val="00E56F6F"/>
    <w:rsid w:val="00E6571B"/>
    <w:rsid w:val="00E90682"/>
    <w:rsid w:val="00EA430A"/>
    <w:rsid w:val="00EC43A6"/>
    <w:rsid w:val="00ED2987"/>
    <w:rsid w:val="00EE0C09"/>
    <w:rsid w:val="00EE138B"/>
    <w:rsid w:val="00EE3BB6"/>
    <w:rsid w:val="00EF5181"/>
    <w:rsid w:val="00EF70E1"/>
    <w:rsid w:val="00F0129B"/>
    <w:rsid w:val="00F07B19"/>
    <w:rsid w:val="00F07CB6"/>
    <w:rsid w:val="00F21CE0"/>
    <w:rsid w:val="00F2559D"/>
    <w:rsid w:val="00F46574"/>
    <w:rsid w:val="00F62790"/>
    <w:rsid w:val="00F63739"/>
    <w:rsid w:val="00F758E8"/>
    <w:rsid w:val="00FA6CCC"/>
    <w:rsid w:val="00FC4E66"/>
    <w:rsid w:val="00FD3D6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6E5B38-52AC-4D06-9962-9B5A065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">
    <w:name w:val="No Spacing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876F8-AB09-4D11-8760-5246791DD96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87717E-D365-4D77-BEC5-88DD377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16397</CharactersWithSpaces>
  <SharedDoc>false</SharedDoc>
  <HLinks>
    <vt:vector size="6" baseType="variant"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(IPR/KRA)</cp:lastModifiedBy>
  <cp:revision>2</cp:revision>
  <cp:lastPrinted>2017-06-14T11:39:00Z</cp:lastPrinted>
  <dcterms:created xsi:type="dcterms:W3CDTF">2017-06-28T12:56:00Z</dcterms:created>
  <dcterms:modified xsi:type="dcterms:W3CDTF">2017-06-28T12:56:00Z</dcterms:modified>
</cp:coreProperties>
</file>