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98BD" w14:textId="77777777" w:rsidR="007801FB" w:rsidRDefault="00A52BC2">
      <w:pPr>
        <w:pStyle w:val="Nadpis1"/>
        <w:spacing w:after="240"/>
        <w:rPr>
          <w:sz w:val="22"/>
          <w:szCs w:val="22"/>
        </w:rPr>
      </w:pPr>
      <w:r>
        <w:t xml:space="preserve">Dodatek č. </w:t>
      </w:r>
      <w:r>
        <w:rPr>
          <w:szCs w:val="28"/>
        </w:rPr>
        <w:t>54</w:t>
      </w:r>
    </w:p>
    <w:p w14:paraId="08608625" w14:textId="77777777" w:rsidR="007801FB" w:rsidRDefault="00A52BC2">
      <w:pPr>
        <w:pStyle w:val="Zkladntext"/>
        <w:rPr>
          <w:rFonts w:cs="Arial"/>
          <w:sz w:val="20"/>
        </w:rPr>
      </w:pPr>
      <w:r>
        <w:rPr>
          <w:rFonts w:cs="Arial"/>
          <w:sz w:val="20"/>
        </w:rPr>
        <w:t>ke smlouvě o užívání kolektorů a technických chodeb k uložení vedení technického vybavení uživatele a o poskytování služeb s tím souvisejících ze dne 2. 2 1998, ve znění dodatku č. 1 až dodatku č. 53 (dále jen “</w:t>
      </w:r>
      <w:r>
        <w:rPr>
          <w:rFonts w:cs="Arial"/>
          <w:b/>
          <w:bCs/>
          <w:sz w:val="20"/>
        </w:rPr>
        <w:t>Smlouva</w:t>
      </w:r>
      <w:r>
        <w:rPr>
          <w:rFonts w:cs="Arial"/>
          <w:sz w:val="20"/>
        </w:rPr>
        <w:t>“)</w:t>
      </w:r>
    </w:p>
    <w:p w14:paraId="7A06FA1A" w14:textId="77777777" w:rsidR="007801FB" w:rsidRDefault="007801FB">
      <w:pPr>
        <w:pStyle w:val="Zkladntext"/>
        <w:rPr>
          <w:rFonts w:cs="Arial"/>
          <w:b/>
          <w:bCs/>
          <w:sz w:val="20"/>
        </w:rPr>
      </w:pPr>
    </w:p>
    <w:p w14:paraId="78B5AE47" w14:textId="77777777" w:rsidR="007801FB" w:rsidRDefault="007801FB">
      <w:pPr>
        <w:tabs>
          <w:tab w:val="left" w:pos="1701"/>
        </w:tabs>
        <w:jc w:val="both"/>
        <w:rPr>
          <w:rFonts w:ascii="Arial" w:hAnsi="Arial" w:cs="Arial"/>
          <w:b/>
          <w:bCs/>
          <w:sz w:val="20"/>
        </w:rPr>
      </w:pPr>
    </w:p>
    <w:p w14:paraId="6CEBDD4A" w14:textId="77777777" w:rsidR="007801FB" w:rsidRDefault="00A52BC2">
      <w:pPr>
        <w:tabs>
          <w:tab w:val="left" w:pos="1701"/>
        </w:tabs>
        <w:jc w:val="both"/>
        <w:rPr>
          <w:rFonts w:ascii="Arial" w:hAnsi="Arial" w:cs="Arial"/>
          <w:b/>
          <w:bCs/>
          <w:sz w:val="20"/>
        </w:rPr>
      </w:pPr>
      <w:r>
        <w:rPr>
          <w:rFonts w:ascii="Arial" w:hAnsi="Arial" w:cs="Arial"/>
          <w:b/>
          <w:bCs/>
          <w:sz w:val="20"/>
        </w:rPr>
        <w:t>Kolektory Praha, a.s.</w:t>
      </w:r>
    </w:p>
    <w:p w14:paraId="2F9557B2" w14:textId="77777777" w:rsidR="007801FB" w:rsidRDefault="00A52BC2">
      <w:pPr>
        <w:tabs>
          <w:tab w:val="left" w:pos="1701"/>
        </w:tabs>
        <w:jc w:val="both"/>
        <w:rPr>
          <w:rFonts w:ascii="Arial" w:hAnsi="Arial" w:cs="Arial"/>
          <w:sz w:val="20"/>
        </w:rPr>
      </w:pPr>
      <w:r>
        <w:rPr>
          <w:rFonts w:ascii="Arial" w:hAnsi="Arial" w:cs="Arial"/>
          <w:sz w:val="20"/>
        </w:rPr>
        <w:t>se sídlem Pešlova 341/3, Vysočany, 190 00 Praha 9</w:t>
      </w:r>
    </w:p>
    <w:p w14:paraId="0F520C3A" w14:textId="77777777" w:rsidR="007801FB" w:rsidRDefault="00A52BC2">
      <w:pPr>
        <w:tabs>
          <w:tab w:val="left" w:pos="1701"/>
        </w:tabs>
        <w:jc w:val="both"/>
        <w:rPr>
          <w:rFonts w:ascii="Arial" w:hAnsi="Arial" w:cs="Arial"/>
          <w:sz w:val="20"/>
        </w:rPr>
      </w:pPr>
      <w:r>
        <w:rPr>
          <w:rFonts w:ascii="Arial" w:hAnsi="Arial" w:cs="Arial"/>
          <w:bCs/>
          <w:sz w:val="20"/>
        </w:rPr>
        <w:t xml:space="preserve">zapsaná v obchodním rejstříku vedeném Městským soudem v Praze pod sp. zn. B7813 </w:t>
      </w:r>
    </w:p>
    <w:p w14:paraId="59ABC843" w14:textId="77777777" w:rsidR="007801FB" w:rsidRDefault="00A52BC2">
      <w:pPr>
        <w:tabs>
          <w:tab w:val="left" w:pos="1701"/>
        </w:tabs>
        <w:jc w:val="both"/>
        <w:rPr>
          <w:rFonts w:ascii="Arial" w:hAnsi="Arial" w:cs="Arial"/>
          <w:sz w:val="20"/>
        </w:rPr>
      </w:pPr>
      <w:r>
        <w:rPr>
          <w:rFonts w:ascii="Arial" w:hAnsi="Arial" w:cs="Arial"/>
          <w:sz w:val="20"/>
        </w:rPr>
        <w:t>IČO:26714124</w:t>
      </w:r>
    </w:p>
    <w:p w14:paraId="2E2E9F36" w14:textId="77777777" w:rsidR="007801FB" w:rsidRDefault="00A52BC2">
      <w:pPr>
        <w:tabs>
          <w:tab w:val="left" w:pos="1701"/>
        </w:tabs>
        <w:jc w:val="both"/>
        <w:rPr>
          <w:rFonts w:ascii="Arial" w:hAnsi="Arial" w:cs="Arial"/>
          <w:sz w:val="20"/>
        </w:rPr>
      </w:pPr>
      <w:r>
        <w:rPr>
          <w:rFonts w:ascii="Arial" w:hAnsi="Arial" w:cs="Arial"/>
          <w:sz w:val="20"/>
        </w:rPr>
        <w:t>DIČ:CZ26714124</w:t>
      </w:r>
    </w:p>
    <w:p w14:paraId="4D9EB189" w14:textId="77777777" w:rsidR="007801FB" w:rsidRDefault="00A52BC2">
      <w:pPr>
        <w:tabs>
          <w:tab w:val="left" w:pos="1701"/>
        </w:tabs>
        <w:jc w:val="both"/>
        <w:rPr>
          <w:rFonts w:ascii="Arial" w:hAnsi="Arial" w:cs="Arial"/>
          <w:sz w:val="20"/>
        </w:rPr>
      </w:pPr>
      <w:r>
        <w:rPr>
          <w:rFonts w:ascii="Arial" w:hAnsi="Arial" w:cs="Arial"/>
          <w:sz w:val="20"/>
        </w:rPr>
        <w:t>zastoupená Ing. Petrem Švecem, předsedou představenstva a Mgr. Janem Vidímem, místopředsedou představenstva</w:t>
      </w:r>
    </w:p>
    <w:p w14:paraId="5C0DA338" w14:textId="77777777" w:rsidR="007801FB" w:rsidRDefault="00A52BC2">
      <w:pPr>
        <w:tabs>
          <w:tab w:val="left" w:pos="1701"/>
        </w:tabs>
        <w:jc w:val="both"/>
        <w:rPr>
          <w:rFonts w:ascii="Arial" w:hAnsi="Arial" w:cs="Arial"/>
          <w:i/>
          <w:sz w:val="20"/>
        </w:rPr>
      </w:pPr>
      <w:r>
        <w:rPr>
          <w:rFonts w:ascii="Arial" w:hAnsi="Arial" w:cs="Arial"/>
          <w:sz w:val="20"/>
        </w:rPr>
        <w:t>(dále jen „</w:t>
      </w:r>
      <w:r>
        <w:rPr>
          <w:rFonts w:ascii="Arial" w:hAnsi="Arial" w:cs="Arial"/>
          <w:b/>
          <w:sz w:val="20"/>
        </w:rPr>
        <w:t>Správce“</w:t>
      </w:r>
      <w:r w:rsidRPr="00A52BC2">
        <w:rPr>
          <w:rFonts w:ascii="Arial" w:hAnsi="Arial" w:cs="Arial"/>
          <w:iCs/>
          <w:sz w:val="20"/>
        </w:rPr>
        <w:t>)</w:t>
      </w:r>
    </w:p>
    <w:p w14:paraId="123B7C01" w14:textId="77777777" w:rsidR="007801FB" w:rsidRDefault="007801FB">
      <w:pPr>
        <w:tabs>
          <w:tab w:val="left" w:pos="1701"/>
        </w:tabs>
        <w:jc w:val="both"/>
        <w:rPr>
          <w:rFonts w:ascii="Arial" w:hAnsi="Arial" w:cs="Arial"/>
          <w:i/>
          <w:sz w:val="20"/>
        </w:rPr>
      </w:pPr>
    </w:p>
    <w:p w14:paraId="0F10F1FB" w14:textId="77777777" w:rsidR="007801FB" w:rsidRDefault="00A52BC2">
      <w:pPr>
        <w:tabs>
          <w:tab w:val="left" w:pos="1701"/>
        </w:tabs>
        <w:spacing w:before="120" w:after="120"/>
        <w:jc w:val="both"/>
        <w:rPr>
          <w:rFonts w:ascii="Arial" w:hAnsi="Arial" w:cs="Arial"/>
          <w:sz w:val="20"/>
        </w:rPr>
      </w:pPr>
      <w:r>
        <w:rPr>
          <w:rFonts w:ascii="Arial" w:hAnsi="Arial" w:cs="Arial"/>
          <w:sz w:val="20"/>
        </w:rPr>
        <w:t>a</w:t>
      </w:r>
    </w:p>
    <w:p w14:paraId="181FE5D4" w14:textId="77777777" w:rsidR="007801FB" w:rsidRDefault="007801FB">
      <w:pPr>
        <w:tabs>
          <w:tab w:val="left" w:pos="1701"/>
        </w:tabs>
        <w:spacing w:before="120" w:after="120"/>
        <w:jc w:val="both"/>
        <w:rPr>
          <w:rFonts w:ascii="Arial" w:hAnsi="Arial" w:cs="Arial"/>
          <w:sz w:val="20"/>
        </w:rPr>
      </w:pPr>
    </w:p>
    <w:p w14:paraId="1AC0BFF9" w14:textId="77777777" w:rsidR="007801FB" w:rsidRDefault="00A52BC2">
      <w:pPr>
        <w:tabs>
          <w:tab w:val="left" w:pos="1701"/>
        </w:tabs>
        <w:rPr>
          <w:rFonts w:ascii="Arial" w:hAnsi="Arial" w:cs="Arial"/>
          <w:b/>
          <w:sz w:val="20"/>
        </w:rPr>
      </w:pPr>
      <w:r>
        <w:rPr>
          <w:rFonts w:ascii="Arial" w:hAnsi="Arial" w:cs="Arial"/>
          <w:b/>
          <w:sz w:val="20"/>
        </w:rPr>
        <w:t>CETIN a.s.</w:t>
      </w:r>
    </w:p>
    <w:p w14:paraId="6F9171A5" w14:textId="77777777" w:rsidR="007801FB" w:rsidRDefault="00A52BC2">
      <w:pPr>
        <w:tabs>
          <w:tab w:val="left" w:pos="1701"/>
        </w:tabs>
        <w:rPr>
          <w:rFonts w:ascii="Arial" w:hAnsi="Arial" w:cs="Arial"/>
          <w:sz w:val="20"/>
        </w:rPr>
      </w:pPr>
      <w:bookmarkStart w:id="0" w:name="_Hlk1737791"/>
      <w:r>
        <w:rPr>
          <w:rFonts w:ascii="Arial" w:hAnsi="Arial" w:cs="Arial"/>
          <w:sz w:val="20"/>
        </w:rPr>
        <w:t>se sídlem Českomoravská 2510/19, Libeň, 190 00 Praha 9</w:t>
      </w:r>
      <w:bookmarkStart w:id="1" w:name="_Hlk47680478"/>
      <w:bookmarkStart w:id="2" w:name="_Hlk39905225"/>
      <w:bookmarkEnd w:id="1"/>
      <w:bookmarkEnd w:id="2"/>
    </w:p>
    <w:p w14:paraId="39C1BE01" w14:textId="77777777" w:rsidR="007801FB" w:rsidRDefault="00A52BC2">
      <w:pPr>
        <w:tabs>
          <w:tab w:val="left" w:pos="1701"/>
        </w:tabs>
        <w:rPr>
          <w:rFonts w:ascii="Arial" w:hAnsi="Arial" w:cs="Arial"/>
          <w:bCs/>
          <w:sz w:val="20"/>
        </w:rPr>
      </w:pPr>
      <w:r>
        <w:rPr>
          <w:rFonts w:ascii="Arial" w:hAnsi="Arial" w:cs="Arial"/>
          <w:bCs/>
          <w:sz w:val="20"/>
        </w:rPr>
        <w:t>zapsaná v obchodním rejstříku vedeném Městským soudem v Praze pod sp. zn. B 20623</w:t>
      </w:r>
    </w:p>
    <w:p w14:paraId="58A2F7F7" w14:textId="77777777" w:rsidR="007801FB" w:rsidRDefault="00A52BC2">
      <w:pPr>
        <w:tabs>
          <w:tab w:val="left" w:pos="1701"/>
        </w:tabs>
        <w:rPr>
          <w:rFonts w:ascii="Arial" w:hAnsi="Arial" w:cs="Arial"/>
          <w:sz w:val="20"/>
        </w:rPr>
      </w:pPr>
      <w:r>
        <w:rPr>
          <w:rFonts w:ascii="Arial" w:hAnsi="Arial" w:cs="Arial"/>
          <w:sz w:val="20"/>
        </w:rPr>
        <w:t>IČO: 04084063</w:t>
      </w:r>
    </w:p>
    <w:p w14:paraId="7F0FA321" w14:textId="77777777" w:rsidR="007801FB" w:rsidRDefault="00A52BC2">
      <w:pPr>
        <w:tabs>
          <w:tab w:val="left" w:pos="1701"/>
        </w:tabs>
        <w:rPr>
          <w:rFonts w:ascii="Arial" w:hAnsi="Arial" w:cs="Arial"/>
          <w:sz w:val="20"/>
        </w:rPr>
      </w:pPr>
      <w:r>
        <w:rPr>
          <w:rFonts w:ascii="Arial" w:hAnsi="Arial" w:cs="Arial"/>
          <w:sz w:val="20"/>
        </w:rPr>
        <w:t>DIČ: CZ04084063</w:t>
      </w:r>
    </w:p>
    <w:p w14:paraId="15F2387B" w14:textId="77777777" w:rsidR="007801FB" w:rsidRDefault="00A52BC2">
      <w:pPr>
        <w:tabs>
          <w:tab w:val="left" w:pos="1701"/>
        </w:tabs>
        <w:jc w:val="both"/>
        <w:rPr>
          <w:rFonts w:ascii="Arial" w:hAnsi="Arial" w:cs="Arial"/>
          <w:sz w:val="20"/>
        </w:rPr>
      </w:pPr>
      <w:r>
        <w:rPr>
          <w:rFonts w:ascii="Arial" w:hAnsi="Arial" w:cs="Arial"/>
          <w:sz w:val="20"/>
        </w:rPr>
        <w:t>zastoupená</w:t>
      </w:r>
      <w:bookmarkStart w:id="3" w:name="_Hlk11836533"/>
      <w:r>
        <w:rPr>
          <w:rFonts w:ascii="Arial" w:hAnsi="Arial" w:cs="Arial"/>
          <w:sz w:val="20"/>
        </w:rPr>
        <w:t xml:space="preserve"> </w:t>
      </w:r>
      <w:bookmarkEnd w:id="0"/>
      <w:bookmarkEnd w:id="3"/>
      <w:r>
        <w:rPr>
          <w:rFonts w:ascii="Arial" w:hAnsi="Arial" w:cs="Arial"/>
          <w:sz w:val="20"/>
        </w:rPr>
        <w:t>Ing. Josef Slovák, ředitel pro Network Deployment and Maintenance</w:t>
      </w:r>
      <w:r>
        <w:rPr>
          <w:rFonts w:ascii="Arial" w:hAnsi="Arial" w:cs="Arial"/>
          <w:sz w:val="20"/>
          <w:highlight w:val="yellow"/>
        </w:rPr>
        <w:t xml:space="preserve"> </w:t>
      </w:r>
    </w:p>
    <w:p w14:paraId="086D742B" w14:textId="77777777" w:rsidR="007801FB" w:rsidRDefault="00A52BC2">
      <w:pPr>
        <w:tabs>
          <w:tab w:val="left" w:pos="1701"/>
        </w:tabs>
        <w:jc w:val="both"/>
        <w:rPr>
          <w:rFonts w:ascii="Arial" w:hAnsi="Arial" w:cs="Arial"/>
          <w:sz w:val="20"/>
        </w:rPr>
      </w:pPr>
      <w:r>
        <w:rPr>
          <w:rFonts w:ascii="Arial" w:hAnsi="Arial" w:cs="Arial"/>
          <w:sz w:val="20"/>
        </w:rPr>
        <w:t>(dále jen „</w:t>
      </w:r>
      <w:r>
        <w:rPr>
          <w:rFonts w:ascii="Arial" w:hAnsi="Arial" w:cs="Arial"/>
          <w:b/>
          <w:sz w:val="20"/>
        </w:rPr>
        <w:t>Uživatel“</w:t>
      </w:r>
      <w:r>
        <w:rPr>
          <w:rFonts w:ascii="Arial" w:hAnsi="Arial" w:cs="Arial"/>
          <w:sz w:val="20"/>
        </w:rPr>
        <w:t>)</w:t>
      </w:r>
    </w:p>
    <w:p w14:paraId="6A0E52E9" w14:textId="77777777" w:rsidR="007801FB" w:rsidRDefault="007801FB">
      <w:pPr>
        <w:pStyle w:val="Nadpis2"/>
        <w:rPr>
          <w:rFonts w:cs="Arial"/>
          <w:bCs w:val="0"/>
          <w:sz w:val="20"/>
        </w:rPr>
      </w:pPr>
    </w:p>
    <w:p w14:paraId="428FA4D0" w14:textId="77777777" w:rsidR="007801FB" w:rsidRDefault="007801FB"/>
    <w:p w14:paraId="1BB2962F" w14:textId="77777777" w:rsidR="007801FB" w:rsidRDefault="00A52BC2">
      <w:pPr>
        <w:jc w:val="both"/>
        <w:rPr>
          <w:rFonts w:ascii="Arial" w:hAnsi="Arial" w:cs="Arial"/>
          <w:sz w:val="20"/>
        </w:rPr>
      </w:pPr>
      <w:r>
        <w:rPr>
          <w:rFonts w:ascii="Arial" w:hAnsi="Arial" w:cs="Arial"/>
          <w:sz w:val="20"/>
        </w:rPr>
        <w:t>(Správce a Uživatel společně dále jen „</w:t>
      </w:r>
      <w:r>
        <w:rPr>
          <w:rFonts w:ascii="Arial" w:hAnsi="Arial" w:cs="Arial"/>
          <w:b/>
          <w:sz w:val="20"/>
        </w:rPr>
        <w:t>Smluvní strany</w:t>
      </w:r>
      <w:r>
        <w:rPr>
          <w:rFonts w:ascii="Arial" w:hAnsi="Arial" w:cs="Arial"/>
          <w:bCs/>
          <w:sz w:val="20"/>
        </w:rPr>
        <w:t>“</w:t>
      </w:r>
      <w:r>
        <w:rPr>
          <w:rFonts w:ascii="Arial" w:hAnsi="Arial" w:cs="Arial"/>
          <w:sz w:val="20"/>
        </w:rPr>
        <w:t xml:space="preserve"> a každý z nich jednotlivě dále jen „</w:t>
      </w:r>
      <w:r>
        <w:rPr>
          <w:rFonts w:ascii="Arial" w:hAnsi="Arial" w:cs="Arial"/>
          <w:b/>
          <w:sz w:val="20"/>
        </w:rPr>
        <w:t>Smluvní strana</w:t>
      </w:r>
      <w:r>
        <w:rPr>
          <w:rFonts w:ascii="Arial" w:hAnsi="Arial" w:cs="Arial"/>
          <w:bCs/>
          <w:sz w:val="20"/>
        </w:rPr>
        <w:t>“</w:t>
      </w:r>
      <w:r>
        <w:rPr>
          <w:rFonts w:ascii="Arial" w:hAnsi="Arial" w:cs="Arial"/>
          <w:sz w:val="20"/>
        </w:rPr>
        <w:t>)</w:t>
      </w:r>
    </w:p>
    <w:p w14:paraId="2D383BA7" w14:textId="77777777" w:rsidR="007801FB" w:rsidRDefault="007801FB">
      <w:pPr>
        <w:tabs>
          <w:tab w:val="left" w:pos="1701"/>
          <w:tab w:val="left" w:pos="2835"/>
          <w:tab w:val="left" w:pos="3969"/>
        </w:tabs>
        <w:spacing w:before="120" w:after="360"/>
        <w:jc w:val="both"/>
        <w:rPr>
          <w:rFonts w:ascii="Arial" w:hAnsi="Arial" w:cs="Arial"/>
          <w:bCs/>
          <w:sz w:val="22"/>
          <w:szCs w:val="22"/>
        </w:rPr>
      </w:pPr>
    </w:p>
    <w:p w14:paraId="61554072" w14:textId="77777777" w:rsidR="007801FB" w:rsidRDefault="00A52BC2">
      <w:pPr>
        <w:tabs>
          <w:tab w:val="left" w:pos="1701"/>
          <w:tab w:val="left" w:pos="2835"/>
          <w:tab w:val="left" w:pos="3969"/>
        </w:tabs>
        <w:spacing w:before="120" w:after="360"/>
        <w:jc w:val="both"/>
        <w:rPr>
          <w:rFonts w:ascii="Arial" w:hAnsi="Arial" w:cs="Arial"/>
          <w:bCs/>
          <w:sz w:val="22"/>
          <w:szCs w:val="22"/>
        </w:rPr>
      </w:pPr>
      <w:r>
        <w:rPr>
          <w:rFonts w:ascii="Arial" w:hAnsi="Arial" w:cs="Arial"/>
          <w:bCs/>
          <w:sz w:val="22"/>
          <w:szCs w:val="22"/>
        </w:rPr>
        <w:t>VZHLEDEM K TOMU, ŽE</w:t>
      </w:r>
    </w:p>
    <w:p w14:paraId="1E9639E5" w14:textId="77777777" w:rsidR="007801FB" w:rsidRDefault="00A52BC2">
      <w:pPr>
        <w:pStyle w:val="Odstavecseseznamem"/>
        <w:numPr>
          <w:ilvl w:val="0"/>
          <w:numId w:val="3"/>
        </w:numPr>
        <w:spacing w:after="120"/>
        <w:ind w:left="714" w:hanging="357"/>
        <w:contextualSpacing w:val="0"/>
        <w:jc w:val="both"/>
        <w:rPr>
          <w:rFonts w:ascii="Arial" w:hAnsi="Arial" w:cs="Arial"/>
          <w:sz w:val="20"/>
        </w:rPr>
      </w:pPr>
      <w:r>
        <w:rPr>
          <w:rFonts w:ascii="Arial" w:hAnsi="Arial" w:cs="Arial"/>
          <w:sz w:val="20"/>
        </w:rPr>
        <w:t xml:space="preserve">mezi Smluvními stranami je uzavřena Smlouva; </w:t>
      </w:r>
    </w:p>
    <w:p w14:paraId="0437CFED" w14:textId="77777777" w:rsidR="007801FB" w:rsidRDefault="00A52BC2">
      <w:pPr>
        <w:pStyle w:val="Odstavecseseznamem"/>
        <w:numPr>
          <w:ilvl w:val="0"/>
          <w:numId w:val="3"/>
        </w:numPr>
        <w:spacing w:after="240"/>
        <w:jc w:val="both"/>
        <w:rPr>
          <w:rFonts w:ascii="Arial" w:hAnsi="Arial" w:cs="Arial"/>
          <w:sz w:val="20"/>
        </w:rPr>
      </w:pPr>
      <w:r>
        <w:rPr>
          <w:rFonts w:ascii="Arial" w:hAnsi="Arial" w:cs="Arial"/>
          <w:sz w:val="20"/>
        </w:rPr>
        <w:t>míra inflace za rok 2023 dosáhla 10,7 %, proto s ohledem</w:t>
      </w:r>
      <w:r>
        <w:rPr>
          <w:rFonts w:ascii="Arial" w:hAnsi="Arial" w:cs="Arial"/>
          <w:i/>
          <w:sz w:val="20"/>
        </w:rPr>
        <w:t xml:space="preserve"> </w:t>
      </w:r>
      <w:r>
        <w:rPr>
          <w:rFonts w:ascii="Arial" w:hAnsi="Arial" w:cs="Arial"/>
          <w:sz w:val="20"/>
        </w:rPr>
        <w:t xml:space="preserve">na ujednání čl. IV odst. 3 Smlouvy </w:t>
      </w:r>
    </w:p>
    <w:p w14:paraId="6C306061" w14:textId="77777777" w:rsidR="007801FB" w:rsidRDefault="00A52BC2">
      <w:pPr>
        <w:spacing w:after="240"/>
        <w:jc w:val="both"/>
        <w:rPr>
          <w:rFonts w:ascii="Arial" w:hAnsi="Arial" w:cs="Arial"/>
          <w:sz w:val="22"/>
          <w:szCs w:val="22"/>
        </w:rPr>
      </w:pPr>
      <w:r>
        <w:rPr>
          <w:rFonts w:ascii="Arial" w:hAnsi="Arial" w:cs="Arial"/>
          <w:sz w:val="20"/>
        </w:rPr>
        <w:t>se Smluvní strany dohodly na uzavření tohoto dodatku č. 54 (dále jen „</w:t>
      </w:r>
      <w:r>
        <w:rPr>
          <w:rFonts w:ascii="Arial" w:hAnsi="Arial" w:cs="Arial"/>
          <w:b/>
          <w:sz w:val="20"/>
        </w:rPr>
        <w:t>Dodatek</w:t>
      </w:r>
      <w:r>
        <w:rPr>
          <w:rFonts w:ascii="Arial" w:hAnsi="Arial" w:cs="Arial"/>
          <w:sz w:val="20"/>
        </w:rPr>
        <w:t xml:space="preserve">“) ke Smlouvě, kterým se Smlouva mění </w:t>
      </w:r>
      <w:r>
        <w:rPr>
          <w:rFonts w:ascii="Arial" w:hAnsi="Arial" w:cs="Arial"/>
          <w:b/>
          <w:sz w:val="20"/>
        </w:rPr>
        <w:t>k 1. 3. 2024</w:t>
      </w:r>
      <w:r>
        <w:rPr>
          <w:rFonts w:ascii="Arial" w:hAnsi="Arial" w:cs="Arial"/>
          <w:sz w:val="22"/>
          <w:szCs w:val="22"/>
        </w:rPr>
        <w:t xml:space="preserve"> </w:t>
      </w:r>
      <w:r>
        <w:rPr>
          <w:rFonts w:ascii="Arial" w:hAnsi="Arial" w:cs="Arial"/>
          <w:sz w:val="20"/>
        </w:rPr>
        <w:t>v rozsahu čl. I. Dodatku.</w:t>
      </w:r>
    </w:p>
    <w:p w14:paraId="16EE6CAA" w14:textId="77777777" w:rsidR="007801FB" w:rsidRDefault="00A52BC2">
      <w:pPr>
        <w:jc w:val="center"/>
        <w:rPr>
          <w:rFonts w:ascii="Arial" w:hAnsi="Arial" w:cs="Arial"/>
          <w:b/>
          <w:sz w:val="22"/>
          <w:szCs w:val="22"/>
        </w:rPr>
      </w:pPr>
      <w:r>
        <w:rPr>
          <w:rFonts w:ascii="Arial" w:hAnsi="Arial" w:cs="Arial"/>
          <w:b/>
          <w:sz w:val="22"/>
          <w:szCs w:val="22"/>
        </w:rPr>
        <w:t>Čl. I.</w:t>
      </w:r>
    </w:p>
    <w:p w14:paraId="53CB8050" w14:textId="77777777" w:rsidR="007801FB" w:rsidRDefault="00A52BC2">
      <w:pPr>
        <w:jc w:val="center"/>
        <w:rPr>
          <w:rFonts w:ascii="Arial" w:hAnsi="Arial" w:cs="Arial"/>
          <w:b/>
          <w:sz w:val="22"/>
          <w:szCs w:val="22"/>
        </w:rPr>
      </w:pPr>
      <w:r>
        <w:rPr>
          <w:rFonts w:ascii="Arial" w:hAnsi="Arial" w:cs="Arial"/>
          <w:b/>
          <w:sz w:val="22"/>
          <w:szCs w:val="22"/>
        </w:rPr>
        <w:t>Změny Smlouvy</w:t>
      </w:r>
    </w:p>
    <w:p w14:paraId="41064CA3" w14:textId="77777777" w:rsidR="007801FB" w:rsidRDefault="007801FB">
      <w:pPr>
        <w:jc w:val="center"/>
        <w:rPr>
          <w:rFonts w:ascii="Arial" w:hAnsi="Arial" w:cs="Arial"/>
          <w:b/>
          <w:sz w:val="22"/>
          <w:szCs w:val="22"/>
        </w:rPr>
      </w:pPr>
    </w:p>
    <w:p w14:paraId="29B6DF4F" w14:textId="77777777" w:rsidR="007801FB" w:rsidRDefault="00A52BC2">
      <w:pPr>
        <w:pStyle w:val="Zkladntext"/>
        <w:numPr>
          <w:ilvl w:val="0"/>
          <w:numId w:val="2"/>
        </w:numPr>
        <w:spacing w:before="171" w:after="171"/>
        <w:ind w:left="454" w:hanging="454"/>
        <w:jc w:val="both"/>
        <w:rPr>
          <w:sz w:val="20"/>
        </w:rPr>
      </w:pPr>
      <w:r>
        <w:rPr>
          <w:sz w:val="20"/>
        </w:rPr>
        <w:t xml:space="preserve">V článku IV. Smlouvy se zcela ruší odst. 1 a nahrazuje se novým odst. 1, který zní nově takto: </w:t>
      </w:r>
    </w:p>
    <w:p w14:paraId="67A1A839" w14:textId="4A8707CE" w:rsidR="007801FB" w:rsidRDefault="00A52BC2">
      <w:pPr>
        <w:pStyle w:val="Zkladntext3"/>
        <w:spacing w:after="240"/>
        <w:ind w:left="426" w:hanging="426"/>
        <w:jc w:val="both"/>
        <w:rPr>
          <w:rFonts w:cs="Arial"/>
          <w:i/>
          <w:sz w:val="20"/>
        </w:rPr>
      </w:pPr>
      <w:r>
        <w:rPr>
          <w:i/>
          <w:sz w:val="20"/>
        </w:rPr>
        <w:t xml:space="preserve">„1. </w:t>
      </w:r>
      <w:r>
        <w:rPr>
          <w:i/>
          <w:sz w:val="20"/>
        </w:rPr>
        <w:tab/>
        <w:t xml:space="preserve">Uživatel se zavazuje platit Správci za užívání kolektorů a technických chodeb včetně služeb s tím souvisejících dohodnutou smluvní cenu ve výši </w:t>
      </w:r>
      <w:r w:rsidR="00954D79">
        <w:rPr>
          <w:b/>
          <w:i/>
          <w:sz w:val="20"/>
        </w:rPr>
        <w:t>xxx</w:t>
      </w:r>
      <w:r>
        <w:rPr>
          <w:b/>
          <w:i/>
          <w:sz w:val="20"/>
        </w:rPr>
        <w:t xml:space="preserve"> Kč</w:t>
      </w:r>
      <w:r>
        <w:rPr>
          <w:i/>
          <w:sz w:val="20"/>
        </w:rPr>
        <w:t xml:space="preserve"> měsíčně za 1 bm délky užívaného kolektoru bez DPH.“</w:t>
      </w:r>
    </w:p>
    <w:tbl>
      <w:tblPr>
        <w:tblW w:w="8650" w:type="dxa"/>
        <w:tblInd w:w="403" w:type="dxa"/>
        <w:tblLayout w:type="fixed"/>
        <w:tblCellMar>
          <w:left w:w="70" w:type="dxa"/>
          <w:right w:w="70" w:type="dxa"/>
        </w:tblCellMar>
        <w:tblLook w:val="04A0" w:firstRow="1" w:lastRow="0" w:firstColumn="1" w:lastColumn="0" w:noHBand="0" w:noVBand="1"/>
      </w:tblPr>
      <w:tblGrid>
        <w:gridCol w:w="1366"/>
        <w:gridCol w:w="1609"/>
        <w:gridCol w:w="1935"/>
        <w:gridCol w:w="1840"/>
        <w:gridCol w:w="1900"/>
      </w:tblGrid>
      <w:tr w:rsidR="007801FB" w14:paraId="51F25966" w14:textId="77777777">
        <w:tc>
          <w:tcPr>
            <w:tcW w:w="1366" w:type="dxa"/>
            <w:tcBorders>
              <w:top w:val="single" w:sz="18" w:space="0" w:color="000000"/>
              <w:left w:val="single" w:sz="18" w:space="0" w:color="000000"/>
              <w:bottom w:val="single" w:sz="18" w:space="0" w:color="000000"/>
              <w:right w:val="single" w:sz="4" w:space="0" w:color="000000"/>
            </w:tcBorders>
            <w:shd w:val="clear" w:color="auto" w:fill="E6E6E6"/>
          </w:tcPr>
          <w:p w14:paraId="3FBF7A55" w14:textId="77777777" w:rsidR="007801FB" w:rsidRDefault="00A52BC2">
            <w:pPr>
              <w:widowControl w:val="0"/>
              <w:spacing w:before="60" w:after="60"/>
              <w:ind w:left="142"/>
              <w:jc w:val="both"/>
              <w:rPr>
                <w:rFonts w:ascii="Arial" w:hAnsi="Arial" w:cs="Arial"/>
                <w:b/>
                <w:bCs/>
                <w:i/>
                <w:sz w:val="20"/>
              </w:rPr>
            </w:pPr>
            <w:r>
              <w:rPr>
                <w:rFonts w:ascii="Arial" w:hAnsi="Arial" w:cs="Arial"/>
                <w:b/>
                <w:bCs/>
                <w:i/>
                <w:sz w:val="20"/>
              </w:rPr>
              <w:t>specifikace</w:t>
            </w:r>
          </w:p>
        </w:tc>
        <w:tc>
          <w:tcPr>
            <w:tcW w:w="1609" w:type="dxa"/>
            <w:tcBorders>
              <w:top w:val="single" w:sz="18" w:space="0" w:color="000000"/>
              <w:left w:val="single" w:sz="4" w:space="0" w:color="000000"/>
              <w:bottom w:val="single" w:sz="18" w:space="0" w:color="000000"/>
              <w:right w:val="single" w:sz="4" w:space="0" w:color="000000"/>
            </w:tcBorders>
            <w:shd w:val="clear" w:color="auto" w:fill="E6E6E6"/>
          </w:tcPr>
          <w:p w14:paraId="2FC4F0BD"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délka/ks</w:t>
            </w:r>
          </w:p>
        </w:tc>
        <w:tc>
          <w:tcPr>
            <w:tcW w:w="1935" w:type="dxa"/>
            <w:tcBorders>
              <w:top w:val="single" w:sz="18" w:space="0" w:color="000000"/>
              <w:left w:val="single" w:sz="4" w:space="0" w:color="000000"/>
              <w:bottom w:val="single" w:sz="18" w:space="0" w:color="000000"/>
              <w:right w:val="single" w:sz="4" w:space="0" w:color="000000"/>
            </w:tcBorders>
            <w:shd w:val="clear" w:color="auto" w:fill="E6E6E6"/>
          </w:tcPr>
          <w:p w14:paraId="31543EAE"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sjednaná cena</w:t>
            </w:r>
          </w:p>
        </w:tc>
        <w:tc>
          <w:tcPr>
            <w:tcW w:w="1840" w:type="dxa"/>
            <w:tcBorders>
              <w:top w:val="single" w:sz="18" w:space="0" w:color="000000"/>
              <w:left w:val="single" w:sz="4" w:space="0" w:color="000000"/>
              <w:bottom w:val="single" w:sz="18" w:space="0" w:color="000000"/>
              <w:right w:val="single" w:sz="4" w:space="0" w:color="000000"/>
            </w:tcBorders>
            <w:shd w:val="clear" w:color="auto" w:fill="E6E6E6"/>
          </w:tcPr>
          <w:p w14:paraId="07F55FA6"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Kč/rok</w:t>
            </w:r>
          </w:p>
        </w:tc>
        <w:tc>
          <w:tcPr>
            <w:tcW w:w="1900" w:type="dxa"/>
            <w:tcBorders>
              <w:top w:val="single" w:sz="18" w:space="0" w:color="000000"/>
              <w:left w:val="single" w:sz="4" w:space="0" w:color="000000"/>
              <w:bottom w:val="single" w:sz="18" w:space="0" w:color="000000"/>
              <w:right w:val="single" w:sz="18" w:space="0" w:color="000000"/>
            </w:tcBorders>
            <w:shd w:val="clear" w:color="auto" w:fill="E6E6E6"/>
          </w:tcPr>
          <w:p w14:paraId="6B630CE3" w14:textId="77777777" w:rsidR="007801FB" w:rsidRDefault="00A52BC2">
            <w:pPr>
              <w:widowControl w:val="0"/>
              <w:spacing w:before="60" w:after="60"/>
              <w:jc w:val="center"/>
              <w:rPr>
                <w:rFonts w:ascii="Arial" w:hAnsi="Arial" w:cs="Arial"/>
                <w:b/>
                <w:bCs/>
                <w:i/>
                <w:sz w:val="20"/>
              </w:rPr>
            </w:pPr>
            <w:r>
              <w:rPr>
                <w:rFonts w:ascii="Arial" w:hAnsi="Arial" w:cs="Arial"/>
                <w:b/>
                <w:bCs/>
                <w:i/>
                <w:sz w:val="20"/>
              </w:rPr>
              <w:t>Kč/měsíčně</w:t>
            </w:r>
          </w:p>
        </w:tc>
      </w:tr>
      <w:tr w:rsidR="007801FB" w14:paraId="05D01FC8" w14:textId="77777777">
        <w:tc>
          <w:tcPr>
            <w:tcW w:w="1366" w:type="dxa"/>
            <w:tcBorders>
              <w:top w:val="single" w:sz="18" w:space="0" w:color="000000"/>
              <w:left w:val="single" w:sz="18" w:space="0" w:color="000000"/>
              <w:bottom w:val="single" w:sz="4" w:space="0" w:color="000000"/>
              <w:right w:val="single" w:sz="4" w:space="0" w:color="000000"/>
            </w:tcBorders>
          </w:tcPr>
          <w:p w14:paraId="595C7E7C" w14:textId="77777777" w:rsidR="007801FB" w:rsidRDefault="00A52BC2">
            <w:pPr>
              <w:widowControl w:val="0"/>
              <w:ind w:left="142"/>
              <w:rPr>
                <w:rFonts w:ascii="Arial" w:hAnsi="Arial" w:cs="Arial"/>
                <w:i/>
                <w:sz w:val="20"/>
              </w:rPr>
            </w:pPr>
            <w:r>
              <w:rPr>
                <w:rFonts w:ascii="Arial" w:hAnsi="Arial" w:cs="Arial"/>
                <w:i/>
                <w:sz w:val="20"/>
              </w:rPr>
              <w:t>kolektor</w:t>
            </w:r>
          </w:p>
        </w:tc>
        <w:tc>
          <w:tcPr>
            <w:tcW w:w="1609" w:type="dxa"/>
            <w:tcBorders>
              <w:top w:val="single" w:sz="18" w:space="0" w:color="000000"/>
              <w:left w:val="single" w:sz="4" w:space="0" w:color="000000"/>
              <w:bottom w:val="single" w:sz="4" w:space="0" w:color="000000"/>
              <w:right w:val="single" w:sz="4" w:space="0" w:color="000000"/>
            </w:tcBorders>
          </w:tcPr>
          <w:p w14:paraId="4C6D527B" w14:textId="3860D20B" w:rsidR="007801FB" w:rsidRDefault="00954D79">
            <w:pPr>
              <w:widowControl w:val="0"/>
              <w:ind w:right="72"/>
              <w:jc w:val="center"/>
              <w:rPr>
                <w:rFonts w:ascii="Arial" w:hAnsi="Arial" w:cs="Arial"/>
                <w:i/>
                <w:sz w:val="20"/>
              </w:rPr>
            </w:pPr>
            <w:r>
              <w:rPr>
                <w:rFonts w:ascii="Arial" w:hAnsi="Arial" w:cs="Arial"/>
                <w:i/>
                <w:sz w:val="20"/>
              </w:rPr>
              <w:t>xxx</w:t>
            </w:r>
          </w:p>
        </w:tc>
        <w:tc>
          <w:tcPr>
            <w:tcW w:w="1935" w:type="dxa"/>
            <w:tcBorders>
              <w:top w:val="single" w:sz="18" w:space="0" w:color="000000"/>
              <w:left w:val="single" w:sz="4" w:space="0" w:color="000000"/>
              <w:bottom w:val="single" w:sz="4" w:space="0" w:color="000000"/>
              <w:right w:val="single" w:sz="4" w:space="0" w:color="000000"/>
            </w:tcBorders>
          </w:tcPr>
          <w:p w14:paraId="1902270E" w14:textId="26C5D1FB" w:rsidR="007801FB" w:rsidRDefault="00954D79">
            <w:pPr>
              <w:widowControl w:val="0"/>
              <w:jc w:val="center"/>
              <w:rPr>
                <w:rFonts w:ascii="Arial" w:hAnsi="Arial" w:cs="Arial"/>
                <w:i/>
                <w:sz w:val="20"/>
              </w:rPr>
            </w:pPr>
            <w:r>
              <w:rPr>
                <w:rFonts w:ascii="Arial" w:hAnsi="Arial" w:cs="Arial"/>
                <w:i/>
                <w:sz w:val="20"/>
              </w:rPr>
              <w:t>xxx</w:t>
            </w:r>
          </w:p>
        </w:tc>
        <w:tc>
          <w:tcPr>
            <w:tcW w:w="1840" w:type="dxa"/>
            <w:tcBorders>
              <w:top w:val="single" w:sz="18" w:space="0" w:color="000000"/>
              <w:left w:val="single" w:sz="4" w:space="0" w:color="000000"/>
              <w:bottom w:val="single" w:sz="4" w:space="0" w:color="000000"/>
              <w:right w:val="single" w:sz="4" w:space="0" w:color="000000"/>
            </w:tcBorders>
          </w:tcPr>
          <w:p w14:paraId="02A10CEC" w14:textId="2AC95A06" w:rsidR="007801FB" w:rsidRDefault="00954D79">
            <w:pPr>
              <w:widowControl w:val="0"/>
              <w:jc w:val="right"/>
              <w:rPr>
                <w:rFonts w:ascii="Arial" w:hAnsi="Arial" w:cs="Arial"/>
                <w:i/>
                <w:sz w:val="20"/>
              </w:rPr>
            </w:pPr>
            <w:r>
              <w:rPr>
                <w:rFonts w:ascii="Arial" w:hAnsi="Arial" w:cs="Arial"/>
                <w:i/>
                <w:sz w:val="20"/>
              </w:rPr>
              <w:t>xxx</w:t>
            </w:r>
          </w:p>
        </w:tc>
        <w:tc>
          <w:tcPr>
            <w:tcW w:w="1900" w:type="dxa"/>
            <w:tcBorders>
              <w:top w:val="single" w:sz="18" w:space="0" w:color="000000"/>
              <w:left w:val="single" w:sz="4" w:space="0" w:color="000000"/>
              <w:bottom w:val="single" w:sz="4" w:space="0" w:color="000000"/>
              <w:right w:val="single" w:sz="18" w:space="0" w:color="000000"/>
            </w:tcBorders>
          </w:tcPr>
          <w:p w14:paraId="77795C20" w14:textId="684E9D6B" w:rsidR="007801FB" w:rsidRDefault="00954D79">
            <w:pPr>
              <w:widowControl w:val="0"/>
              <w:jc w:val="right"/>
              <w:rPr>
                <w:rFonts w:ascii="Arial" w:hAnsi="Arial" w:cs="Arial"/>
                <w:i/>
                <w:sz w:val="20"/>
              </w:rPr>
            </w:pPr>
            <w:r>
              <w:rPr>
                <w:rFonts w:ascii="Arial" w:hAnsi="Arial" w:cs="Arial"/>
                <w:i/>
                <w:sz w:val="20"/>
              </w:rPr>
              <w:t>xxx</w:t>
            </w:r>
          </w:p>
        </w:tc>
      </w:tr>
      <w:tr w:rsidR="007801FB" w14:paraId="1F808CF5" w14:textId="77777777">
        <w:trPr>
          <w:cantSplit/>
          <w:trHeight w:val="260"/>
        </w:trPr>
        <w:tc>
          <w:tcPr>
            <w:tcW w:w="1366" w:type="dxa"/>
            <w:tcBorders>
              <w:top w:val="single" w:sz="4" w:space="0" w:color="000000"/>
              <w:left w:val="single" w:sz="18" w:space="0" w:color="000000"/>
              <w:bottom w:val="single" w:sz="18" w:space="0" w:color="000000"/>
              <w:right w:val="single" w:sz="4" w:space="0" w:color="000000"/>
            </w:tcBorders>
          </w:tcPr>
          <w:p w14:paraId="1C5FF248" w14:textId="77777777" w:rsidR="007801FB" w:rsidRDefault="00A52BC2">
            <w:pPr>
              <w:widowControl w:val="0"/>
              <w:ind w:left="142"/>
              <w:rPr>
                <w:rFonts w:ascii="Arial" w:hAnsi="Arial" w:cs="Arial"/>
                <w:i/>
                <w:sz w:val="20"/>
              </w:rPr>
            </w:pPr>
            <w:r>
              <w:rPr>
                <w:rFonts w:ascii="Arial" w:hAnsi="Arial" w:cs="Arial"/>
                <w:i/>
                <w:sz w:val="20"/>
              </w:rPr>
              <w:t>průvrty</w:t>
            </w:r>
          </w:p>
        </w:tc>
        <w:tc>
          <w:tcPr>
            <w:tcW w:w="3544" w:type="dxa"/>
            <w:gridSpan w:val="2"/>
            <w:tcBorders>
              <w:top w:val="single" w:sz="4" w:space="0" w:color="000000"/>
              <w:left w:val="single" w:sz="4" w:space="0" w:color="000000"/>
              <w:bottom w:val="single" w:sz="18" w:space="0" w:color="000000"/>
              <w:right w:val="single" w:sz="4" w:space="0" w:color="000000"/>
            </w:tcBorders>
          </w:tcPr>
          <w:p w14:paraId="27DE7798" w14:textId="77777777" w:rsidR="007801FB" w:rsidRDefault="00A52BC2">
            <w:pPr>
              <w:widowControl w:val="0"/>
              <w:jc w:val="center"/>
              <w:rPr>
                <w:rFonts w:ascii="Arial" w:hAnsi="Arial" w:cs="Arial"/>
                <w:i/>
                <w:sz w:val="20"/>
              </w:rPr>
            </w:pPr>
            <w:r>
              <w:rPr>
                <w:rFonts w:ascii="Arial" w:hAnsi="Arial" w:cs="Arial"/>
                <w:i/>
                <w:sz w:val="20"/>
              </w:rPr>
              <w:t>dle samostatné specifikace</w:t>
            </w:r>
          </w:p>
        </w:tc>
        <w:tc>
          <w:tcPr>
            <w:tcW w:w="1840" w:type="dxa"/>
            <w:tcBorders>
              <w:top w:val="single" w:sz="4" w:space="0" w:color="000000"/>
              <w:left w:val="single" w:sz="4" w:space="0" w:color="000000"/>
              <w:bottom w:val="single" w:sz="18" w:space="0" w:color="000000"/>
              <w:right w:val="single" w:sz="4" w:space="0" w:color="000000"/>
            </w:tcBorders>
          </w:tcPr>
          <w:p w14:paraId="1C9EC7FB" w14:textId="3501F521" w:rsidR="007801FB" w:rsidRDefault="00954D79">
            <w:pPr>
              <w:widowControl w:val="0"/>
              <w:jc w:val="right"/>
              <w:rPr>
                <w:rFonts w:ascii="Arial" w:hAnsi="Arial" w:cs="Arial"/>
                <w:i/>
                <w:sz w:val="20"/>
              </w:rPr>
            </w:pPr>
            <w:r>
              <w:rPr>
                <w:rFonts w:ascii="Arial" w:hAnsi="Arial" w:cs="Arial"/>
                <w:i/>
                <w:sz w:val="20"/>
              </w:rPr>
              <w:t>xxx</w:t>
            </w:r>
          </w:p>
        </w:tc>
        <w:tc>
          <w:tcPr>
            <w:tcW w:w="1900" w:type="dxa"/>
            <w:tcBorders>
              <w:top w:val="single" w:sz="4" w:space="0" w:color="000000"/>
              <w:left w:val="single" w:sz="4" w:space="0" w:color="000000"/>
              <w:bottom w:val="single" w:sz="18" w:space="0" w:color="000000"/>
              <w:right w:val="single" w:sz="18" w:space="0" w:color="000000"/>
            </w:tcBorders>
          </w:tcPr>
          <w:p w14:paraId="126A9FC9" w14:textId="2CCEAC4C" w:rsidR="007801FB" w:rsidRDefault="00954D79">
            <w:pPr>
              <w:widowControl w:val="0"/>
              <w:jc w:val="right"/>
              <w:rPr>
                <w:rFonts w:ascii="Arial" w:hAnsi="Arial" w:cs="Arial"/>
                <w:i/>
                <w:sz w:val="20"/>
              </w:rPr>
            </w:pPr>
            <w:r>
              <w:rPr>
                <w:rFonts w:ascii="Arial" w:hAnsi="Arial" w:cs="Arial"/>
                <w:i/>
                <w:sz w:val="20"/>
              </w:rPr>
              <w:t>xxx</w:t>
            </w:r>
          </w:p>
        </w:tc>
      </w:tr>
      <w:tr w:rsidR="007801FB" w14:paraId="78348C50" w14:textId="77777777">
        <w:trPr>
          <w:cantSplit/>
        </w:trPr>
        <w:tc>
          <w:tcPr>
            <w:tcW w:w="4910" w:type="dxa"/>
            <w:gridSpan w:val="3"/>
            <w:tcBorders>
              <w:top w:val="single" w:sz="18" w:space="0" w:color="000000"/>
              <w:left w:val="single" w:sz="18" w:space="0" w:color="000000"/>
              <w:bottom w:val="single" w:sz="18" w:space="0" w:color="000000"/>
              <w:right w:val="single" w:sz="4" w:space="0" w:color="000000"/>
            </w:tcBorders>
          </w:tcPr>
          <w:p w14:paraId="21AC498E" w14:textId="77777777" w:rsidR="007801FB" w:rsidRDefault="00A52BC2">
            <w:pPr>
              <w:widowControl w:val="0"/>
              <w:ind w:left="142"/>
              <w:rPr>
                <w:rFonts w:ascii="Arial" w:hAnsi="Arial" w:cs="Arial"/>
                <w:b/>
                <w:i/>
                <w:sz w:val="20"/>
              </w:rPr>
            </w:pPr>
            <w:r>
              <w:rPr>
                <w:rFonts w:ascii="Arial" w:hAnsi="Arial" w:cs="Arial"/>
                <w:b/>
                <w:i/>
                <w:sz w:val="20"/>
              </w:rPr>
              <w:t>celkem</w:t>
            </w:r>
          </w:p>
        </w:tc>
        <w:tc>
          <w:tcPr>
            <w:tcW w:w="1840" w:type="dxa"/>
            <w:tcBorders>
              <w:top w:val="single" w:sz="18" w:space="0" w:color="000000"/>
              <w:left w:val="single" w:sz="4" w:space="0" w:color="000000"/>
              <w:bottom w:val="single" w:sz="18" w:space="0" w:color="000000"/>
              <w:right w:val="single" w:sz="4" w:space="0" w:color="000000"/>
            </w:tcBorders>
          </w:tcPr>
          <w:p w14:paraId="698E890D" w14:textId="77777777" w:rsidR="007801FB" w:rsidRDefault="00A52BC2">
            <w:pPr>
              <w:widowControl w:val="0"/>
              <w:jc w:val="right"/>
              <w:rPr>
                <w:rFonts w:ascii="Arial" w:hAnsi="Arial" w:cs="Arial"/>
                <w:b/>
                <w:i/>
                <w:sz w:val="20"/>
              </w:rPr>
            </w:pPr>
            <w:r>
              <w:rPr>
                <w:rFonts w:ascii="Arial" w:hAnsi="Arial" w:cs="Arial"/>
                <w:b/>
                <w:i/>
                <w:sz w:val="20"/>
              </w:rPr>
              <w:t>40 520 623,20 Kč</w:t>
            </w:r>
          </w:p>
        </w:tc>
        <w:tc>
          <w:tcPr>
            <w:tcW w:w="1900" w:type="dxa"/>
            <w:tcBorders>
              <w:top w:val="single" w:sz="18" w:space="0" w:color="000000"/>
              <w:left w:val="single" w:sz="4" w:space="0" w:color="000000"/>
              <w:bottom w:val="single" w:sz="18" w:space="0" w:color="000000"/>
              <w:right w:val="single" w:sz="18" w:space="0" w:color="000000"/>
            </w:tcBorders>
          </w:tcPr>
          <w:p w14:paraId="1C2CA7F8" w14:textId="77777777" w:rsidR="007801FB" w:rsidRDefault="00A52BC2">
            <w:pPr>
              <w:widowControl w:val="0"/>
              <w:jc w:val="right"/>
              <w:rPr>
                <w:rFonts w:ascii="Arial" w:hAnsi="Arial" w:cs="Arial"/>
                <w:b/>
                <w:i/>
                <w:sz w:val="20"/>
              </w:rPr>
            </w:pPr>
            <w:r>
              <w:rPr>
                <w:rFonts w:ascii="Arial" w:hAnsi="Arial" w:cs="Arial"/>
                <w:b/>
                <w:i/>
                <w:sz w:val="20"/>
              </w:rPr>
              <w:t>3 376 718,60 Kč</w:t>
            </w:r>
          </w:p>
        </w:tc>
      </w:tr>
    </w:tbl>
    <w:p w14:paraId="12F7D43F" w14:textId="77777777" w:rsidR="007801FB" w:rsidRDefault="007801FB">
      <w:pPr>
        <w:pStyle w:val="Zkladntext"/>
        <w:spacing w:before="171" w:after="171"/>
        <w:ind w:left="454" w:hanging="454"/>
        <w:jc w:val="both"/>
        <w:rPr>
          <w:sz w:val="20"/>
        </w:rPr>
      </w:pPr>
    </w:p>
    <w:p w14:paraId="4896400A" w14:textId="77777777" w:rsidR="007801FB" w:rsidRDefault="00A52BC2">
      <w:pPr>
        <w:pStyle w:val="Zkladntext"/>
        <w:numPr>
          <w:ilvl w:val="0"/>
          <w:numId w:val="2"/>
        </w:numPr>
        <w:spacing w:before="171" w:after="171"/>
        <w:ind w:left="454" w:hanging="454"/>
        <w:jc w:val="both"/>
        <w:rPr>
          <w:sz w:val="20"/>
        </w:rPr>
      </w:pPr>
      <w:r>
        <w:rPr>
          <w:sz w:val="20"/>
        </w:rPr>
        <w:lastRenderedPageBreak/>
        <w:t xml:space="preserve">V článku IV. odst. 2 Smlouvy se zcela ruší písm. a) a nahrazuje se novým písm. a), které zní nově takto: </w:t>
      </w:r>
    </w:p>
    <w:p w14:paraId="4723A097" w14:textId="77777777" w:rsidR="007801FB" w:rsidRDefault="00A52BC2">
      <w:pPr>
        <w:tabs>
          <w:tab w:val="left" w:pos="426"/>
        </w:tabs>
        <w:spacing w:before="240"/>
        <w:ind w:left="709" w:hanging="709"/>
        <w:jc w:val="both"/>
        <w:rPr>
          <w:rFonts w:ascii="Arial" w:hAnsi="Arial" w:cs="Arial"/>
          <w:sz w:val="20"/>
        </w:rPr>
      </w:pPr>
      <w:r>
        <w:rPr>
          <w:rFonts w:ascii="Arial" w:hAnsi="Arial" w:cs="Arial"/>
          <w:sz w:val="20"/>
        </w:rPr>
        <w:t xml:space="preserve">„2. </w:t>
      </w:r>
      <w:r>
        <w:rPr>
          <w:rFonts w:ascii="Arial" w:hAnsi="Arial" w:cs="Arial"/>
          <w:sz w:val="20"/>
        </w:rPr>
        <w:tab/>
        <w:t>a)</w:t>
      </w:r>
      <w:r>
        <w:rPr>
          <w:rFonts w:ascii="Arial" w:hAnsi="Arial" w:cs="Arial"/>
          <w:sz w:val="20"/>
        </w:rPr>
        <w:tab/>
        <w:t xml:space="preserve">Uživatel se zavazuje smluvní cenu za využití prostoru kolektorů za rok hradit v měsíčních splátkách ve výši </w:t>
      </w:r>
      <w:r>
        <w:rPr>
          <w:rFonts w:ascii="Arial" w:hAnsi="Arial" w:cs="Arial"/>
          <w:b/>
          <w:bCs/>
          <w:sz w:val="20"/>
        </w:rPr>
        <w:t>3 376 718,60</w:t>
      </w:r>
      <w:r>
        <w:rPr>
          <w:rFonts w:ascii="Arial" w:hAnsi="Arial" w:cs="Arial"/>
          <w:b/>
          <w:sz w:val="20"/>
        </w:rPr>
        <w:t xml:space="preserve"> Kč </w:t>
      </w:r>
      <w:r>
        <w:rPr>
          <w:rFonts w:ascii="Arial" w:hAnsi="Arial" w:cs="Arial"/>
          <w:bCs/>
          <w:sz w:val="20"/>
        </w:rPr>
        <w:t>(slovy: tři miliony tři sta sedmdesát šest tisíc sedm set osmnáct korun českých šedesát haléřů)</w:t>
      </w:r>
      <w:r>
        <w:rPr>
          <w:rFonts w:ascii="Arial" w:hAnsi="Arial" w:cs="Arial"/>
          <w:b/>
          <w:sz w:val="20"/>
        </w:rPr>
        <w:t xml:space="preserve"> </w:t>
      </w:r>
      <w:r>
        <w:rPr>
          <w:rFonts w:ascii="Arial" w:hAnsi="Arial" w:cs="Arial"/>
          <w:bCs/>
          <w:sz w:val="20"/>
        </w:rPr>
        <w:t>+ DPH</w:t>
      </w:r>
      <w:r>
        <w:rPr>
          <w:rFonts w:ascii="Arial" w:hAnsi="Arial" w:cs="Arial"/>
          <w:sz w:val="20"/>
        </w:rPr>
        <w:t xml:space="preserve"> v zákonné výši na základě faktury – daňového dokladu vystaveného Správcem v běžném měsíci, se splatností dvacet (20) dnů ode dne jejího doručení Uživateli. DUZP je den vystavení faktury.“</w:t>
      </w:r>
    </w:p>
    <w:p w14:paraId="3CD49C58" w14:textId="77777777" w:rsidR="007801FB" w:rsidRDefault="007801FB">
      <w:pPr>
        <w:jc w:val="both"/>
        <w:rPr>
          <w:rFonts w:ascii="Arial" w:hAnsi="Arial" w:cs="Arial"/>
          <w:i/>
          <w:sz w:val="22"/>
          <w:szCs w:val="22"/>
        </w:rPr>
      </w:pPr>
    </w:p>
    <w:p w14:paraId="437EAD7E" w14:textId="77777777" w:rsidR="007801FB" w:rsidRDefault="00A52BC2">
      <w:pPr>
        <w:pStyle w:val="Zkladntext"/>
        <w:spacing w:after="240"/>
        <w:rPr>
          <w:b/>
          <w:sz w:val="20"/>
        </w:rPr>
      </w:pPr>
      <w:r>
        <w:rPr>
          <w:b/>
          <w:sz w:val="20"/>
        </w:rPr>
        <w:t>Čl. II.</w:t>
      </w:r>
      <w:r>
        <w:rPr>
          <w:b/>
          <w:sz w:val="20"/>
        </w:rPr>
        <w:br/>
        <w:t>Závěrečná ustanovení</w:t>
      </w:r>
    </w:p>
    <w:p w14:paraId="6DD28639" w14:textId="77777777" w:rsidR="007801FB" w:rsidRDefault="00A52BC2">
      <w:pPr>
        <w:pStyle w:val="Zkladntext"/>
        <w:numPr>
          <w:ilvl w:val="0"/>
          <w:numId w:val="4"/>
        </w:numPr>
        <w:spacing w:after="120"/>
        <w:ind w:left="426" w:hanging="426"/>
        <w:jc w:val="both"/>
        <w:rPr>
          <w:sz w:val="20"/>
        </w:rPr>
      </w:pPr>
      <w:r>
        <w:rPr>
          <w:sz w:val="20"/>
        </w:rPr>
        <w:t>Ostatní ustanovení Smlouvy, nedotčená Dodatkem, se nemění a zůstávají nadále v platnosti a účinnosti.</w:t>
      </w:r>
    </w:p>
    <w:p w14:paraId="4074358A" w14:textId="77777777" w:rsidR="007801FB" w:rsidRDefault="00A52BC2" w:rsidP="00A52BC2">
      <w:pPr>
        <w:pStyle w:val="Odstavecseseznamem"/>
        <w:widowControl w:val="0"/>
        <w:numPr>
          <w:ilvl w:val="0"/>
          <w:numId w:val="4"/>
        </w:numPr>
        <w:spacing w:after="120"/>
        <w:ind w:left="425" w:hanging="425"/>
        <w:jc w:val="both"/>
        <w:rPr>
          <w:rFonts w:ascii="Arial" w:hAnsi="Arial" w:cs="Arial"/>
          <w:sz w:val="20"/>
        </w:rPr>
      </w:pPr>
      <w:r>
        <w:rPr>
          <w:rFonts w:ascii="Arial" w:hAnsi="Arial" w:cs="Arial"/>
          <w:sz w:val="20"/>
        </w:rPr>
        <w:t>Správce má právo provést doúčtování ceny za využívání kolektorů určené Dodatkem daňovým dokladem (fakturou) se</w:t>
      </w:r>
      <w:r>
        <w:rPr>
          <w:rFonts w:ascii="Arial" w:hAnsi="Arial" w:cs="Arial"/>
          <w:i/>
          <w:sz w:val="20"/>
        </w:rPr>
        <w:t xml:space="preserve"> </w:t>
      </w:r>
      <w:r>
        <w:rPr>
          <w:rFonts w:ascii="Arial" w:hAnsi="Arial" w:cs="Arial"/>
          <w:sz w:val="20"/>
        </w:rPr>
        <w:t>splatností dvacet (20) dnů ode dne doručení Uživateli. Smluvní strany ujednávají, že Správce má právo daňový doklad vystavit nejdříve den následující po dni nabytí účinnosti Dodatku. Dnem uskutečnění zdanitelného plnění je den vystavení daňového dokladu.</w:t>
      </w:r>
    </w:p>
    <w:p w14:paraId="4536BA49" w14:textId="77777777" w:rsidR="007801FB" w:rsidRDefault="00A52BC2" w:rsidP="00A52BC2">
      <w:pPr>
        <w:pStyle w:val="Zkladntext"/>
        <w:numPr>
          <w:ilvl w:val="0"/>
          <w:numId w:val="4"/>
        </w:numPr>
        <w:spacing w:after="120"/>
        <w:ind w:left="425" w:hanging="425"/>
        <w:jc w:val="both"/>
        <w:rPr>
          <w:sz w:val="20"/>
        </w:rPr>
      </w:pPr>
      <w:r>
        <w:rPr>
          <w:sz w:val="20"/>
        </w:rPr>
        <w:t>Dodatek</w:t>
      </w:r>
      <w:r>
        <w:rPr>
          <w:rFonts w:eastAsiaTheme="minorHAnsi" w:cs="Arial"/>
          <w:sz w:val="20"/>
          <w:lang w:eastAsia="en-US"/>
        </w:rPr>
        <w:t xml:space="preserve"> </w:t>
      </w:r>
      <w:r>
        <w:rPr>
          <w:sz w:val="20"/>
        </w:rPr>
        <w:t>se uzavírá v elektronické podobě a je uzavřen okamžikem, kdy k němu připojí elektronický podpis poslední ze Smluvních stran. Dodatek nabývá účinnosti dnem následujícím po dni jeho uveřejnění dle zákona č. 340/2015 Sb., o zvláštních podmínkách účinnosti některých smluv, uveřejňování těchto smluv a o registru smluv (zákon o registru smluv), ve znění pozdějších předpisů (dále jen „</w:t>
      </w:r>
      <w:r>
        <w:rPr>
          <w:b/>
          <w:sz w:val="20"/>
        </w:rPr>
        <w:t>Zákon o registru smluv</w:t>
      </w:r>
      <w:r>
        <w:rPr>
          <w:sz w:val="20"/>
        </w:rPr>
        <w:t>“). Správce se zavazuje nejpozději do dvaceti (20) dnů od uzavření Dodatku uveřejnit jeho obsah a tzv. metadata a splnit další povinnosti v souladu se Zákonem o registru smluv. Správce se zavazuje doručit Uživateli potvrzení o uveřejnění Dodatku dle Zákona o registru smluv vydané správcem registru smluv nejpozději následující den po jeho obdržení. Nebude-li Dodatek uveřejněn v souladu se Zákonem o registru smluv ani do tří (3) měsíců od jeho uzavření, zavazuje se Správce uzavřít s Uživatelem nový dodatek, který svým obsahem bude hospodářsky odpovídat znění Dodatku (přičemž určení lhůt, dob a termínů bude odpovídat tomuto principu a časovému posunu), a to do sedmi (7) dnů od doručení výzvy Uživatele Správci. Ujednání tohoto odstavce nabývá účinnosti dnem uzavření Dodatku.</w:t>
      </w:r>
    </w:p>
    <w:p w14:paraId="5F95637A" w14:textId="77777777" w:rsidR="007801FB" w:rsidRDefault="00A52BC2">
      <w:pPr>
        <w:pStyle w:val="Zkladntext2"/>
        <w:tabs>
          <w:tab w:val="left" w:pos="5103"/>
        </w:tabs>
        <w:rPr>
          <w:b/>
          <w:bCs/>
          <w:szCs w:val="22"/>
        </w:rPr>
      </w:pPr>
      <w:r>
        <w:rPr>
          <w:b/>
          <w:bCs/>
          <w:szCs w:val="22"/>
        </w:rPr>
        <w:t>CETIN a.s.</w:t>
      </w:r>
      <w:r>
        <w:rPr>
          <w:b/>
          <w:bCs/>
          <w:szCs w:val="22"/>
        </w:rPr>
        <w:tab/>
        <w:t>Kolektory Praha, a.s.</w:t>
      </w:r>
    </w:p>
    <w:p w14:paraId="01161AD0" w14:textId="77777777" w:rsidR="007801FB" w:rsidRDefault="00A52BC2">
      <w:pPr>
        <w:tabs>
          <w:tab w:val="left" w:pos="5103"/>
        </w:tabs>
        <w:spacing w:before="840"/>
        <w:jc w:val="both"/>
        <w:rPr>
          <w:rFonts w:ascii="Arial" w:hAnsi="Arial"/>
          <w:sz w:val="22"/>
          <w:szCs w:val="22"/>
        </w:rPr>
      </w:pPr>
      <w:r>
        <w:rPr>
          <w:rFonts w:ascii="Arial" w:hAnsi="Arial"/>
          <w:sz w:val="22"/>
          <w:szCs w:val="22"/>
        </w:rPr>
        <w:t>...........................................</w:t>
      </w:r>
      <w:r>
        <w:rPr>
          <w:rFonts w:ascii="Arial" w:hAnsi="Arial"/>
          <w:sz w:val="22"/>
          <w:szCs w:val="22"/>
        </w:rPr>
        <w:tab/>
        <w:t>...............................……………</w:t>
      </w:r>
    </w:p>
    <w:p w14:paraId="480F48B9" w14:textId="77777777" w:rsidR="007801FB" w:rsidRDefault="00A52BC2">
      <w:pPr>
        <w:tabs>
          <w:tab w:val="left" w:pos="5103"/>
        </w:tabs>
        <w:jc w:val="both"/>
        <w:rPr>
          <w:rFonts w:ascii="Arial" w:hAnsi="Arial" w:cs="Arial"/>
          <w:sz w:val="22"/>
          <w:szCs w:val="22"/>
        </w:rPr>
      </w:pPr>
      <w:r>
        <w:rPr>
          <w:rFonts w:ascii="Arial" w:hAnsi="Arial" w:cs="Arial"/>
          <w:sz w:val="22"/>
          <w:szCs w:val="22"/>
        </w:rPr>
        <w:t>Ing. Josef Slovák</w:t>
      </w:r>
      <w:r>
        <w:rPr>
          <w:rFonts w:ascii="Arial" w:hAnsi="Arial"/>
          <w:sz w:val="22"/>
          <w:szCs w:val="22"/>
        </w:rPr>
        <w:t xml:space="preserve"> </w:t>
      </w:r>
      <w:r>
        <w:rPr>
          <w:rFonts w:ascii="Arial" w:hAnsi="Arial"/>
          <w:sz w:val="22"/>
          <w:szCs w:val="22"/>
        </w:rPr>
        <w:tab/>
        <w:t>Ing. Petr Švec</w:t>
      </w:r>
    </w:p>
    <w:p w14:paraId="0D65ACAA" w14:textId="77777777" w:rsidR="007801FB" w:rsidRDefault="00A52BC2">
      <w:pPr>
        <w:tabs>
          <w:tab w:val="left" w:pos="5103"/>
        </w:tabs>
        <w:jc w:val="both"/>
        <w:rPr>
          <w:rFonts w:ascii="Arial" w:hAnsi="Arial"/>
          <w:sz w:val="22"/>
          <w:szCs w:val="22"/>
        </w:rPr>
      </w:pPr>
      <w:r>
        <w:rPr>
          <w:rFonts w:ascii="Arial" w:hAnsi="Arial"/>
          <w:sz w:val="22"/>
          <w:szCs w:val="22"/>
        </w:rPr>
        <w:t xml:space="preserve">ředitel Network Deployment and Maintenance </w:t>
      </w:r>
      <w:r>
        <w:rPr>
          <w:rFonts w:ascii="Arial" w:hAnsi="Arial"/>
          <w:sz w:val="22"/>
          <w:szCs w:val="22"/>
        </w:rPr>
        <w:tab/>
        <w:t>předseda představenstva</w:t>
      </w:r>
      <w:r>
        <w:rPr>
          <w:rFonts w:ascii="Arial" w:hAnsi="Arial"/>
          <w:sz w:val="22"/>
          <w:szCs w:val="22"/>
        </w:rPr>
        <w:tab/>
      </w:r>
    </w:p>
    <w:p w14:paraId="109DB154" w14:textId="77777777" w:rsidR="007801FB" w:rsidRDefault="00A52BC2">
      <w:pPr>
        <w:tabs>
          <w:tab w:val="left" w:pos="5103"/>
        </w:tabs>
        <w:jc w:val="both"/>
        <w:rPr>
          <w:rFonts w:ascii="Arial" w:hAnsi="Arial"/>
          <w:sz w:val="22"/>
          <w:szCs w:val="22"/>
        </w:rPr>
      </w:pPr>
      <w:r>
        <w:rPr>
          <w:rFonts w:ascii="Arial" w:hAnsi="Arial"/>
          <w:sz w:val="22"/>
          <w:szCs w:val="22"/>
        </w:rPr>
        <w:tab/>
      </w:r>
    </w:p>
    <w:p w14:paraId="0CA8A681" w14:textId="77777777" w:rsidR="007801FB" w:rsidRDefault="00A52BC2">
      <w:pPr>
        <w:pStyle w:val="Zkladntext2"/>
        <w:tabs>
          <w:tab w:val="left" w:pos="5103"/>
        </w:tabs>
        <w:spacing w:before="840"/>
        <w:rPr>
          <w:szCs w:val="22"/>
        </w:rPr>
      </w:pPr>
      <w:r>
        <w:rPr>
          <w:szCs w:val="22"/>
        </w:rPr>
        <w:tab/>
        <w:t>.................................................</w:t>
      </w:r>
    </w:p>
    <w:p w14:paraId="3D08652D" w14:textId="77777777" w:rsidR="007801FB" w:rsidRDefault="00A52BC2">
      <w:pPr>
        <w:tabs>
          <w:tab w:val="left" w:pos="5103"/>
        </w:tabs>
        <w:rPr>
          <w:rFonts w:ascii="Arial" w:hAnsi="Arial"/>
          <w:sz w:val="22"/>
          <w:szCs w:val="22"/>
        </w:rPr>
      </w:pPr>
      <w:r>
        <w:rPr>
          <w:rFonts w:ascii="Arial" w:hAnsi="Arial"/>
          <w:sz w:val="22"/>
          <w:szCs w:val="22"/>
        </w:rPr>
        <w:tab/>
        <w:t>Mgr. Jan Vidím</w:t>
      </w:r>
    </w:p>
    <w:p w14:paraId="061E3FAD" w14:textId="77777777" w:rsidR="007801FB" w:rsidRDefault="00A52BC2">
      <w:pPr>
        <w:tabs>
          <w:tab w:val="left" w:pos="5103"/>
        </w:tabs>
        <w:jc w:val="both"/>
        <w:rPr>
          <w:rFonts w:ascii="Arial" w:hAnsi="Arial"/>
          <w:sz w:val="22"/>
          <w:szCs w:val="22"/>
        </w:rPr>
      </w:pPr>
      <w:r>
        <w:rPr>
          <w:rFonts w:ascii="Arial" w:hAnsi="Arial"/>
          <w:sz w:val="22"/>
          <w:szCs w:val="22"/>
        </w:rPr>
        <w:tab/>
        <w:t>místopředseda představenstva</w:t>
      </w:r>
    </w:p>
    <w:sectPr w:rsidR="007801FB">
      <w:headerReference w:type="default" r:id="rId12"/>
      <w:footerReference w:type="even" r:id="rId13"/>
      <w:footerReference w:type="default" r:id="rId14"/>
      <w:footerReference w:type="first" r:id="rId15"/>
      <w:pgSz w:w="11906" w:h="16838"/>
      <w:pgMar w:top="1418" w:right="1418" w:bottom="851" w:left="1418" w:header="709"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DA52" w14:textId="77777777" w:rsidR="00E96890" w:rsidRDefault="00A52BC2">
      <w:r>
        <w:separator/>
      </w:r>
    </w:p>
  </w:endnote>
  <w:endnote w:type="continuationSeparator" w:id="0">
    <w:p w14:paraId="00714B4B" w14:textId="77777777" w:rsidR="00E96890" w:rsidRDefault="00A5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3FF5" w14:textId="77777777" w:rsidR="007801FB" w:rsidRDefault="00A52BC2">
    <w:pPr>
      <w:pStyle w:val="Zpat"/>
    </w:pPr>
    <w:r>
      <w:rPr>
        <w:noProof/>
      </w:rPr>
      <mc:AlternateContent>
        <mc:Choice Requires="wps">
          <w:drawing>
            <wp:anchor distT="0" distB="0" distL="0" distR="0" simplePos="0" relativeHeight="6" behindDoc="0" locked="0" layoutInCell="0" allowOverlap="1" wp14:anchorId="04914AA7" wp14:editId="54E9ACC7">
              <wp:simplePos x="0" y="0"/>
              <wp:positionH relativeFrom="margin">
                <wp:align>center</wp:align>
              </wp:positionH>
              <wp:positionV relativeFrom="paragraph">
                <wp:posOffset>635</wp:posOffset>
              </wp:positionV>
              <wp:extent cx="18415" cy="18415"/>
              <wp:effectExtent l="0" t="0" r="0" b="0"/>
              <wp:wrapSquare wrapText="bothSides"/>
              <wp:docPr id="7" name="Frame2"/>
              <wp:cNvGraphicFramePr/>
              <a:graphic xmlns:a="http://schemas.openxmlformats.org/drawingml/2006/main">
                <a:graphicData uri="http://schemas.microsoft.com/office/word/2010/wordprocessingShape">
                  <wps:wsp>
                    <wps:cNvSpPr/>
                    <wps:spPr>
                      <a:xfrm>
                        <a:off x="0" y="0"/>
                        <a:ext cx="17640" cy="17640"/>
                      </a:xfrm>
                      <a:prstGeom prst="rect">
                        <a:avLst/>
                      </a:prstGeom>
                      <a:noFill/>
                      <a:ln w="0">
                        <a:noFill/>
                      </a:ln>
                    </wps:spPr>
                    <wps:style>
                      <a:lnRef idx="0">
                        <a:scrgbClr r="0" g="0" b="0"/>
                      </a:lnRef>
                      <a:fillRef idx="0">
                        <a:scrgbClr r="0" g="0" b="0"/>
                      </a:fillRef>
                      <a:effectRef idx="0">
                        <a:scrgbClr r="0" g="0" b="0"/>
                      </a:effectRef>
                      <a:fontRef idx="minor"/>
                    </wps:style>
                    <wps:txbx>
                      <w:txbxContent>
                        <w:p w14:paraId="7F615C5E" w14:textId="77777777" w:rsidR="007801FB" w:rsidRDefault="00A52BC2">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color w:val="000000"/>
                            </w:rPr>
                            <w:t>0</w:t>
                          </w:r>
                          <w:r>
                            <w:rPr>
                              <w:rStyle w:val="slostrnky"/>
                              <w:color w:val="000000"/>
                            </w:rPr>
                            <w:fldChar w:fldCharType="end"/>
                          </w:r>
                        </w:p>
                      </w:txbxContent>
                    </wps:txbx>
                    <wps:bodyPr lIns="0" tIns="0" rIns="0" bIns="0" anchor="t">
                      <a:spAutoFit/>
                    </wps:bodyPr>
                  </wps:wsp>
                </a:graphicData>
              </a:graphic>
            </wp:anchor>
          </w:drawing>
        </mc:Choice>
        <mc:Fallback>
          <w:pict>
            <v:rect w14:anchorId="04914AA7" id="Frame2" o:spid="_x0000_s1029" style="position:absolute;margin-left:0;margin-top:.05pt;width:1.45pt;height:1.45pt;z-index: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veyQEAAAAEAAAOAAAAZHJzL2Uyb0RvYy54bWysU8Fu2zAMvQ/oPwi6L066ohuMOMWwosWA&#10;YSvW7QNkWYoFSKJAqbHz96Pk2Om2U4teZJoiH/keqe3N6Cw7KIwGfMM3qzVnykvojN83/Pevu/ef&#10;OItJ+E5Y8KrhRxX5ze7i3XYItbqEHmynkBGIj/UQGt6nFOqqirJXTsQVBOXpUgM6kegX91WHYiB0&#10;Z6vL9fq6GgC7gCBVjOS9nS75ruBrrWT6oXVUidmGU2+pnFjONp/VbivqPYrQG3lqQ7yiCyeMp6IL&#10;1K1Igj2h+Q/KGYkQQaeVBFeB1kaqwoHYbNb/sHnsRVCFC4kTwyJTfDtY+f3wGB6QZBhCrCOZmcWo&#10;0eUv9cfGItZxEUuNiUlybj5eX5Gikm4mkzCqc2rAmO4VOJaNhiNNoggkDt9imkLnkFzJw52xtkzD&#10;ejbkan+5Cdl6KnDusljpaFWOs/6n0sx0pdnsiBL37ReLbJo1LSP1Ok+8gFFCDtRU9oW5p5ScrcqK&#10;vTB/SSr1wacl3xkPmHdy4jmxy0TT2I5Er+Ef8m32tNAdH5DZr562IW/2bOBstLMhvOyBdJgGEMPn&#10;p0RqlyGckU41ac3KGE9PIu/x8/8SdX64uz8AAAD//wMAUEsDBBQABgAIAAAAIQAbL9ka1AAAAAEB&#10;AAAPAAAAZHJzL2Rvd25yZXYueG1sTI/BTsMwEETvSPyDtUjcqN0iERriVAjROxQOHLfxEhvidRS7&#10;bfh7tic47sxo5m2zmeOgjjTlkNjCcmFAEXfJBe4tvL9tb+5B5YLscEhMFn4ow6a9vGiwdunEr3Tc&#10;lV5JCecaLfhSxlrr3HmKmBdpJBbvM00Ri5xTr92EJymPg14Zc6cjBpYFjyM9eeq+d4doQYfwVX3E&#10;pXnG7fzi11UVTKisvb6aHx9AFZrLXxjO+IIOrTDt04FdVoMFeaScVSXeag1qb+HWgG4b/Z+8/QUA&#10;AP//AwBQSwECLQAUAAYACAAAACEAtoM4kv4AAADhAQAAEwAAAAAAAAAAAAAAAAAAAAAAW0NvbnRl&#10;bnRfVHlwZXNdLnhtbFBLAQItABQABgAIAAAAIQA4/SH/1gAAAJQBAAALAAAAAAAAAAAAAAAAAC8B&#10;AABfcmVscy8ucmVsc1BLAQItABQABgAIAAAAIQDN9lveyQEAAAAEAAAOAAAAAAAAAAAAAAAAAC4C&#10;AABkcnMvZTJvRG9jLnhtbFBLAQItABQABgAIAAAAIQAbL9ka1AAAAAEBAAAPAAAAAAAAAAAAAAAA&#10;ACMEAABkcnMvZG93bnJldi54bWxQSwUGAAAAAAQABADzAAAAJAUAAAAA&#10;" o:allowincell="f" filled="f" stroked="f" strokeweight="0">
              <v:textbox style="mso-fit-shape-to-text:t" inset="0,0,0,0">
                <w:txbxContent>
                  <w:p w14:paraId="7F615C5E" w14:textId="77777777" w:rsidR="007801FB" w:rsidRDefault="00A52BC2">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Pr>
                        <w:rStyle w:val="slostrnky"/>
                        <w:color w:val="000000"/>
                      </w:rPr>
                      <w:t>0</w:t>
                    </w:r>
                    <w:r>
                      <w:rPr>
                        <w:rStyle w:val="slostrnky"/>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7DDD" w14:textId="77777777" w:rsidR="007801FB" w:rsidRDefault="00A52BC2">
    <w:pPr>
      <w:pStyle w:val="Zpat"/>
      <w:pBdr>
        <w:top w:val="single" w:sz="4" w:space="1" w:color="000000"/>
      </w:pBdr>
      <w:jc w:val="center"/>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PAGE</w:instrText>
    </w:r>
    <w:r>
      <w:rPr>
        <w:rStyle w:val="slostrnky"/>
        <w:rFonts w:ascii="Arial" w:hAnsi="Arial" w:cs="Arial"/>
        <w:sz w:val="16"/>
        <w:szCs w:val="16"/>
      </w:rPr>
      <w:fldChar w:fldCharType="separate"/>
    </w:r>
    <w:r>
      <w:rPr>
        <w:rStyle w:val="slostrnky"/>
        <w:rFonts w:ascii="Arial" w:hAnsi="Arial" w:cs="Arial"/>
        <w:noProof/>
        <w:sz w:val="16"/>
        <w:szCs w:val="16"/>
      </w:rPr>
      <w:t>1</w:t>
    </w:r>
    <w:r>
      <w:rPr>
        <w:rStyle w:val="slostrnky"/>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B404" w14:textId="77777777" w:rsidR="007801FB" w:rsidRDefault="00A52BC2">
    <w:pPr>
      <w:pStyle w:val="Zpat"/>
      <w:pBdr>
        <w:top w:val="single" w:sz="4" w:space="1" w:color="000000"/>
      </w:pBdr>
      <w:jc w:val="center"/>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PAGE</w:instrText>
    </w:r>
    <w:r>
      <w:rPr>
        <w:rStyle w:val="slostrnky"/>
        <w:rFonts w:ascii="Arial" w:hAnsi="Arial" w:cs="Arial"/>
        <w:sz w:val="16"/>
        <w:szCs w:val="16"/>
      </w:rPr>
      <w:fldChar w:fldCharType="separate"/>
    </w:r>
    <w:r>
      <w:rPr>
        <w:rStyle w:val="slostrnky"/>
        <w:rFonts w:ascii="Arial" w:hAnsi="Arial" w:cs="Arial"/>
        <w:sz w:val="16"/>
        <w:szCs w:val="16"/>
      </w:rPr>
      <w:t>2</w:t>
    </w:r>
    <w:r>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EB72" w14:textId="77777777" w:rsidR="00E96890" w:rsidRDefault="00A52BC2">
      <w:r>
        <w:separator/>
      </w:r>
    </w:p>
  </w:footnote>
  <w:footnote w:type="continuationSeparator" w:id="0">
    <w:p w14:paraId="42B58706" w14:textId="77777777" w:rsidR="00E96890" w:rsidRDefault="00A5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B7BE" w14:textId="77777777" w:rsidR="007801FB" w:rsidRDefault="00A52BC2">
    <w:pPr>
      <w:pStyle w:val="Zhlav"/>
      <w:pBdr>
        <w:bottom w:val="single" w:sz="4" w:space="1" w:color="000000"/>
      </w:pBdr>
      <w:tabs>
        <w:tab w:val="clear" w:pos="4536"/>
      </w:tabs>
      <w:jc w:val="right"/>
      <w:rPr>
        <w:rFonts w:ascii="Arial" w:hAnsi="Arial"/>
        <w:sz w:val="16"/>
        <w:szCs w:val="16"/>
      </w:rPr>
    </w:pPr>
    <w:r>
      <w:rPr>
        <w:noProof/>
      </w:rPr>
      <mc:AlternateContent>
        <mc:Choice Requires="wps">
          <w:drawing>
            <wp:anchor distT="3175" distB="0" distL="3175" distR="3175" simplePos="0" relativeHeight="4" behindDoc="1" locked="0" layoutInCell="0" allowOverlap="1" wp14:anchorId="06DB7F0D" wp14:editId="2DA5BBF0">
              <wp:simplePos x="0" y="0"/>
              <wp:positionH relativeFrom="page">
                <wp:posOffset>0</wp:posOffset>
              </wp:positionH>
              <wp:positionV relativeFrom="page">
                <wp:posOffset>190500</wp:posOffset>
              </wp:positionV>
              <wp:extent cx="7564755" cy="277495"/>
              <wp:effectExtent l="0" t="0" r="0" b="12700"/>
              <wp:wrapNone/>
              <wp:docPr id="1" name="MSIPCM2f2b4ce5b37313903bc08290"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3960" cy="276840"/>
                      </a:xfrm>
                      <a:prstGeom prst="rect">
                        <a:avLst/>
                      </a:prstGeom>
                      <a:noFill/>
                      <a:ln w="6350">
                        <a:noFill/>
                      </a:ln>
                    </wps:spPr>
                    <wps:style>
                      <a:lnRef idx="0">
                        <a:scrgbClr r="0" g="0" b="0"/>
                      </a:lnRef>
                      <a:fillRef idx="0">
                        <a:scrgbClr r="0" g="0" b="0"/>
                      </a:fillRef>
                      <a:effectRef idx="0">
                        <a:scrgbClr r="0" g="0" b="0"/>
                      </a:effectRef>
                      <a:fontRef idx="minor"/>
                    </wps:style>
                    <wps:txbx>
                      <w:txbxContent>
                        <w:p w14:paraId="23962C68"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wps:txbx>
                    <wps:bodyPr tIns="0" rIns="254160" bIns="0" anchor="t">
                      <a:prstTxWarp prst="textNoShape">
                        <a:avLst/>
                      </a:prstTxWarp>
                      <a:noAutofit/>
                    </wps:bodyPr>
                  </wps:wsp>
                </a:graphicData>
              </a:graphic>
            </wp:anchor>
          </w:drawing>
        </mc:Choice>
        <mc:Fallback>
          <w:pict>
            <v:rect w14:anchorId="06DB7F0D" id="MSIPCM2f2b4ce5b37313903bc08290" o:spid="_x0000_s1026" alt="{&quot;HashCode&quot;:-1410561543,&quot;Height&quot;:841.0,&quot;Width&quot;:595.0,&quot;Placement&quot;:&quot;Header&quot;,&quot;Index&quot;:&quot;Primary&quot;,&quot;Section&quot;:1,&quot;Top&quot;:0.0,&quot;Left&quot;:0.0}" style="position:absolute;left:0;text-align:left;margin-left:0;margin-top:15pt;width:595.65pt;height:21.85pt;z-index:-503316476;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hf6wEAADUEAAAOAAAAZHJzL2Uyb0RvYy54bWysU8Fu2zAMvQ/YPwi6L07SJu2MOMWwosOA&#10;oSvWFjsrshQLkEWBUmPn70fJjjN0pxa7yLLER77HR21u+tayg8JgwFV8MZtzppyE2rh9xZ+f7j5d&#10;cxaicLWw4FTFjyrwm+3HD5vOl2oJDdhaIaMkLpSdr3gToy+LIshGtSLMwCtHlxqwFZF+cV/UKDrK&#10;3tpiOZ+viw6w9ghShUCnt8Ml3+b8WisZf2odVGS24sQt5hXzuktrsd2Ico/CN0aONMQ7WLTCOCo6&#10;pboVUbAXNP+kao1ECKDjTEJbgNZGqqyB1Czmr9Q8NsKrrIWaE/zUpvD/0sr7w6N/QGpD50MZaJtU&#10;9Brb9CV+rM/NOk7NUn1kkg6vVuuLz2vqqaS75dX6+jJ3szijPYb4TUHL0qbiSGbkHonDjxCpIoWe&#10;QlIxB3fG2myIdayr+PpiNc+A6YYQ1hHwzDXv4tGqlMG6X0ozU2fK6SBI3O++WmSD4zSSxPfke05G&#10;gBSoqfIbsSMkoVUetDfiJ1CuDy5O+NY4wDSZg85BXRIa+10/OrWD+viALH53NAwkCvNmubpcJEt2&#10;p2PhZAMkfmh86vZT/1ugHy2JZOY9nMZMlK+cGWITPwdfXiJok21LVIb6I0Wazezm+I7S8P/9n6PO&#10;r337BwAA//8DAFBLAwQUAAYACAAAACEAlqBe9t0AAAAHAQAADwAAAGRycy9kb3ducmV2LnhtbEyP&#10;wU7DMBBE70j8g7VI3KiTBpE2xKkQAk5cKEW9OvESh8brKHbawNezPcFptJrVzJtyM7teHHEMnScF&#10;6SIBgdR401GrYPf+fLMCEaImo3tPqOAbA2yqy4tSF8af6A2P29gKDqFQaAU2xqGQMjQWnQ4LPyCx&#10;9+lHpyOfYyvNqE8c7nq5TJI76XRH3GD1gI8Wm8N2clyy3r/auP96Wi0PZqp/dvnL7Uet1PXV/HAP&#10;IuIc/57hjM/oUDFT7ScyQfQKeEhUkCWsZzddpxmIWkGe5SCrUv7nr34BAAD//wMAUEsBAi0AFAAG&#10;AAgAAAAhALaDOJL+AAAA4QEAABMAAAAAAAAAAAAAAAAAAAAAAFtDb250ZW50X1R5cGVzXS54bWxQ&#10;SwECLQAUAAYACAAAACEAOP0h/9YAAACUAQAACwAAAAAAAAAAAAAAAAAvAQAAX3JlbHMvLnJlbHNQ&#10;SwECLQAUAAYACAAAACEAl1UIX+sBAAA1BAAADgAAAAAAAAAAAAAAAAAuAgAAZHJzL2Uyb0RvYy54&#10;bWxQSwECLQAUAAYACAAAACEAlqBe9t0AAAAHAQAADwAAAAAAAAAAAAAAAABFBAAAZHJzL2Rvd25y&#10;ZXYueG1sUEsFBgAAAAAEAAQA8wAAAE8FAAAAAA==&#10;" o:allowincell="f" filled="f" stroked="f" strokeweight=".5pt">
              <v:textbox inset=",0,7.06mm,0">
                <w:txbxContent>
                  <w:p w14:paraId="23962C68"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v:textbox>
              <w10:wrap anchorx="page" anchory="page"/>
            </v:rect>
          </w:pict>
        </mc:Fallback>
      </mc:AlternateContent>
    </w:r>
    <w:r>
      <w:rPr>
        <w:noProof/>
      </w:rPr>
      <mc:AlternateContent>
        <mc:Choice Requires="wps">
          <w:drawing>
            <wp:anchor distT="3175" distB="0" distL="3175" distR="3175" simplePos="0" relativeHeight="9" behindDoc="1" locked="0" layoutInCell="0" allowOverlap="1" wp14:anchorId="4A27B217" wp14:editId="6FE7F644">
              <wp:simplePos x="0" y="0"/>
              <wp:positionH relativeFrom="page">
                <wp:posOffset>0</wp:posOffset>
              </wp:positionH>
              <wp:positionV relativeFrom="page">
                <wp:posOffset>190500</wp:posOffset>
              </wp:positionV>
              <wp:extent cx="7563485" cy="276225"/>
              <wp:effectExtent l="0" t="0" r="0" b="12700"/>
              <wp:wrapNone/>
              <wp:docPr id="3" name="MSIPCM2abd468a9cc4ed65123cfbad"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2880" cy="275760"/>
                      </a:xfrm>
                      <a:prstGeom prst="rect">
                        <a:avLst/>
                      </a:prstGeom>
                      <a:noFill/>
                      <a:ln w="6350">
                        <a:noFill/>
                      </a:ln>
                    </wps:spPr>
                    <wps:style>
                      <a:lnRef idx="0">
                        <a:scrgbClr r="0" g="0" b="0"/>
                      </a:lnRef>
                      <a:fillRef idx="0">
                        <a:scrgbClr r="0" g="0" b="0"/>
                      </a:fillRef>
                      <a:effectRef idx="0">
                        <a:scrgbClr r="0" g="0" b="0"/>
                      </a:effectRef>
                      <a:fontRef idx="minor"/>
                    </wps:style>
                    <wps:txbx>
                      <w:txbxContent>
                        <w:p w14:paraId="4B66BD56"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wps:txbx>
                    <wps:bodyPr tIns="0" rIns="254160" bIns="0" anchor="t">
                      <a:prstTxWarp prst="textNoShape">
                        <a:avLst/>
                      </a:prstTxWarp>
                      <a:noAutofit/>
                    </wps:bodyPr>
                  </wps:wsp>
                </a:graphicData>
              </a:graphic>
            </wp:anchor>
          </w:drawing>
        </mc:Choice>
        <mc:Fallback>
          <w:pict>
            <v:rect w14:anchorId="4A27B217" id="MSIPCM2abd468a9cc4ed65123cfbad" o:spid="_x0000_s1027" alt="{&quot;HashCode&quot;:-1410561543,&quot;Height&quot;:841.0,&quot;Width&quot;:595.0,&quot;Placement&quot;:&quot;Header&quot;,&quot;Index&quot;:&quot;Primary&quot;,&quot;Section&quot;:1,&quot;Top&quot;:0.0,&quot;Left&quot;:0.0}" style="position:absolute;left:0;text-align:left;margin-left:0;margin-top:15pt;width:595.55pt;height:21.75pt;z-index:-503316471;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QP7wEAADwEAAAOAAAAZHJzL2Uyb0RvYy54bWysU01v2zAMvQ/YfxB0X+xkyweMOMWwosOA&#10;oSvaDjsrshQLkEWBUmPn34+SE2foTh12kWWSj+R7pLY3Q2fZUWEw4Go+n5WcKSehMe5Q85/Pdx82&#10;nIUoXCMsOFXzkwr8Zvf+3bb3lVpAC7ZRyCiJC1Xva97G6KuiCLJVnQgz8MqRUwN2ItIvHooGRU/Z&#10;O1ssynJV9ICNR5AqBLLejk6+y/m1VjL+0DqoyGzNqbeYT8znPp3FbiuqAwrfGnluQ/xDF50wjopO&#10;qW5FFOwFzV+pOiMRAug4k9AVoLWRKnMgNvPyFZunVniVuZA4wU8yhf+XVt4fn/wDkgy9D1Wga2Ix&#10;aOzSl/pjQxbrNImlhsgkGdfL1WKzIU0l+Rbr5XqV1SyuaI8hflXQsXSpOdIwskbi+D1Eqkihl5BU&#10;zMGdsTYPxDrW13z1cVlmwOQhhHUEvPaab/FkVcpg3aPSzDS55WQIEg/7LxbZOHFaSer3MvecjAAp&#10;UFPlN2LPkIRWedHeiJ9AuT64OOE74wDTZo48R3aJaBz2A9Gjd5a8ybKH5vSALH5ztBPEDfNlsfw0&#10;p2mw/cUsnGyBNBj1T6I/D78E+vNkIs30Hi7bJqpXAxpjU5sOPr9E0CZP71r/3CmtaB7q+TmlN/Dn&#10;f466PvrdbwAAAP//AwBQSwMEFAAGAAgAAAAhAOWQ8l/eAAAABwEAAA8AAABkcnMvZG93bnJldi54&#10;bWxMj8FOwzAQRO9I/IO1SNyokxZom8apEAJOXFqKenXibRwar6PYaQNfz/YEp9FqVjNv8vXoWnHC&#10;PjSeFKSTBARS5U1DtYLdx+vdAkSImoxuPaGCbwywLq6vcp0Zf6YNnraxFhxCIdMKbIxdJmWoLDod&#10;Jr5DYu/ge6cjn30tTa/PHO5aOU2SR+l0Q9xgdYfPFqvjdnBcsty/27j/ellMj2Yof3bzt/vPUqnb&#10;m/FpBSLiGP+e4YLP6FAwU+kHMkG0CnhIVDBLWC9uukxTEKWC+ewBZJHL//zFLwAAAP//AwBQSwEC&#10;LQAUAAYACAAAACEAtoM4kv4AAADhAQAAEwAAAAAAAAAAAAAAAAAAAAAAW0NvbnRlbnRfVHlwZXNd&#10;LnhtbFBLAQItABQABgAIAAAAIQA4/SH/1gAAAJQBAAALAAAAAAAAAAAAAAAAAC8BAABfcmVscy8u&#10;cmVsc1BLAQItABQABgAIAAAAIQDLprQP7wEAADwEAAAOAAAAAAAAAAAAAAAAAC4CAABkcnMvZTJv&#10;RG9jLnhtbFBLAQItABQABgAIAAAAIQDlkPJf3gAAAAcBAAAPAAAAAAAAAAAAAAAAAEkEAABkcnMv&#10;ZG93bnJldi54bWxQSwUGAAAAAAQABADzAAAAVAUAAAAA&#10;" o:allowincell="f" filled="f" stroked="f" strokeweight=".5pt">
              <v:textbox inset=",0,7.06mm,0">
                <w:txbxContent>
                  <w:p w14:paraId="4B66BD56" w14:textId="77777777" w:rsidR="007801FB" w:rsidRDefault="00A52BC2">
                    <w:pPr>
                      <w:pStyle w:val="FrameContents"/>
                      <w:jc w:val="right"/>
                      <w:rPr>
                        <w:rFonts w:ascii="Calibri" w:hAnsi="Calibri" w:cs="Calibri"/>
                        <w:color w:val="000000"/>
                        <w:sz w:val="20"/>
                      </w:rPr>
                    </w:pPr>
                    <w:r>
                      <w:rPr>
                        <w:rFonts w:ascii="Calibri" w:hAnsi="Calibri" w:cs="Calibri"/>
                        <w:color w:val="000000"/>
                        <w:sz w:val="20"/>
                      </w:rPr>
                      <w:t>Company INTERNAL</w:t>
                    </w:r>
                  </w:p>
                </w:txbxContent>
              </v:textbox>
              <w10:wrap anchorx="page" anchory="page"/>
            </v:rect>
          </w:pict>
        </mc:Fallback>
      </mc:AlternateContent>
    </w:r>
    <w:r>
      <w:rPr>
        <w:noProof/>
      </w:rPr>
      <mc:AlternateContent>
        <mc:Choice Requires="wps">
          <w:drawing>
            <wp:anchor distT="3175" distB="0" distL="3175" distR="3175" simplePos="0" relativeHeight="13" behindDoc="1" locked="0" layoutInCell="0" allowOverlap="1" wp14:anchorId="30DF8DB5" wp14:editId="0B4C2E1A">
              <wp:simplePos x="0" y="0"/>
              <wp:positionH relativeFrom="page">
                <wp:posOffset>0</wp:posOffset>
              </wp:positionH>
              <wp:positionV relativeFrom="page">
                <wp:posOffset>190500</wp:posOffset>
              </wp:positionV>
              <wp:extent cx="7561580" cy="274320"/>
              <wp:effectExtent l="0" t="0" r="0" b="12700"/>
              <wp:wrapNone/>
              <wp:docPr id="5" name="MSIPCMef15488d86171c1afce243b6" descr="{&quot;HashCode&quot;:-141056154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1080" cy="273600"/>
                      </a:xfrm>
                      <a:prstGeom prst="rect">
                        <a:avLst/>
                      </a:prstGeom>
                      <a:noFill/>
                      <a:ln w="6350">
                        <a:noFill/>
                      </a:ln>
                    </wps:spPr>
                    <wps:style>
                      <a:lnRef idx="0">
                        <a:scrgbClr r="0" g="0" b="0"/>
                      </a:lnRef>
                      <a:fillRef idx="0">
                        <a:scrgbClr r="0" g="0" b="0"/>
                      </a:fillRef>
                      <a:effectRef idx="0">
                        <a:scrgbClr r="0" g="0" b="0"/>
                      </a:effectRef>
                      <a:fontRef idx="minor"/>
                    </wps:style>
                    <wps:txbx>
                      <w:txbxContent>
                        <w:p w14:paraId="5720B47D" w14:textId="77777777" w:rsidR="007801FB" w:rsidRDefault="007801FB">
                          <w:pPr>
                            <w:pStyle w:val="FrameContents"/>
                            <w:rPr>
                              <w:rFonts w:ascii="Calibri" w:hAnsi="Calibri" w:cs="Calibri"/>
                              <w:color w:val="000000"/>
                              <w:sz w:val="20"/>
                            </w:rPr>
                          </w:pPr>
                        </w:p>
                      </w:txbxContent>
                    </wps:txbx>
                    <wps:bodyPr tIns="0" rIns="254160" bIns="0" anchor="t">
                      <a:prstTxWarp prst="textNoShape">
                        <a:avLst/>
                      </a:prstTxWarp>
                      <a:noAutofit/>
                    </wps:bodyPr>
                  </wps:wsp>
                </a:graphicData>
              </a:graphic>
            </wp:anchor>
          </w:drawing>
        </mc:Choice>
        <mc:Fallback>
          <w:pict>
            <v:rect w14:anchorId="30DF8DB5" id="MSIPCMef15488d86171c1afce243b6" o:spid="_x0000_s1028" alt="{&quot;HashCode&quot;:-1410561543,&quot;Height&quot;:841.0,&quot;Width&quot;:595.0,&quot;Placement&quot;:&quot;Header&quot;,&quot;Index&quot;:&quot;Primary&quot;,&quot;Section&quot;:1,&quot;Top&quot;:0.0,&quot;Left&quot;:0.0}" style="position:absolute;left:0;text-align:left;margin-left:0;margin-top:15pt;width:595.4pt;height:21.6pt;z-index:-503316467;visibility:visible;mso-wrap-style:square;mso-wrap-distance-left:.25pt;mso-wrap-distance-top:.25pt;mso-wrap-distance-right:.2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oh7QEAADwEAAAOAAAAZHJzL2Uyb0RvYy54bWysU8Fu2zAMvQ/YPwi6L3bSxS2MOMWwosOA&#10;oSvWDjsrshQLkEWBUmPn70fJiTN0pw67yDLJR/I9UpvbsbfsoDAYcA1fLkrOlJPQGrdv+M/n+w83&#10;nIUoXCssONXwowr8dvv+3WbwtVpBB7ZVyCiJC/XgG97F6OuiCLJTvQgL8MqRUwP2ItIv7osWxUDZ&#10;e1usyrIqBsDWI0gVAlnvJiff5vxaKxm/ax1UZLbh1FvMJ+Zzl85iuxH1HoXvjDy1If6hi14YR0Xn&#10;VHciCvaC5q9UvZEIAXRcSOgL0NpIlTkQm2X5is1TJ7zKXEic4GeZwv9LKx8OT/4RSYbBhzrQNbEY&#10;NfbpS/2xMYt1nMVSY2SSjNfralnekKaSfKvrq6rMahYXtMcQvyjoWbo0HGkYWSNx+BYiVaTQc0gq&#10;5uDeWJsHYh0bGl5drcsMmD2EsI6Al17zLR6tShms+6E0M21uORmCxP3us0U2TZxWkvo9zz0nI0AK&#10;1FT5jdgTJKFVXrQ34mdQrg8uzvjeOMC0mRPPiV0iGsfdSPRI7uRNlh20x0dk8aujnSBumC+r9cdl&#10;lZiezcLJDkiDSf8k+vP4S6A/TSbSTB/gvG2ifjWgKTa16eDTSwRt8vQu9U+d0ormoZ6eU3oDf/7n&#10;qMuj3/4GAAD//wMAUEsDBBQABgAIAAAAIQB4K3e43QAAAAcBAAAPAAAAZHJzL2Rvd25yZXYueG1s&#10;TI/BTsMwEETvSPyDtUjcqN0U0TbEqRACTlwoRb068RKHxusodtrA17M9wWm1mtHMm2Iz+U4ccYht&#10;IA3zmQKBVAfbUqNh9/58swIRkyFrukCo4RsjbMrLi8LkNpzoDY/b1AgOoZgbDS6lPpcy1g69ibPQ&#10;I7H2GQZvEr9DI+1gThzuO5kpdSe9aYkbnOnx0WF92I6eS9b7V5f2X0+r7GDH6me3fLn9qLS+vpoe&#10;7kEknNKfGc74jA4lM1VhJBtFp4GHJA0LxfeszteKl1QalosMZFnI//zlLwAAAP//AwBQSwECLQAU&#10;AAYACAAAACEAtoM4kv4AAADhAQAAEwAAAAAAAAAAAAAAAAAAAAAAW0NvbnRlbnRfVHlwZXNdLnht&#10;bFBLAQItABQABgAIAAAAIQA4/SH/1gAAAJQBAAALAAAAAAAAAAAAAAAAAC8BAABfcmVscy8ucmVs&#10;c1BLAQItABQABgAIAAAAIQCfH8oh7QEAADwEAAAOAAAAAAAAAAAAAAAAAC4CAABkcnMvZTJvRG9j&#10;LnhtbFBLAQItABQABgAIAAAAIQB4K3e43QAAAAcBAAAPAAAAAAAAAAAAAAAAAEcEAABkcnMvZG93&#10;bnJldi54bWxQSwUGAAAAAAQABADzAAAAUQUAAAAA&#10;" o:allowincell="f" filled="f" stroked="f" strokeweight=".5pt">
              <v:textbox inset=",0,7.06mm,0">
                <w:txbxContent>
                  <w:p w14:paraId="5720B47D" w14:textId="77777777" w:rsidR="007801FB" w:rsidRDefault="007801FB">
                    <w:pPr>
                      <w:pStyle w:val="FrameContents"/>
                      <w:rPr>
                        <w:rFonts w:ascii="Calibri" w:hAnsi="Calibri" w:cs="Calibri"/>
                        <w:color w:val="000000"/>
                        <w:sz w:val="20"/>
                      </w:rPr>
                    </w:pPr>
                  </w:p>
                </w:txbxContent>
              </v:textbox>
              <w10:wrap anchorx="page" anchory="page"/>
            </v:rect>
          </w:pict>
        </mc:Fallback>
      </mc:AlternateContent>
    </w:r>
    <w:r>
      <w:rPr>
        <w:rFonts w:ascii="Arial" w:hAnsi="Arial"/>
        <w:sz w:val="16"/>
        <w:szCs w:val="16"/>
      </w:rPr>
      <w:t>Evidenční číslo smlouvy 7202/97</w:t>
    </w:r>
  </w:p>
  <w:p w14:paraId="2E2BEB7F" w14:textId="77777777" w:rsidR="007801FB" w:rsidRDefault="00A52BC2">
    <w:pPr>
      <w:pStyle w:val="Zhlav"/>
      <w:pBdr>
        <w:bottom w:val="single" w:sz="4" w:space="1" w:color="000000"/>
      </w:pBdr>
      <w:tabs>
        <w:tab w:val="clear" w:pos="4536"/>
      </w:tabs>
      <w:jc w:val="right"/>
      <w:rPr>
        <w:rFonts w:ascii="Arial" w:hAnsi="Arial"/>
        <w:sz w:val="16"/>
        <w:szCs w:val="16"/>
      </w:rPr>
    </w:pPr>
    <w:r>
      <w:rPr>
        <w:rFonts w:ascii="Arial" w:hAnsi="Arial"/>
        <w:sz w:val="16"/>
        <w:szCs w:val="16"/>
      </w:rPr>
      <w:tab/>
      <w:t>2520003552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8B9"/>
    <w:multiLevelType w:val="multilevel"/>
    <w:tmpl w:val="E6DC1DD4"/>
    <w:lvl w:ilvl="0">
      <w:start w:val="1"/>
      <w:numFmt w:val="decimal"/>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 w15:restartNumberingAfterBreak="0">
    <w:nsid w:val="2BD131AC"/>
    <w:multiLevelType w:val="multilevel"/>
    <w:tmpl w:val="AF26D40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8EB3545"/>
    <w:multiLevelType w:val="multilevel"/>
    <w:tmpl w:val="A192C6A8"/>
    <w:lvl w:ilvl="0">
      <w:start w:val="1"/>
      <w:numFmt w:val="decimal"/>
      <w:pStyle w:val="TCZ2"/>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57D7122"/>
    <w:multiLevelType w:val="multilevel"/>
    <w:tmpl w:val="C72EB7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817923"/>
    <w:multiLevelType w:val="multilevel"/>
    <w:tmpl w:val="0DB2A6F4"/>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37581349">
    <w:abstractNumId w:val="2"/>
  </w:num>
  <w:num w:numId="2" w16cid:durableId="1835951624">
    <w:abstractNumId w:val="4"/>
  </w:num>
  <w:num w:numId="3" w16cid:durableId="1294411049">
    <w:abstractNumId w:val="1"/>
  </w:num>
  <w:num w:numId="4" w16cid:durableId="986012301">
    <w:abstractNumId w:val="0"/>
  </w:num>
  <w:num w:numId="5" w16cid:durableId="381684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FB"/>
    <w:rsid w:val="007801FB"/>
    <w:rsid w:val="00947BAA"/>
    <w:rsid w:val="00954D79"/>
    <w:rsid w:val="00A52BC2"/>
    <w:rsid w:val="00E9689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4206"/>
  <w15:docId w15:val="{1D87DA44-9121-4F84-A27F-E063307C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080"/>
    <w:rPr>
      <w:sz w:val="24"/>
    </w:rPr>
  </w:style>
  <w:style w:type="paragraph" w:styleId="Nadpis1">
    <w:name w:val="heading 1"/>
    <w:basedOn w:val="Normln"/>
    <w:next w:val="Normln"/>
    <w:link w:val="Nadpis1Char"/>
    <w:qFormat/>
    <w:rsid w:val="00891080"/>
    <w:pPr>
      <w:keepNext/>
      <w:jc w:val="center"/>
      <w:outlineLvl w:val="0"/>
    </w:pPr>
    <w:rPr>
      <w:rFonts w:ascii="Arial" w:hAnsi="Arial"/>
      <w:b/>
      <w:sz w:val="28"/>
    </w:rPr>
  </w:style>
  <w:style w:type="paragraph" w:styleId="Nadpis2">
    <w:name w:val="heading 2"/>
    <w:basedOn w:val="Normln"/>
    <w:next w:val="Normln"/>
    <w:link w:val="Nadpis2Char"/>
    <w:qFormat/>
    <w:rsid w:val="00891080"/>
    <w:pPr>
      <w:keepNext/>
      <w:jc w:val="center"/>
      <w:outlineLvl w:val="1"/>
    </w:pPr>
    <w:rPr>
      <w:rFonts w:ascii="Arial" w:hAnsi="Arial"/>
      <w:b/>
      <w:bCs/>
      <w:sz w:val="22"/>
    </w:rPr>
  </w:style>
  <w:style w:type="paragraph" w:styleId="Nadpis6">
    <w:name w:val="heading 6"/>
    <w:basedOn w:val="Normln"/>
    <w:next w:val="Normln"/>
    <w:qFormat/>
    <w:rsid w:val="00891080"/>
    <w:pPr>
      <w:keepNext/>
      <w:ind w:right="71"/>
      <w:outlineLvl w:val="5"/>
    </w:pPr>
    <w:rPr>
      <w:rFonts w:ascii="Arial" w:hAnsi="Arial" w:cs="Arial"/>
      <w:b/>
      <w:bCs/>
      <w:sz w:val="22"/>
    </w:rPr>
  </w:style>
  <w:style w:type="paragraph" w:styleId="Nadpis7">
    <w:name w:val="heading 7"/>
    <w:basedOn w:val="Normln"/>
    <w:next w:val="Normln"/>
    <w:link w:val="Nadpis7Char"/>
    <w:qFormat/>
    <w:rsid w:val="00891080"/>
    <w:pPr>
      <w:keepNext/>
      <w:outlineLvl w:val="6"/>
    </w:pPr>
    <w:rPr>
      <w:rFonts w:ascii="Arial" w:hAnsi="Arial"/>
      <w:b/>
      <w:sz w:val="20"/>
    </w:rPr>
  </w:style>
  <w:style w:type="paragraph" w:styleId="Nadpis8">
    <w:name w:val="heading 8"/>
    <w:basedOn w:val="Normln"/>
    <w:next w:val="Normln"/>
    <w:qFormat/>
    <w:rsid w:val="00891080"/>
    <w:pPr>
      <w:keepNext/>
      <w:ind w:left="-3590" w:right="-70"/>
      <w:outlineLvl w:val="7"/>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891080"/>
  </w:style>
  <w:style w:type="character" w:styleId="Hypertextovodkaz">
    <w:name w:val="Hyperlink"/>
    <w:basedOn w:val="Standardnpsmoodstavce"/>
    <w:rsid w:val="007E448E"/>
    <w:rPr>
      <w:color w:val="0000FF"/>
      <w:u w:val="single"/>
    </w:rPr>
  </w:style>
  <w:style w:type="character" w:customStyle="1" w:styleId="Zkladntext3Char">
    <w:name w:val="Základní text 3 Char"/>
    <w:basedOn w:val="Standardnpsmoodstavce"/>
    <w:link w:val="Zkladntext3"/>
    <w:qFormat/>
    <w:rsid w:val="00D85CBC"/>
    <w:rPr>
      <w:rFonts w:ascii="Arial" w:hAnsi="Arial"/>
      <w:sz w:val="22"/>
    </w:rPr>
  </w:style>
  <w:style w:type="character" w:customStyle="1" w:styleId="Nadpis1Char">
    <w:name w:val="Nadpis 1 Char"/>
    <w:basedOn w:val="Standardnpsmoodstavce"/>
    <w:link w:val="Nadpis1"/>
    <w:qFormat/>
    <w:rsid w:val="006E2DD8"/>
    <w:rPr>
      <w:rFonts w:ascii="Arial" w:hAnsi="Arial"/>
      <w:b/>
      <w:sz w:val="28"/>
    </w:rPr>
  </w:style>
  <w:style w:type="character" w:customStyle="1" w:styleId="Nadpis7Char">
    <w:name w:val="Nadpis 7 Char"/>
    <w:basedOn w:val="Standardnpsmoodstavce"/>
    <w:link w:val="Nadpis7"/>
    <w:qFormat/>
    <w:rsid w:val="006E2DD8"/>
    <w:rPr>
      <w:rFonts w:ascii="Arial" w:hAnsi="Arial"/>
      <w:b/>
    </w:rPr>
  </w:style>
  <w:style w:type="character" w:customStyle="1" w:styleId="ZpatChar">
    <w:name w:val="Zápatí Char"/>
    <w:basedOn w:val="Standardnpsmoodstavce"/>
    <w:link w:val="Zpat"/>
    <w:qFormat/>
    <w:rsid w:val="006E2DD8"/>
    <w:rPr>
      <w:sz w:val="24"/>
    </w:rPr>
  </w:style>
  <w:style w:type="character" w:customStyle="1" w:styleId="Nadpis2Char">
    <w:name w:val="Nadpis 2 Char"/>
    <w:basedOn w:val="Standardnpsmoodstavce"/>
    <w:link w:val="Nadpis2"/>
    <w:qFormat/>
    <w:rsid w:val="002B601E"/>
    <w:rPr>
      <w:rFonts w:ascii="Arial" w:hAnsi="Arial"/>
      <w:b/>
      <w:bCs/>
      <w:sz w:val="22"/>
    </w:rPr>
  </w:style>
  <w:style w:type="character" w:customStyle="1" w:styleId="TextbublinyChar">
    <w:name w:val="Text bubliny Char"/>
    <w:basedOn w:val="Standardnpsmoodstavce"/>
    <w:link w:val="Textbubliny"/>
    <w:uiPriority w:val="99"/>
    <w:semiHidden/>
    <w:qFormat/>
    <w:rsid w:val="00B03E0C"/>
    <w:rPr>
      <w:rFonts w:ascii="Tahoma" w:hAnsi="Tahoma" w:cs="Tahoma"/>
      <w:sz w:val="16"/>
      <w:szCs w:val="16"/>
    </w:rPr>
  </w:style>
  <w:style w:type="character" w:customStyle="1" w:styleId="ZkladntextChar">
    <w:name w:val="Základní text Char"/>
    <w:basedOn w:val="Standardnpsmoodstavce"/>
    <w:link w:val="Zkladntext"/>
    <w:qFormat/>
    <w:rsid w:val="00221359"/>
    <w:rPr>
      <w:rFonts w:ascii="Arial" w:hAnsi="Arial"/>
      <w:sz w:val="22"/>
    </w:rPr>
  </w:style>
  <w:style w:type="character" w:styleId="Odkaznakoment">
    <w:name w:val="annotation reference"/>
    <w:basedOn w:val="Standardnpsmoodstavce"/>
    <w:uiPriority w:val="99"/>
    <w:semiHidden/>
    <w:unhideWhenUsed/>
    <w:qFormat/>
    <w:rsid w:val="00F76A1F"/>
    <w:rPr>
      <w:sz w:val="16"/>
      <w:szCs w:val="16"/>
    </w:rPr>
  </w:style>
  <w:style w:type="character" w:customStyle="1" w:styleId="TextkomenteChar">
    <w:name w:val="Text komentáře Char"/>
    <w:basedOn w:val="Standardnpsmoodstavce"/>
    <w:link w:val="Textkomente"/>
    <w:uiPriority w:val="99"/>
    <w:qFormat/>
    <w:rsid w:val="00F76A1F"/>
  </w:style>
  <w:style w:type="character" w:customStyle="1" w:styleId="PedmtkomenteChar">
    <w:name w:val="Předmět komentáře Char"/>
    <w:basedOn w:val="TextkomenteChar"/>
    <w:link w:val="Pedmtkomente"/>
    <w:uiPriority w:val="99"/>
    <w:semiHidden/>
    <w:qFormat/>
    <w:rsid w:val="00F76A1F"/>
    <w:rPr>
      <w:b/>
      <w:bCs/>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891080"/>
    <w:pPr>
      <w:jc w:val="center"/>
    </w:pPr>
    <w:rPr>
      <w:rFonts w:ascii="Arial" w:hAnsi="Arial"/>
      <w:sz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Index">
    <w:name w:val="Index"/>
    <w:basedOn w:val="Normln"/>
    <w:qFormat/>
    <w:pPr>
      <w:suppressLineNumbers/>
    </w:pPr>
    <w:rPr>
      <w:rFonts w:cs="Arial"/>
    </w:rPr>
  </w:style>
  <w:style w:type="paragraph" w:customStyle="1" w:styleId="HeaderandFooter">
    <w:name w:val="Header and Footer"/>
    <w:basedOn w:val="Normln"/>
    <w:qFormat/>
  </w:style>
  <w:style w:type="paragraph" w:styleId="Zhlav">
    <w:name w:val="header"/>
    <w:basedOn w:val="Normln"/>
    <w:rsid w:val="00891080"/>
    <w:pPr>
      <w:tabs>
        <w:tab w:val="center" w:pos="4536"/>
        <w:tab w:val="right" w:pos="9072"/>
      </w:tabs>
    </w:pPr>
  </w:style>
  <w:style w:type="paragraph" w:styleId="Zpat">
    <w:name w:val="footer"/>
    <w:basedOn w:val="Normln"/>
    <w:link w:val="ZpatChar"/>
    <w:rsid w:val="00891080"/>
    <w:pPr>
      <w:tabs>
        <w:tab w:val="center" w:pos="4536"/>
        <w:tab w:val="right" w:pos="9072"/>
      </w:tabs>
    </w:pPr>
  </w:style>
  <w:style w:type="paragraph" w:styleId="Zkladntext2">
    <w:name w:val="Body Text 2"/>
    <w:basedOn w:val="Normln"/>
    <w:qFormat/>
    <w:rsid w:val="00891080"/>
    <w:pPr>
      <w:jc w:val="both"/>
    </w:pPr>
    <w:rPr>
      <w:rFonts w:ascii="Arial" w:hAnsi="Arial"/>
      <w:sz w:val="22"/>
    </w:rPr>
  </w:style>
  <w:style w:type="paragraph" w:styleId="Zkladntextodsazen">
    <w:name w:val="Body Text Indent"/>
    <w:basedOn w:val="Normln"/>
    <w:rsid w:val="00891080"/>
    <w:pPr>
      <w:ind w:left="142" w:hanging="142"/>
    </w:pPr>
  </w:style>
  <w:style w:type="paragraph" w:styleId="Zkladntext3">
    <w:name w:val="Body Text 3"/>
    <w:basedOn w:val="Normln"/>
    <w:link w:val="Zkladntext3Char"/>
    <w:qFormat/>
    <w:rsid w:val="00891080"/>
    <w:rPr>
      <w:rFonts w:ascii="Arial" w:hAnsi="Arial"/>
      <w:sz w:val="22"/>
    </w:rPr>
  </w:style>
  <w:style w:type="paragraph" w:styleId="Rozloendokumentu">
    <w:name w:val="Document Map"/>
    <w:basedOn w:val="Normln"/>
    <w:semiHidden/>
    <w:qFormat/>
    <w:rsid w:val="00891080"/>
    <w:pPr>
      <w:shd w:val="clear" w:color="auto" w:fill="000080"/>
    </w:pPr>
    <w:rPr>
      <w:rFonts w:ascii="Tahoma" w:hAnsi="Tahoma" w:cs="Tahoma"/>
    </w:rPr>
  </w:style>
  <w:style w:type="paragraph" w:styleId="Odstavecseseznamem">
    <w:name w:val="List Paragraph"/>
    <w:basedOn w:val="Normln"/>
    <w:uiPriority w:val="99"/>
    <w:qFormat/>
    <w:rsid w:val="009460CA"/>
    <w:pPr>
      <w:ind w:left="720"/>
      <w:contextualSpacing/>
    </w:pPr>
  </w:style>
  <w:style w:type="paragraph" w:styleId="Textbubliny">
    <w:name w:val="Balloon Text"/>
    <w:basedOn w:val="Normln"/>
    <w:link w:val="TextbublinyChar"/>
    <w:uiPriority w:val="99"/>
    <w:semiHidden/>
    <w:unhideWhenUsed/>
    <w:qFormat/>
    <w:rsid w:val="00B03E0C"/>
    <w:rPr>
      <w:rFonts w:ascii="Tahoma" w:hAnsi="Tahoma" w:cs="Tahoma"/>
      <w:sz w:val="16"/>
      <w:szCs w:val="16"/>
    </w:rPr>
  </w:style>
  <w:style w:type="paragraph" w:customStyle="1" w:styleId="TCZ2">
    <w:name w:val="TCZ 2"/>
    <w:basedOn w:val="Normln"/>
    <w:qFormat/>
    <w:rsid w:val="00F61FD7"/>
    <w:pPr>
      <w:numPr>
        <w:numId w:val="1"/>
      </w:numPr>
      <w:tabs>
        <w:tab w:val="left" w:pos="709"/>
      </w:tabs>
      <w:spacing w:before="120"/>
      <w:jc w:val="both"/>
    </w:pPr>
    <w:rPr>
      <w:bCs/>
      <w:szCs w:val="24"/>
      <w:lang w:eastAsia="en-US"/>
    </w:rPr>
  </w:style>
  <w:style w:type="paragraph" w:customStyle="1" w:styleId="TCZ3">
    <w:name w:val="TCZ 3"/>
    <w:basedOn w:val="Normln"/>
    <w:qFormat/>
    <w:rsid w:val="00F61FD7"/>
    <w:pPr>
      <w:tabs>
        <w:tab w:val="left" w:pos="0"/>
        <w:tab w:val="left" w:pos="1560"/>
      </w:tabs>
      <w:spacing w:before="120"/>
      <w:ind w:left="1560" w:hanging="851"/>
      <w:jc w:val="both"/>
    </w:pPr>
    <w:rPr>
      <w:bCs/>
      <w:szCs w:val="24"/>
      <w:lang w:eastAsia="en-US"/>
    </w:rPr>
  </w:style>
  <w:style w:type="paragraph" w:customStyle="1" w:styleId="Nadpis1h1H1">
    <w:name w:val="Nadpis 1.h1.H1"/>
    <w:basedOn w:val="Normln"/>
    <w:next w:val="Normln"/>
    <w:qFormat/>
    <w:rsid w:val="00F61FD7"/>
    <w:pPr>
      <w:keepNext/>
      <w:spacing w:before="300" w:after="200"/>
      <w:jc w:val="both"/>
      <w:outlineLvl w:val="0"/>
    </w:pPr>
    <w:rPr>
      <w:rFonts w:ascii="Arial" w:hAnsi="Arial"/>
      <w:b/>
      <w:caps/>
      <w:color w:val="000000"/>
      <w:kern w:val="2"/>
      <w:sz w:val="22"/>
    </w:rPr>
  </w:style>
  <w:style w:type="paragraph" w:styleId="Textkomente">
    <w:name w:val="annotation text"/>
    <w:basedOn w:val="Normln"/>
    <w:link w:val="TextkomenteChar"/>
    <w:uiPriority w:val="99"/>
    <w:unhideWhenUsed/>
    <w:qFormat/>
    <w:rsid w:val="00F76A1F"/>
    <w:rPr>
      <w:sz w:val="20"/>
    </w:rPr>
  </w:style>
  <w:style w:type="paragraph" w:styleId="Pedmtkomente">
    <w:name w:val="annotation subject"/>
    <w:basedOn w:val="Textkomente"/>
    <w:next w:val="Textkomente"/>
    <w:link w:val="PedmtkomenteChar"/>
    <w:uiPriority w:val="99"/>
    <w:semiHidden/>
    <w:unhideWhenUsed/>
    <w:qFormat/>
    <w:rsid w:val="00F76A1F"/>
    <w:rPr>
      <w:b/>
      <w:bCs/>
    </w:rPr>
  </w:style>
  <w:style w:type="paragraph" w:customStyle="1" w:styleId="FrameContents">
    <w:name w:val="Frame Contents"/>
    <w:basedOn w:val="Normln"/>
    <w:qFormat/>
  </w:style>
  <w:style w:type="paragraph" w:styleId="Revize">
    <w:name w:val="Revision"/>
    <w:uiPriority w:val="99"/>
    <w:semiHidden/>
    <w:qFormat/>
    <w:rsid w:val="003022FC"/>
    <w:pPr>
      <w:suppressAutoHyphens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C256559E862A442AB169D023877E379" ma:contentTypeVersion="28" ma:contentTypeDescription="Vytvoří nový dokument" ma:contentTypeScope="" ma:versionID="385fbcb9847849cf78e209e71583e3b4">
  <xsd:schema xmlns:xsd="http://www.w3.org/2001/XMLSchema" xmlns:xs="http://www.w3.org/2001/XMLSchema" xmlns:p="http://schemas.microsoft.com/office/2006/metadata/properties" xmlns:ns2="932264d4-30cc-42fd-878b-9b0d8d86d948" xmlns:ns3="e5b48115-775c-43cf-a7ea-b8488090628e" targetNamespace="http://schemas.microsoft.com/office/2006/metadata/properties" ma:root="true" ma:fieldsID="71c3df40c7f662e7a5b2601469b27b7d" ns2:_="" ns3:_="">
    <xsd:import namespace="932264d4-30cc-42fd-878b-9b0d8d86d948"/>
    <xsd:import namespace="e5b48115-775c-43cf-a7ea-b848809062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artner" minOccurs="0"/>
                <xsd:element ref="ns2:SharedWithUsers" minOccurs="0"/>
                <xsd:element ref="ns2:SharedWithDetails" minOccurs="0"/>
                <xsd:element ref="ns3:TicketType" minOccurs="0"/>
                <xsd:element ref="ns3:TicketSubtype" minOccurs="0"/>
                <xsd:element ref="ns3:Responsible"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Osoba" minOccurs="0"/>
                <xsd:element ref="ns3:Datuma_x010d_a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64d4-30cc-42fd-878b-9b0d8d86d94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161ba7c-a68e-4252-aa9f-902bb337b00e}" ma:internalName="TaxCatchAll" ma:showField="CatchAllData" ma:web="932264d4-30cc-42fd-878b-9b0d8d86d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48115-775c-43cf-a7ea-b848809062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artner" ma:index="13" nillable="true" ma:displayName="Partner" ma:description="ID Partnera" ma:internalName="Partner">
      <xsd:simpleType>
        <xsd:restriction base="dms:Text">
          <xsd:maxLength value="255"/>
        </xsd:restriction>
      </xsd:simpleType>
    </xsd:element>
    <xsd:element name="TicketType" ma:index="16" nillable="true" ma:displayName="Typ požadavku" ma:format="Dropdown" ma:internalName="TicketType">
      <xsd:simpleType>
        <xsd:restriction base="dms:Text">
          <xsd:maxLength value="255"/>
        </xsd:restriction>
      </xsd:simpleType>
    </xsd:element>
    <xsd:element name="TicketSubtype" ma:index="17" nillable="true" ma:displayName="Podtyp požadavku" ma:format="Dropdown" ma:internalName="TicketSubtype">
      <xsd:simpleType>
        <xsd:restriction base="dms:Text">
          <xsd:maxLength value="255"/>
        </xsd:restriction>
      </xsd:simpleType>
    </xsd:element>
    <xsd:element name="Responsible" ma:index="18" nillable="true" ma:displayName="Řešitel požadavku" ma:description="Jméno právníka zodpovědného za Požadavek" ma:format="Dropdown" ma:internalName="Responsibl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048a2f-e562-4cae-bed6-51111b790b8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Osoba" ma:index="28"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uma_x010d_as" ma:index="29" nillable="true" ma:displayName="Datum a čas" ma:format="DateOnly" ma:internalName="Datuma_x010d_as">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oba xmlns="e5b48115-775c-43cf-a7ea-b8488090628e">
      <UserInfo>
        <DisplayName/>
        <AccountId xsi:nil="true"/>
        <AccountType/>
      </UserInfo>
    </Osoba>
    <TaxCatchAll xmlns="932264d4-30cc-42fd-878b-9b0d8d86d948" xsi:nil="true"/>
    <lcf76f155ced4ddcb4097134ff3c332f xmlns="e5b48115-775c-43cf-a7ea-b8488090628e">
      <Terms xmlns="http://schemas.microsoft.com/office/infopath/2007/PartnerControls"/>
    </lcf76f155ced4ddcb4097134ff3c332f>
    <Datuma_x010d_as xmlns="e5b48115-775c-43cf-a7ea-b8488090628e" xsi:nil="true"/>
    <TicketType xmlns="e5b48115-775c-43cf-a7ea-b8488090628e" xsi:nil="true"/>
    <TicketSubtype xmlns="e5b48115-775c-43cf-a7ea-b8488090628e" xsi:nil="true"/>
    <Partner xmlns="e5b48115-775c-43cf-a7ea-b8488090628e" xsi:nil="true"/>
    <Responsible xmlns="e5b48115-775c-43cf-a7ea-b8488090628e" xsi:nil="true"/>
    <_dlc_DocId xmlns="932264d4-30cc-42fd-878b-9b0d8d86d948">6MPPK7JW53SQ-2014379194-17356</_dlc_DocId>
    <_dlc_DocIdUrl xmlns="932264d4-30cc-42fd-878b-9b0d8d86d948">
      <Url>https://czcetin.sharepoint.com/sites/APD/_layouts/15/DocIdRedir.aspx?ID=6MPPK7JW53SQ-2014379194-17356</Url>
      <Description>6MPPK7JW53SQ-2014379194-17356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5F061-83BE-473D-9383-726F88F2D477}">
  <ds:schemaRefs>
    <ds:schemaRef ds:uri="http://schemas.microsoft.com/sharepoint/v3/contenttype/forms"/>
  </ds:schemaRefs>
</ds:datastoreItem>
</file>

<file path=customXml/itemProps2.xml><?xml version="1.0" encoding="utf-8"?>
<ds:datastoreItem xmlns:ds="http://schemas.openxmlformats.org/officeDocument/2006/customXml" ds:itemID="{899B9975-A2B0-46F3-B4A8-FB428D8B62DD}">
  <ds:schemaRefs>
    <ds:schemaRef ds:uri="http://schemas.microsoft.com/sharepoint/events"/>
  </ds:schemaRefs>
</ds:datastoreItem>
</file>

<file path=customXml/itemProps3.xml><?xml version="1.0" encoding="utf-8"?>
<ds:datastoreItem xmlns:ds="http://schemas.openxmlformats.org/officeDocument/2006/customXml" ds:itemID="{78381A32-3C47-43F2-9115-02EAC48B4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64d4-30cc-42fd-878b-9b0d8d86d948"/>
    <ds:schemaRef ds:uri="e5b48115-775c-43cf-a7ea-b8488090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E4A07-E279-4B7F-8975-239811D79EA1}">
  <ds:schemaRefs>
    <ds:schemaRef ds:uri="http://purl.org/dc/dcmitype/"/>
    <ds:schemaRef ds:uri="932264d4-30cc-42fd-878b-9b0d8d86d948"/>
    <ds:schemaRef ds:uri="http://schemas.microsoft.com/office/2006/metadata/properties"/>
    <ds:schemaRef ds:uri="http://schemas.microsoft.com/office/2006/documentManagement/types"/>
    <ds:schemaRef ds:uri="http://www.w3.org/XML/1998/namespace"/>
    <ds:schemaRef ds:uri="http://purl.org/dc/terms/"/>
    <ds:schemaRef ds:uri="e5b48115-775c-43cf-a7ea-b8488090628e"/>
    <ds:schemaRef ds:uri="http://schemas.microsoft.com/office/infopath/2007/PartnerControl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06365103-683A-4F49-9E4A-B3E35C3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3660</Characters>
  <Application>Microsoft Office Word</Application>
  <DocSecurity>0</DocSecurity>
  <Lines>30</Lines>
  <Paragraphs>8</Paragraphs>
  <ScaleCrop>false</ScaleCrop>
  <Company>Kolektory Praha, a.s.</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7202d15.doc</dc:title>
  <dc:subject/>
  <dc:creator>Hlaváčová</dc:creator>
  <dc:description/>
  <cp:lastModifiedBy>Olga Hlaváčová</cp:lastModifiedBy>
  <cp:revision>3</cp:revision>
  <cp:lastPrinted>2022-08-17T09:10:00Z</cp:lastPrinted>
  <dcterms:created xsi:type="dcterms:W3CDTF">2024-02-27T13:36:00Z</dcterms:created>
  <dcterms:modified xsi:type="dcterms:W3CDTF">2024-02-27T13:38:00Z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0x0101005C256559E862A442AB169D023877E379</vt:lpwstr>
  </property>
  <property fmtid="{D5CDD505-2E9C-101B-9397-08002B2CF9AE}" pid="3" name="MSIP_Label_ba81b7f3-76d5-4bc1-abe7-45a9e5906009_ActionId">
    <vt:lpwstr>a66937ef-75db-4db8-b772-4cdb151e8536</vt:lpwstr>
  </property>
  <property fmtid="{D5CDD505-2E9C-101B-9397-08002B2CF9AE}" pid="4" name="MSIP_Label_ba81b7f3-76d5-4bc1-abe7-45a9e5906009_ContentBits">
    <vt:lpwstr>1</vt:lpwstr>
  </property>
  <property fmtid="{D5CDD505-2E9C-101B-9397-08002B2CF9AE}" pid="5" name="MSIP_Label_ba81b7f3-76d5-4bc1-abe7-45a9e5906009_Enabled">
    <vt:lpwstr>true</vt:lpwstr>
  </property>
  <property fmtid="{D5CDD505-2E9C-101B-9397-08002B2CF9AE}" pid="6" name="MSIP_Label_ba81b7f3-76d5-4bc1-abe7-45a9e5906009_Method">
    <vt:lpwstr>Standard</vt:lpwstr>
  </property>
  <property fmtid="{D5CDD505-2E9C-101B-9397-08002B2CF9AE}" pid="7" name="MSIP_Label_ba81b7f3-76d5-4bc1-abe7-45a9e5906009_Name">
    <vt:lpwstr>Company INTERNAL</vt:lpwstr>
  </property>
  <property fmtid="{D5CDD505-2E9C-101B-9397-08002B2CF9AE}" pid="8" name="MSIP_Label_ba81b7f3-76d5-4bc1-abe7-45a9e5906009_SetDate">
    <vt:lpwstr>2022-08-16T10:56:36Z</vt:lpwstr>
  </property>
  <property fmtid="{D5CDD505-2E9C-101B-9397-08002B2CF9AE}" pid="9" name="MSIP_Label_ba81b7f3-76d5-4bc1-abe7-45a9e5906009_SiteId">
    <vt:lpwstr>5d1297a0-4793-467b-b782-9ddf79faa41f</vt:lpwstr>
  </property>
  <property fmtid="{D5CDD505-2E9C-101B-9397-08002B2CF9AE}" pid="10" name="MediaServiceImageTags">
    <vt:lpwstr/>
  </property>
  <property fmtid="{D5CDD505-2E9C-101B-9397-08002B2CF9AE}" pid="11" name="_dlc_DocIdItemGuid">
    <vt:lpwstr>ccc74dc1-4363-47c5-8e99-62ff615ff1b7</vt:lpwstr>
  </property>
</Properties>
</file>