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CCAC" w14:textId="068F6B59" w:rsidR="006A5E04" w:rsidRPr="006A5E04" w:rsidRDefault="006A5E04" w:rsidP="006A5E04">
      <w:pPr>
        <w:keepNext/>
        <w:keepLines/>
        <w:spacing w:after="0" w:line="240" w:lineRule="auto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Calibri" w:hAnsi="Arial" w:cs="Arial"/>
          <w:b/>
          <w:sz w:val="23"/>
          <w:szCs w:val="23"/>
        </w:rPr>
        <w:t>CETIN a.s.</w:t>
      </w:r>
    </w:p>
    <w:p w14:paraId="6B679642" w14:textId="77777777" w:rsidR="006A5E04" w:rsidRPr="006A5E04" w:rsidRDefault="006A5E04" w:rsidP="006A5E04">
      <w:pPr>
        <w:keepNext/>
        <w:keepLines/>
        <w:spacing w:after="0" w:line="240" w:lineRule="auto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 xml:space="preserve">se sídlem </w:t>
      </w:r>
      <w:r w:rsidRPr="006A5E04">
        <w:rPr>
          <w:rFonts w:ascii="Arial" w:eastAsia="Calibri" w:hAnsi="Arial" w:cs="Arial" w:hint="eastAsia"/>
          <w:sz w:val="23"/>
          <w:szCs w:val="23"/>
        </w:rPr>
        <w:t>Č</w:t>
      </w:r>
      <w:r w:rsidRPr="006A5E04">
        <w:rPr>
          <w:rFonts w:ascii="Arial" w:eastAsia="Calibri" w:hAnsi="Arial" w:cs="Arial"/>
          <w:sz w:val="23"/>
          <w:szCs w:val="23"/>
        </w:rPr>
        <w:t>eskomoravsk</w:t>
      </w:r>
      <w:r w:rsidRPr="006A5E04">
        <w:rPr>
          <w:rFonts w:ascii="Arial" w:eastAsia="Calibri" w:hAnsi="Arial" w:cs="Arial" w:hint="eastAsia"/>
          <w:sz w:val="23"/>
          <w:szCs w:val="23"/>
        </w:rPr>
        <w:t>á</w:t>
      </w:r>
      <w:r w:rsidRPr="006A5E04">
        <w:rPr>
          <w:rFonts w:ascii="Arial" w:eastAsia="Calibri" w:hAnsi="Arial" w:cs="Arial"/>
          <w:sz w:val="23"/>
          <w:szCs w:val="23"/>
        </w:rPr>
        <w:t xml:space="preserve"> 2510/19, Libe</w:t>
      </w:r>
      <w:r w:rsidRPr="006A5E04">
        <w:rPr>
          <w:rFonts w:ascii="Arial" w:eastAsia="Calibri" w:hAnsi="Arial" w:cs="Arial" w:hint="eastAsia"/>
          <w:sz w:val="23"/>
          <w:szCs w:val="23"/>
        </w:rPr>
        <w:t>ň</w:t>
      </w:r>
      <w:r w:rsidRPr="006A5E04">
        <w:rPr>
          <w:rFonts w:ascii="Arial" w:eastAsia="Calibri" w:hAnsi="Arial" w:cs="Arial"/>
          <w:sz w:val="23"/>
          <w:szCs w:val="23"/>
        </w:rPr>
        <w:t>, 190 00 Praha 9</w:t>
      </w:r>
    </w:p>
    <w:p w14:paraId="7FFC4F85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zapsaná v obchodním rejstříku vedeném u Městského soudu v Praze pod </w:t>
      </w:r>
      <w:proofErr w:type="spellStart"/>
      <w:r w:rsidRPr="006A5E04">
        <w:rPr>
          <w:rFonts w:ascii="Arial" w:eastAsia="Calibri" w:hAnsi="Arial" w:cs="Arial"/>
          <w:color w:val="000000"/>
          <w:sz w:val="23"/>
          <w:szCs w:val="23"/>
        </w:rPr>
        <w:t>sp</w:t>
      </w:r>
      <w:proofErr w:type="spellEnd"/>
      <w:r w:rsidRPr="006A5E04">
        <w:rPr>
          <w:rFonts w:ascii="Arial" w:eastAsia="Calibri" w:hAnsi="Arial" w:cs="Arial"/>
          <w:color w:val="000000"/>
          <w:sz w:val="23"/>
          <w:szCs w:val="23"/>
        </w:rPr>
        <w:t>. zn. B 20623</w:t>
      </w:r>
    </w:p>
    <w:p w14:paraId="0D8390BD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IČO: 04084063</w:t>
      </w:r>
    </w:p>
    <w:p w14:paraId="0B545A09" w14:textId="424A5F26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zastoupená </w:t>
      </w:r>
      <w:r w:rsidR="00D4045C">
        <w:rPr>
          <w:rFonts w:ascii="Arial" w:hAnsi="Arial" w:cs="Arial"/>
        </w:rPr>
        <w:t>xxxxxxxxxxxxxxxxxx</w:t>
      </w:r>
      <w:r w:rsidR="00122BA5">
        <w:rPr>
          <w:rFonts w:ascii="Arial" w:hAnsi="Arial" w:cs="Arial"/>
        </w:rPr>
        <w:t xml:space="preserve">, </w:t>
      </w:r>
      <w:r w:rsidR="00122BA5">
        <w:rPr>
          <w:rStyle w:val="field-value2"/>
          <w:rFonts w:ascii="Arial" w:hAnsi="Arial" w:cs="Arial"/>
          <w:color w:val="333333"/>
          <w:sz w:val="21"/>
          <w:szCs w:val="21"/>
        </w:rPr>
        <w:t>Specialistou pro výstavbu sítě</w:t>
      </w:r>
    </w:p>
    <w:p w14:paraId="3E0EC7AA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CETIN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“)</w:t>
      </w:r>
    </w:p>
    <w:p w14:paraId="580E87AB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</w:p>
    <w:p w14:paraId="40778CD4" w14:textId="77777777" w:rsidR="006A5E04" w:rsidRPr="006A5E04" w:rsidRDefault="006A5E04" w:rsidP="006A5E04">
      <w:pPr>
        <w:widowControl w:val="0"/>
        <w:spacing w:after="0" w:line="240" w:lineRule="auto"/>
        <w:ind w:right="-32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a</w:t>
      </w:r>
    </w:p>
    <w:p w14:paraId="45627576" w14:textId="77777777" w:rsidR="006A5E04" w:rsidRPr="006A5E04" w:rsidRDefault="006A5E04" w:rsidP="006A5E04">
      <w:pPr>
        <w:widowControl w:val="0"/>
        <w:spacing w:after="0" w:line="240" w:lineRule="auto"/>
        <w:ind w:right="-32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1920FE40" w14:textId="7CF61396" w:rsidR="006A5E04" w:rsidRPr="006A5E04" w:rsidRDefault="006A5E04" w:rsidP="006A5E0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  <w:lang w:val="en-US"/>
        </w:rPr>
        <w:t>[</w:t>
      </w:r>
      <w:r w:rsidRPr="006A5E04">
        <w:rPr>
          <w:rFonts w:ascii="Arial" w:eastAsia="Times New Roman" w:hAnsi="Arial" w:cs="Arial"/>
          <w:b/>
          <w:sz w:val="23"/>
          <w:szCs w:val="23"/>
        </w:rPr>
        <w:t>•</w:t>
      </w:r>
      <w:r w:rsidRPr="006A5E04">
        <w:rPr>
          <w:rFonts w:ascii="Arial" w:eastAsia="Times New Roman" w:hAnsi="Arial" w:cs="Arial"/>
          <w:sz w:val="23"/>
          <w:szCs w:val="23"/>
          <w:lang w:val="en-US"/>
        </w:rPr>
        <w:t>]</w:t>
      </w:r>
    </w:p>
    <w:p w14:paraId="21C6A69B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>(„</w:t>
      </w:r>
      <w:r w:rsidRPr="006A5E04">
        <w:rPr>
          <w:rFonts w:ascii="Arial" w:eastAsia="Calibri" w:hAnsi="Arial" w:cs="Arial"/>
          <w:b/>
          <w:sz w:val="23"/>
          <w:szCs w:val="23"/>
        </w:rPr>
        <w:t>Partner</w:t>
      </w:r>
      <w:r w:rsidRPr="006A5E04">
        <w:rPr>
          <w:rFonts w:ascii="Arial" w:eastAsia="Calibri" w:hAnsi="Arial" w:cs="Arial"/>
          <w:sz w:val="23"/>
          <w:szCs w:val="23"/>
        </w:rPr>
        <w:t>“)</w:t>
      </w:r>
    </w:p>
    <w:p w14:paraId="5CF25B7A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</w:p>
    <w:p w14:paraId="58AC48FC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 xml:space="preserve">(CETIN a Partner 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dále společně označováni jako „</w:t>
      </w:r>
      <w:r w:rsidRPr="006A5E0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Smluvní strany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“ a jednotlivě jako „</w:t>
      </w:r>
      <w:r w:rsidRPr="006A5E0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Smluvní strana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“).</w:t>
      </w:r>
    </w:p>
    <w:p w14:paraId="6478DA70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</w:p>
    <w:p w14:paraId="0B60F44D" w14:textId="77777777" w:rsidR="006A5E04" w:rsidRPr="006A5E04" w:rsidRDefault="006A5E04" w:rsidP="006A5E0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bCs/>
          <w:sz w:val="23"/>
          <w:szCs w:val="23"/>
        </w:rPr>
        <w:t>uzavírají dne, měsíce a roku níže uvedeného dle příslušných ustanovení zákona č. 89/2012 Sb., občanský zákoník, ve znění pozdějších předpisů („</w:t>
      </w:r>
      <w:r w:rsidRPr="006A5E04">
        <w:rPr>
          <w:rFonts w:ascii="Arial" w:eastAsia="Times New Roman" w:hAnsi="Arial" w:cs="Arial"/>
          <w:b/>
          <w:bCs/>
          <w:sz w:val="23"/>
          <w:szCs w:val="23"/>
        </w:rPr>
        <w:t>Občanský zákoník</w:t>
      </w:r>
      <w:r w:rsidRPr="006A5E04">
        <w:rPr>
          <w:rFonts w:ascii="Arial" w:eastAsia="Times New Roman" w:hAnsi="Arial" w:cs="Arial"/>
          <w:bCs/>
          <w:sz w:val="23"/>
          <w:szCs w:val="23"/>
        </w:rPr>
        <w:t>“) tuto</w:t>
      </w:r>
      <w:r w:rsidRPr="006A5E04">
        <w:rPr>
          <w:rFonts w:ascii="Arial" w:eastAsia="Times New Roman" w:hAnsi="Arial" w:cs="Arial"/>
          <w:sz w:val="23"/>
          <w:szCs w:val="23"/>
        </w:rPr>
        <w:t xml:space="preserve"> </w:t>
      </w:r>
    </w:p>
    <w:p w14:paraId="2188D9E2" w14:textId="77777777" w:rsidR="006A5E04" w:rsidRPr="006A5E04" w:rsidRDefault="006A5E04" w:rsidP="006A5E0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2E6DA958" w14:textId="77777777" w:rsidR="007067B4" w:rsidRDefault="007067B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4E4975BD" w14:textId="77777777" w:rsidR="007067B4" w:rsidRDefault="007067B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1A1B7784" w14:textId="40065721" w:rsidR="006A5E04" w:rsidRPr="006A5E04" w:rsidRDefault="006A5E0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DOHODU O PŘEVODU NĚKTERÝCH PRÁV A POVINNOSTÍ ZE SPRÁVNÍHO ROZHODNUTÍ</w:t>
      </w:r>
    </w:p>
    <w:p w14:paraId="2AC4B036" w14:textId="77777777" w:rsidR="006A5E04" w:rsidRPr="006A5E04" w:rsidRDefault="006A5E0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Dohoda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“) </w:t>
      </w:r>
    </w:p>
    <w:p w14:paraId="56A8D65E" w14:textId="77777777" w:rsidR="006A5E04" w:rsidRPr="006A5E04" w:rsidRDefault="006A5E04" w:rsidP="006A5E04">
      <w:pPr>
        <w:widowControl w:val="0"/>
        <w:spacing w:after="0" w:line="240" w:lineRule="auto"/>
        <w:ind w:right="-32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2634AA51" w14:textId="77777777" w:rsidR="006A5E04" w:rsidRPr="006A5E04" w:rsidRDefault="006A5E04" w:rsidP="006A5E0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ČI. I</w:t>
      </w:r>
    </w:p>
    <w:p w14:paraId="4D76BAEB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PŘEDMĚT DOHODY</w:t>
      </w:r>
    </w:p>
    <w:p w14:paraId="5EEDACE0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5F0DEF9B" w14:textId="77777777" w:rsidR="006A5E04" w:rsidRPr="006A5E04" w:rsidRDefault="006A5E04" w:rsidP="006A5E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Partner má dle správního rozhodnutí vydaného [KÝM] („</w:t>
      </w:r>
      <w:r w:rsidRPr="006A5E04">
        <w:rPr>
          <w:rFonts w:ascii="Arial" w:eastAsia="Calibri" w:hAnsi="Arial" w:cs="Arial"/>
          <w:b/>
          <w:bCs/>
          <w:color w:val="000000"/>
          <w:sz w:val="23"/>
          <w:szCs w:val="23"/>
        </w:rPr>
        <w:t>Správní orgán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“) dne [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], pod čj. [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], které nabylo právní moci dne [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]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Správní rozhodnutí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“) povoleno umístit stavbu [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]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Stavba</w:t>
      </w:r>
      <w:r w:rsidRPr="006A5E04">
        <w:rPr>
          <w:rFonts w:ascii="Arial" w:eastAsia="Calibri" w:hAnsi="Arial" w:cs="Arial"/>
          <w:sz w:val="23"/>
          <w:szCs w:val="23"/>
        </w:rPr>
        <w:t>“); Stavba zahrnuje rovněž stavbu vedení a zařízení sítě elektronických komunikací („</w:t>
      </w:r>
      <w:r w:rsidRPr="006A5E04">
        <w:rPr>
          <w:rFonts w:ascii="Arial" w:eastAsia="Calibri" w:hAnsi="Arial" w:cs="Arial"/>
          <w:b/>
          <w:bCs/>
          <w:sz w:val="23"/>
          <w:szCs w:val="23"/>
        </w:rPr>
        <w:t>Stavba telekomunikačního vedení a zařízení</w:t>
      </w:r>
      <w:r w:rsidRPr="006A5E04">
        <w:rPr>
          <w:rFonts w:ascii="Arial" w:eastAsia="Calibri" w:hAnsi="Arial" w:cs="Arial"/>
          <w:sz w:val="23"/>
          <w:szCs w:val="23"/>
        </w:rPr>
        <w:t>“).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Správní rozhodnutí je Přílohou č. 1 Dohody.</w:t>
      </w:r>
    </w:p>
    <w:p w14:paraId="34ADEC2B" w14:textId="77777777" w:rsidR="006A5E04" w:rsidRPr="006A5E04" w:rsidRDefault="006A5E04" w:rsidP="006A5E04">
      <w:pPr>
        <w:widowControl w:val="0"/>
        <w:spacing w:after="0" w:line="240" w:lineRule="auto"/>
        <w:ind w:left="360"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0F4A05D1" w14:textId="77777777" w:rsidR="006A5E04" w:rsidRPr="006A5E04" w:rsidRDefault="006A5E04" w:rsidP="006A5E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Předmětem Dohody je převod některých práv a povinností ze Správního rozhodnutí Partnerem na společnost CETIN, a to (i) převod práva umístit Stavbu telekomunikačního vedení a zařízení za podmínek určených Správním rozhodnutím, (</w:t>
      </w:r>
      <w:proofErr w:type="spellStart"/>
      <w:r w:rsidRPr="006A5E04">
        <w:rPr>
          <w:rFonts w:ascii="Arial" w:eastAsia="Calibri" w:hAnsi="Arial" w:cs="Arial"/>
          <w:color w:val="000000"/>
          <w:sz w:val="23"/>
          <w:szCs w:val="23"/>
        </w:rPr>
        <w:t>ii</w:t>
      </w:r>
      <w:proofErr w:type="spellEnd"/>
      <w:r w:rsidRPr="006A5E04">
        <w:rPr>
          <w:rFonts w:ascii="Arial" w:eastAsia="Calibri" w:hAnsi="Arial" w:cs="Arial"/>
          <w:color w:val="000000"/>
          <w:sz w:val="23"/>
          <w:szCs w:val="23"/>
        </w:rPr>
        <w:t>) převod těch práv a povinností, která jsou určena stanovisky dotčených orgánů státní správy, vlastníků či správců inženýrských sítí a účastníků řízení pro umístění Stavby, vztahují-li se ke Stavbě telekomunikačního vedení a zařízení.</w:t>
      </w:r>
    </w:p>
    <w:p w14:paraId="25CDCE63" w14:textId="77777777" w:rsidR="006A5E04" w:rsidRPr="006A5E04" w:rsidRDefault="006A5E04" w:rsidP="006A5E04">
      <w:pPr>
        <w:widowControl w:val="0"/>
        <w:spacing w:after="0" w:line="240" w:lineRule="auto"/>
        <w:ind w:right="-32"/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63736CED" w14:textId="77777777" w:rsidR="006A5E04" w:rsidRPr="006A5E04" w:rsidRDefault="006A5E04" w:rsidP="006A5E0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ČI. II</w:t>
      </w:r>
    </w:p>
    <w:p w14:paraId="5E26AC71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PŘEVOD PRÁV</w:t>
      </w:r>
    </w:p>
    <w:p w14:paraId="0CB25DEB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31C9C54E" w14:textId="77777777" w:rsidR="006A5E04" w:rsidRPr="006A5E04" w:rsidRDefault="006A5E04" w:rsidP="006A5E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Partner s účinností ke dni uzavření Dohody, na společnost CETIN převádí: </w:t>
      </w:r>
    </w:p>
    <w:p w14:paraId="24A31F5F" w14:textId="77777777" w:rsidR="006A5E04" w:rsidRPr="006A5E04" w:rsidRDefault="006A5E04" w:rsidP="006A5E04">
      <w:pPr>
        <w:widowControl w:val="0"/>
        <w:spacing w:after="0" w:line="240" w:lineRule="auto"/>
        <w:ind w:left="360"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20F757C8" w14:textId="77777777" w:rsidR="006A5E04" w:rsidRPr="006A5E04" w:rsidRDefault="006A5E04" w:rsidP="006A5E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-32" w:hanging="567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právo umístit Stavbu telekomunikačního vedení a zařízení za podmínek určených Správním rozhodnutím, </w:t>
      </w:r>
    </w:p>
    <w:p w14:paraId="4BEF4615" w14:textId="77777777" w:rsidR="006A5E04" w:rsidRPr="006A5E04" w:rsidRDefault="006A5E04" w:rsidP="006A5E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-32" w:hanging="567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práva a povinnosti, která jsou určena stanovisky dotčených orgánů státní správy, vlastníků či správců inženýrských sítí a účastníků řízení pro umístění Stavby, vztahují-li se ke Stavbě telekomunikačního vedení a zařízení. </w:t>
      </w:r>
    </w:p>
    <w:p w14:paraId="356076D6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50BBB619" w14:textId="77777777" w:rsidR="006A5E04" w:rsidRPr="006A5E04" w:rsidRDefault="006A5E04" w:rsidP="006A5E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lastRenderedPageBreak/>
        <w:t>Partner se zavazuje převod práv a povinností dle čl. II odst. 1 Dohody písemně oznámit Správnímu orgánu nejpozději do třiceti (30) pracovních dnů ode dne uzavření Dohody.</w:t>
      </w:r>
    </w:p>
    <w:p w14:paraId="4C45CC6D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2CC0484B" w14:textId="77777777" w:rsidR="006A5E04" w:rsidRPr="006A5E04" w:rsidRDefault="006A5E04" w:rsidP="006A5E0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III.</w:t>
      </w:r>
    </w:p>
    <w:p w14:paraId="67A21ECA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ZÁVĚREČNÁ USTANOVENÍ</w:t>
      </w:r>
    </w:p>
    <w:p w14:paraId="51841867" w14:textId="77777777" w:rsidR="006A5E04" w:rsidRPr="006A5E04" w:rsidRDefault="006A5E04" w:rsidP="006A5E0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53A90C45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>Dohoda nabývá platnosti a účinnosti dnem uzavření.</w:t>
      </w:r>
    </w:p>
    <w:p w14:paraId="17489FA4" w14:textId="77777777" w:rsidR="006A5E04" w:rsidRPr="006A5E04" w:rsidRDefault="006A5E04" w:rsidP="006A5E0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5821119F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Dohoda může být změněna pouze dohodou Smluvních stran, formou písemného dodatku podepsaného oběma Smluvními stranami; změna jinou formou je vyloučena. Za písemnou formu nebude pro tento účel považována výměna e-mailových či jiných elektronických zpráv, byť opatřených zaručeným elektronickým podpisem dle zákona č. 297/2016 Sb., o službách vytvářejících důvěru pro elektronické transakce, ve znění pozdějších předpisů. Dodatky k Dohodě musí být písemně číslovány a vstupují v platnost a nabývají účinnosti dle čl. III odst. 1 Dohody. </w:t>
      </w:r>
    </w:p>
    <w:p w14:paraId="07ADDFB3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346B8ED3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>Písemným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</w:t>
      </w:r>
      <w:r w:rsidRPr="006A5E04">
        <w:rPr>
          <w:rFonts w:ascii="Arial" w:eastAsia="Calibri" w:hAnsi="Arial" w:cs="Arial"/>
          <w:sz w:val="23"/>
          <w:szCs w:val="23"/>
          <w:lang w:eastAsia="cs-CZ"/>
        </w:rPr>
        <w:t>stykem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či pojmem „</w:t>
      </w:r>
      <w:r w:rsidRPr="006A5E04">
        <w:rPr>
          <w:rFonts w:ascii="Arial" w:eastAsia="Calibri" w:hAnsi="Arial" w:cs="Arial"/>
          <w:bCs/>
          <w:i/>
          <w:sz w:val="23"/>
          <w:szCs w:val="23"/>
        </w:rPr>
        <w:t>písemně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“ se pro účely Dohody rozumí předání zpráv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jedním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z těchto způsobů: </w:t>
      </w:r>
    </w:p>
    <w:p w14:paraId="1D53025B" w14:textId="77777777" w:rsidR="006A5E04" w:rsidRPr="006A5E04" w:rsidRDefault="006A5E04" w:rsidP="006A5E04">
      <w:pPr>
        <w:keepNext/>
        <w:keepLines/>
        <w:numPr>
          <w:ilvl w:val="2"/>
          <w:numId w:val="1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2160" w:hanging="1593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 w:rsidRPr="006A5E04">
        <w:rPr>
          <w:rFonts w:ascii="Arial" w:eastAsia="Times New Roman" w:hAnsi="Arial" w:cs="Arial"/>
          <w:sz w:val="23"/>
          <w:szCs w:val="23"/>
          <w:lang w:eastAsia="cs-CZ"/>
        </w:rPr>
        <w:t>v listinné podobě;</w:t>
      </w:r>
    </w:p>
    <w:p w14:paraId="148E1E66" w14:textId="77777777" w:rsidR="006A5E04" w:rsidRPr="006A5E04" w:rsidRDefault="006A5E04" w:rsidP="006A5E04">
      <w:pPr>
        <w:keepNext/>
        <w:keepLines/>
        <w:numPr>
          <w:ilvl w:val="2"/>
          <w:numId w:val="1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hanging="709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 w:rsidRPr="006A5E04">
        <w:rPr>
          <w:rFonts w:ascii="Arial" w:eastAsia="Times New Roman" w:hAnsi="Arial" w:cs="Arial"/>
          <w:sz w:val="23"/>
          <w:szCs w:val="23"/>
          <w:lang w:eastAsia="cs-CZ"/>
        </w:rPr>
        <w:t>e-mailovou zprávou se zaručeným elektronickým podpisem dle zák. č. 297/2016 Sb., o službách vytvářejících důvěru pro elektronické transakce, ve znění pozdějších předpisů.</w:t>
      </w:r>
    </w:p>
    <w:p w14:paraId="2B30F185" w14:textId="77777777" w:rsidR="006A5E04" w:rsidRPr="006A5E04" w:rsidRDefault="006A5E04" w:rsidP="006A5E04">
      <w:pPr>
        <w:keepNext/>
        <w:keepLines/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</w:p>
    <w:p w14:paraId="0FAE3337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Partner bere na vědomí a souhlasí, že nad rámec ustanovení Dohody nebudou jakákoliv práva a povinnosti dovozovány z dosavadní či budoucí praxe zavedené mezi Smluvními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stranami</w:t>
      </w:r>
      <w:r w:rsidRPr="006A5E04">
        <w:rPr>
          <w:rFonts w:ascii="Arial" w:eastAsia="Times New Roman" w:hAnsi="Arial" w:cs="Arial"/>
          <w:sz w:val="23"/>
          <w:szCs w:val="23"/>
        </w:rPr>
        <w:t xml:space="preserve"> či zvyklostí zachovávaných obecně či v odvětví týkajícím se předmětu plnění Smlouvy, ledaže je v Dohodě výslovně sjednáno jinak.</w:t>
      </w:r>
    </w:p>
    <w:p w14:paraId="28EF8BCA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08D290D0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Vztahy z Dohody vyplývající i vztahy Dohodou neupravené se řídí právním řádem České republiky, zejména Občanským zákoníkem. Smluvní strany se zavazují vyvinout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maximální</w:t>
      </w:r>
      <w:r w:rsidRPr="006A5E04">
        <w:rPr>
          <w:rFonts w:ascii="Arial" w:eastAsia="Times New Roman" w:hAnsi="Arial" w:cs="Arial"/>
          <w:sz w:val="23"/>
          <w:szCs w:val="23"/>
        </w:rPr>
        <w:t xml:space="preserve"> úsilí k odstranění vzájemných sporů, vzniklých na základě Dohody nebo v souvislosti s Dohodou, a k 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110A3988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504DD233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Dohoda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obsahuje</w:t>
      </w:r>
      <w:r w:rsidRPr="006A5E04">
        <w:rPr>
          <w:rFonts w:ascii="Arial" w:eastAsia="Times New Roman" w:hAnsi="Arial" w:cs="Arial"/>
          <w:sz w:val="23"/>
          <w:szCs w:val="23"/>
        </w:rPr>
        <w:t xml:space="preserve"> úplné ujednání o předmětu Dohody a všech náležitostech, které Smluvní strany měly a chtěly v Dohodě ujednat, a které považují za důležité pro závaznost Dohody. Žádný projev Smluvních stran učiněný při jednání o Dohodě ani projev učiněný po uzavření Dohody nesmí být vykládán v rozporu s výslovnými ustanoveními Dohody a nezakládá žádný závazek žádné ze Smluvních stran. V případě rozporu mezi ustanoveními Dohody a jejími přílohami, převáží text Dohody. </w:t>
      </w:r>
    </w:p>
    <w:p w14:paraId="5485C66B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2B19D32F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Dohoda je sepsána ve dvou (2) stejnopisech, z nichž každý má platnost originálu, každá Smluvní strana </w:t>
      </w:r>
      <w:proofErr w:type="gramStart"/>
      <w:r w:rsidRPr="006A5E04">
        <w:rPr>
          <w:rFonts w:ascii="Arial" w:eastAsia="Times New Roman" w:hAnsi="Arial" w:cs="Arial"/>
          <w:sz w:val="23"/>
          <w:szCs w:val="23"/>
        </w:rPr>
        <w:t>obdrží</w:t>
      </w:r>
      <w:proofErr w:type="gramEnd"/>
      <w:r w:rsidRPr="006A5E04">
        <w:rPr>
          <w:rFonts w:ascii="Arial" w:eastAsia="Times New Roman" w:hAnsi="Arial" w:cs="Arial"/>
          <w:sz w:val="23"/>
          <w:szCs w:val="23"/>
        </w:rPr>
        <w:t xml:space="preserve"> po jednom (1).</w:t>
      </w:r>
    </w:p>
    <w:p w14:paraId="18C78386" w14:textId="7336AAF3" w:rsid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13491D92" w14:textId="77003617" w:rsidR="007067B4" w:rsidRDefault="007067B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5E27F834" w14:textId="3E69D9CD" w:rsidR="007067B4" w:rsidRDefault="007067B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7DD5716C" w14:textId="006D4848" w:rsidR="007067B4" w:rsidRDefault="007067B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7B7A91FF" w14:textId="77777777" w:rsidR="007067B4" w:rsidRPr="006A5E04" w:rsidRDefault="007067B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390D702A" w14:textId="0AB701AD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lastRenderedPageBreak/>
        <w:t xml:space="preserve">Nedílnou součástí </w:t>
      </w:r>
      <w:r w:rsidR="00C01D73">
        <w:rPr>
          <w:rFonts w:ascii="Arial" w:eastAsia="Times New Roman" w:hAnsi="Arial" w:cs="Arial"/>
          <w:sz w:val="23"/>
          <w:szCs w:val="23"/>
        </w:rPr>
        <w:t>Dohody</w:t>
      </w:r>
      <w:r w:rsidRPr="006A5E04">
        <w:rPr>
          <w:rFonts w:ascii="Arial" w:eastAsia="Times New Roman" w:hAnsi="Arial" w:cs="Arial"/>
          <w:sz w:val="23"/>
          <w:szCs w:val="23"/>
        </w:rPr>
        <w:t xml:space="preserve"> jsou následující přílohy:</w:t>
      </w:r>
    </w:p>
    <w:p w14:paraId="5394D5D8" w14:textId="77777777" w:rsidR="006A5E04" w:rsidRPr="006A5E04" w:rsidRDefault="006A5E04" w:rsidP="006A5E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   Příloha č. 1 – Správní rozhodnutí</w:t>
      </w:r>
    </w:p>
    <w:p w14:paraId="0FDCB077" w14:textId="16A66315" w:rsidR="006A5E04" w:rsidRPr="006A5E04" w:rsidRDefault="006A5E04" w:rsidP="006A5E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   </w:t>
      </w:r>
    </w:p>
    <w:p w14:paraId="206A7569" w14:textId="77777777" w:rsidR="006A5E04" w:rsidRPr="006A5E04" w:rsidRDefault="006A5E04" w:rsidP="006A5E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</w:rPr>
      </w:pPr>
    </w:p>
    <w:tbl>
      <w:tblPr>
        <w:tblpPr w:leftFromText="141" w:rightFromText="141" w:vertAnchor="text" w:horzAnchor="margin" w:tblpY="995"/>
        <w:tblW w:w="9036" w:type="dxa"/>
        <w:tblLayout w:type="fixed"/>
        <w:tblLook w:val="01E0" w:firstRow="1" w:lastRow="1" w:firstColumn="1" w:lastColumn="1" w:noHBand="0" w:noVBand="0"/>
      </w:tblPr>
      <w:tblGrid>
        <w:gridCol w:w="5006"/>
        <w:gridCol w:w="4030"/>
      </w:tblGrid>
      <w:tr w:rsidR="006A5E04" w:rsidRPr="006A5E04" w14:paraId="3741D2FC" w14:textId="77777777" w:rsidTr="00894EC3">
        <w:trPr>
          <w:trHeight w:val="3261"/>
        </w:trPr>
        <w:tc>
          <w:tcPr>
            <w:tcW w:w="5006" w:type="dxa"/>
          </w:tcPr>
          <w:p w14:paraId="2F270F1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CETIN:</w:t>
            </w:r>
          </w:p>
          <w:p w14:paraId="087BC0CD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EA03638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34CA93C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V Praze dne____________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20[•]</w:t>
            </w:r>
          </w:p>
          <w:p w14:paraId="1F0520B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2C3DB2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EBA36A3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8CEE727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1486982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A874FCF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__________________________________</w:t>
            </w:r>
          </w:p>
          <w:p w14:paraId="040D6A8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3"/>
                <w:szCs w:val="23"/>
                <w:shd w:val="clear" w:color="auto" w:fill="FFFFFF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  <w:shd w:val="clear" w:color="auto" w:fill="FFFFFF"/>
              </w:rPr>
              <w:t>za</w:t>
            </w:r>
            <w:r w:rsidRPr="006A5E04">
              <w:rPr>
                <w:rFonts w:ascii="Arial" w:eastAsia="Times New Roman" w:hAnsi="Arial" w:cs="Arial"/>
                <w:b/>
                <w:noProof/>
                <w:sz w:val="23"/>
                <w:szCs w:val="23"/>
                <w:shd w:val="clear" w:color="auto" w:fill="FFFFFF"/>
              </w:rPr>
              <w:t xml:space="preserve"> CETIN a.s.</w:t>
            </w:r>
          </w:p>
          <w:p w14:paraId="11BD7F76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noProof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>Jméno: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</w:t>
            </w:r>
            <w:r w:rsidRPr="006A5E04"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  <w:t>[•]</w:t>
            </w: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 xml:space="preserve"> </w:t>
            </w:r>
          </w:p>
          <w:p w14:paraId="2DCF9C59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noProof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>Funkce: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</w:t>
            </w:r>
            <w:r w:rsidRPr="006A5E04"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  <w:t>[•]</w:t>
            </w:r>
          </w:p>
          <w:p w14:paraId="10ADCAF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64F3366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</w:pPr>
          </w:p>
        </w:tc>
        <w:tc>
          <w:tcPr>
            <w:tcW w:w="4030" w:type="dxa"/>
          </w:tcPr>
          <w:p w14:paraId="5773C49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Partner:</w:t>
            </w:r>
          </w:p>
          <w:p w14:paraId="0F48D9E7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8DC239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04F6726" w14:textId="0C34CB03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V ________ dne____________20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>[•]</w:t>
            </w:r>
          </w:p>
          <w:p w14:paraId="7134F54B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17B32BF2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FA9936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788512D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39EE9C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27AC372" w14:textId="3698955A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_____________________________</w:t>
            </w:r>
          </w:p>
          <w:p w14:paraId="3AA8AB94" w14:textId="77777777" w:rsidR="006A5E04" w:rsidRPr="006A5E04" w:rsidRDefault="006A5E04" w:rsidP="006A5E04">
            <w:pPr>
              <w:keepNext/>
              <w:keepLines/>
              <w:tabs>
                <w:tab w:val="left" w:pos="24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 w:rsidRPr="006A5E04">
              <w:rPr>
                <w:rFonts w:ascii="Arial" w:eastAsia="Times New Roman" w:hAnsi="Arial" w:cs="Arial"/>
                <w:bCs/>
                <w:sz w:val="23"/>
                <w:szCs w:val="23"/>
                <w:lang w:eastAsia="cs-CZ"/>
              </w:rPr>
              <w:t>za</w:t>
            </w:r>
            <w:r w:rsidRPr="006A5E04">
              <w:rPr>
                <w:rFonts w:ascii="Arial" w:eastAsia="Times New Roman" w:hAnsi="Arial" w:cs="Arial"/>
                <w:b/>
                <w:sz w:val="23"/>
                <w:szCs w:val="23"/>
                <w:lang w:eastAsia="cs-CZ"/>
              </w:rPr>
              <w:t xml:space="preserve"> </w:t>
            </w:r>
            <w:r w:rsidRPr="006A5E04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[•]</w:t>
            </w:r>
          </w:p>
          <w:p w14:paraId="73CB2B53" w14:textId="77777777" w:rsidR="006A5E04" w:rsidRPr="006A5E04" w:rsidRDefault="006A5E04" w:rsidP="006A5E04">
            <w:pPr>
              <w:keepNext/>
              <w:keepLines/>
              <w:tabs>
                <w:tab w:val="left" w:pos="2410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 xml:space="preserve">Jméno: </w:t>
            </w:r>
            <w:r w:rsidRPr="006A5E04"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  <w:t>[•]</w:t>
            </w:r>
          </w:p>
          <w:p w14:paraId="544A08D6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</w:rPr>
              <w:t xml:space="preserve">Funkce: </w:t>
            </w:r>
            <w:r w:rsidRPr="006A5E04"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  <w:t>[•]</w:t>
            </w:r>
          </w:p>
        </w:tc>
      </w:tr>
    </w:tbl>
    <w:p w14:paraId="5DA46C20" w14:textId="77777777" w:rsidR="00E539C1" w:rsidRPr="006A5E04" w:rsidRDefault="00E539C1">
      <w:pPr>
        <w:rPr>
          <w:sz w:val="23"/>
          <w:szCs w:val="23"/>
        </w:rPr>
      </w:pPr>
    </w:p>
    <w:sectPr w:rsidR="00E539C1" w:rsidRPr="006A5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55E4" w14:textId="77777777" w:rsidR="006D5177" w:rsidRDefault="006D5177" w:rsidP="006A5E04">
      <w:pPr>
        <w:spacing w:after="0" w:line="240" w:lineRule="auto"/>
      </w:pPr>
      <w:r>
        <w:separator/>
      </w:r>
    </w:p>
  </w:endnote>
  <w:endnote w:type="continuationSeparator" w:id="0">
    <w:p w14:paraId="412C36DB" w14:textId="77777777" w:rsidR="006D5177" w:rsidRDefault="006D5177" w:rsidP="006A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5E25" w14:textId="77777777" w:rsidR="006D5177" w:rsidRDefault="006D5177" w:rsidP="006A5E04">
      <w:pPr>
        <w:spacing w:after="0" w:line="240" w:lineRule="auto"/>
      </w:pPr>
      <w:r>
        <w:separator/>
      </w:r>
    </w:p>
  </w:footnote>
  <w:footnote w:type="continuationSeparator" w:id="0">
    <w:p w14:paraId="32ED2B45" w14:textId="77777777" w:rsidR="006D5177" w:rsidRDefault="006D5177" w:rsidP="006A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45A7" w14:textId="568E8668" w:rsidR="006A5E04" w:rsidRDefault="006A5E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6EA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4F5550"/>
    <w:multiLevelType w:val="hybridMultilevel"/>
    <w:tmpl w:val="5B788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344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3F1E"/>
    <w:multiLevelType w:val="hybridMultilevel"/>
    <w:tmpl w:val="F77AB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E0C29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217ECA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38176069">
    <w:abstractNumId w:val="1"/>
  </w:num>
  <w:num w:numId="2" w16cid:durableId="1022778633">
    <w:abstractNumId w:val="4"/>
  </w:num>
  <w:num w:numId="3" w16cid:durableId="823080737">
    <w:abstractNumId w:val="0"/>
  </w:num>
  <w:num w:numId="4" w16cid:durableId="354161563">
    <w:abstractNumId w:val="2"/>
  </w:num>
  <w:num w:numId="5" w16cid:durableId="1293436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122BA5"/>
    <w:rsid w:val="00240E17"/>
    <w:rsid w:val="00344316"/>
    <w:rsid w:val="003E4601"/>
    <w:rsid w:val="006A5E04"/>
    <w:rsid w:val="006D5177"/>
    <w:rsid w:val="007067B4"/>
    <w:rsid w:val="008D7D50"/>
    <w:rsid w:val="00A1443E"/>
    <w:rsid w:val="00AE6A20"/>
    <w:rsid w:val="00B06DBA"/>
    <w:rsid w:val="00B268A6"/>
    <w:rsid w:val="00C01D73"/>
    <w:rsid w:val="00D4045C"/>
    <w:rsid w:val="00E539C1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2D802"/>
  <w15:chartTrackingRefBased/>
  <w15:docId w15:val="{80B5CBE5-5C91-4F82-8AD7-8503999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E04"/>
  </w:style>
  <w:style w:type="paragraph" w:styleId="Zpat">
    <w:name w:val="footer"/>
    <w:basedOn w:val="Normln"/>
    <w:link w:val="ZpatChar"/>
    <w:uiPriority w:val="99"/>
    <w:unhideWhenUsed/>
    <w:rsid w:val="006A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E04"/>
  </w:style>
  <w:style w:type="character" w:customStyle="1" w:styleId="field-value2">
    <w:name w:val="field-value2"/>
    <w:basedOn w:val="Standardnpsmoodstavce"/>
    <w:rsid w:val="0012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Všetečková Tereza</cp:lastModifiedBy>
  <cp:revision>9</cp:revision>
  <cp:lastPrinted>2022-07-07T06:03:00Z</cp:lastPrinted>
  <dcterms:created xsi:type="dcterms:W3CDTF">2022-04-26T14:04:00Z</dcterms:created>
  <dcterms:modified xsi:type="dcterms:W3CDTF">2024-02-27T11:06:00Z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2022-04-26T14:10:04Z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66b33d0c-d398-4038-a7ed-8ec009c8c8c4</vt:lpwstr>
  </property>
  <property fmtid="{D5CDD505-2E9C-101B-9397-08002B2CF9AE}" pid="8" name="MSIP_Label_e7099f2d-ea7e-4ab7-8d9e-5861760b9f7b_ContentBits">
    <vt:lpwstr>0</vt:lpwstr>
  </property>
</Properties>
</file>