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06B2E0D4"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7C7DAB">
        <w:rPr>
          <w:rFonts w:asciiTheme="minorHAnsi" w:hAnsiTheme="minorHAnsi"/>
          <w:b/>
          <w:sz w:val="36"/>
          <w:szCs w:val="36"/>
        </w:rPr>
        <w:t>9/2024</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2C8D83D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4C068E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3288C5AA" w14:textId="5FC7FD7F" w:rsidR="00D713ED" w:rsidRPr="006800F1" w:rsidRDefault="007C7DAB" w:rsidP="00A83ADF">
      <w:pPr>
        <w:rPr>
          <w:rFonts w:asciiTheme="minorHAnsi" w:hAnsiTheme="minorHAnsi"/>
          <w:sz w:val="24"/>
          <w:szCs w:val="24"/>
        </w:rPr>
      </w:pPr>
      <w:r w:rsidRPr="006800F1">
        <w:rPr>
          <w:rFonts w:asciiTheme="minorHAnsi" w:hAnsiTheme="minorHAnsi"/>
          <w:sz w:val="24"/>
          <w:szCs w:val="24"/>
        </w:rPr>
        <w:t>Zastoupená Ing.</w:t>
      </w:r>
      <w:r w:rsidR="00190C9E">
        <w:rPr>
          <w:rFonts w:asciiTheme="minorHAnsi" w:hAnsiTheme="minorHAnsi"/>
          <w:sz w:val="24"/>
          <w:szCs w:val="24"/>
        </w:rPr>
        <w:t xml:space="preserve"> Janem Kratochvílem</w:t>
      </w:r>
      <w:r w:rsidR="00C122CB">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4413CD85"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6C03B1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4E6EA552" w:rsidR="00A83ADF" w:rsidRDefault="007C7DAB" w:rsidP="00A83ADF">
      <w:pPr>
        <w:rPr>
          <w:rFonts w:asciiTheme="minorHAnsi" w:hAnsiTheme="minorHAnsi"/>
          <w:sz w:val="24"/>
          <w:szCs w:val="24"/>
        </w:rPr>
      </w:pPr>
      <w:r>
        <w:rPr>
          <w:rFonts w:asciiTheme="minorHAnsi" w:hAnsiTheme="minorHAnsi"/>
          <w:sz w:val="24"/>
          <w:szCs w:val="24"/>
        </w:rPr>
        <w:t>a</w:t>
      </w:r>
    </w:p>
    <w:p w14:paraId="3EF9A5C2" w14:textId="77777777" w:rsidR="007C7DAB" w:rsidRPr="00DE1504" w:rsidRDefault="007C7DAB" w:rsidP="00A83ADF">
      <w:pPr>
        <w:rPr>
          <w:rFonts w:asciiTheme="minorHAnsi" w:hAnsiTheme="minorHAnsi"/>
          <w:sz w:val="24"/>
          <w:szCs w:val="24"/>
        </w:rPr>
      </w:pPr>
    </w:p>
    <w:p w14:paraId="7134E6D8" w14:textId="77777777" w:rsidR="007C7DAB" w:rsidRPr="007C7DAB" w:rsidRDefault="007C7DAB" w:rsidP="007C7DAB">
      <w:pPr>
        <w:rPr>
          <w:rFonts w:asciiTheme="minorHAnsi" w:hAnsiTheme="minorHAnsi"/>
          <w:b/>
          <w:bCs/>
          <w:sz w:val="24"/>
          <w:szCs w:val="24"/>
        </w:rPr>
      </w:pPr>
      <w:r w:rsidRPr="007C7DAB">
        <w:rPr>
          <w:rFonts w:asciiTheme="minorHAnsi" w:hAnsiTheme="minorHAnsi"/>
          <w:b/>
          <w:bCs/>
          <w:sz w:val="24"/>
          <w:szCs w:val="24"/>
        </w:rPr>
        <w:t>GLANC, s.r.o.</w:t>
      </w:r>
    </w:p>
    <w:p w14:paraId="1588EA34" w14:textId="77777777" w:rsidR="007C7DAB" w:rsidRPr="007C7DAB" w:rsidRDefault="007C7DAB" w:rsidP="007C7DAB">
      <w:pPr>
        <w:rPr>
          <w:rFonts w:asciiTheme="minorHAnsi" w:hAnsiTheme="minorHAnsi"/>
          <w:sz w:val="24"/>
          <w:szCs w:val="24"/>
        </w:rPr>
      </w:pPr>
      <w:r w:rsidRPr="007C7DAB">
        <w:rPr>
          <w:rFonts w:asciiTheme="minorHAnsi" w:hAnsiTheme="minorHAnsi"/>
          <w:sz w:val="24"/>
          <w:szCs w:val="24"/>
        </w:rPr>
        <w:t>se sídlem: Palackého třída 126, 612 00 Brno</w:t>
      </w:r>
    </w:p>
    <w:p w14:paraId="408D7893" w14:textId="77777777" w:rsidR="007C7DAB" w:rsidRPr="007C7DAB" w:rsidRDefault="007C7DAB" w:rsidP="007C7DAB">
      <w:pPr>
        <w:rPr>
          <w:rFonts w:asciiTheme="minorHAnsi" w:hAnsiTheme="minorHAnsi"/>
          <w:sz w:val="24"/>
          <w:szCs w:val="24"/>
        </w:rPr>
      </w:pPr>
      <w:r w:rsidRPr="007C7DAB">
        <w:rPr>
          <w:rFonts w:asciiTheme="minorHAnsi" w:hAnsiTheme="minorHAnsi"/>
          <w:sz w:val="24"/>
          <w:szCs w:val="24"/>
        </w:rPr>
        <w:t>IČO: 60708344, DIČ: CZ 60708344</w:t>
      </w:r>
    </w:p>
    <w:p w14:paraId="0E577546" w14:textId="77777777" w:rsidR="007C7DAB" w:rsidRPr="007C7DAB" w:rsidRDefault="007C7DAB" w:rsidP="007C7DAB">
      <w:pPr>
        <w:rPr>
          <w:rFonts w:asciiTheme="minorHAnsi" w:hAnsiTheme="minorHAnsi"/>
          <w:sz w:val="24"/>
          <w:szCs w:val="24"/>
        </w:rPr>
      </w:pPr>
      <w:r w:rsidRPr="007C7DAB">
        <w:rPr>
          <w:rFonts w:asciiTheme="minorHAnsi" w:hAnsiTheme="minorHAnsi"/>
          <w:sz w:val="24"/>
          <w:szCs w:val="24"/>
        </w:rPr>
        <w:t>zapsaná v obchodním rejstříku vedeném Krajským soudem v Brně, oddíl C, vložka 15351</w:t>
      </w:r>
    </w:p>
    <w:p w14:paraId="4C3AB80D" w14:textId="77777777" w:rsidR="007C7DAB" w:rsidRPr="007C7DAB" w:rsidRDefault="007C7DAB" w:rsidP="007C7DAB">
      <w:pPr>
        <w:rPr>
          <w:rFonts w:asciiTheme="minorHAnsi" w:hAnsiTheme="minorHAnsi"/>
          <w:sz w:val="24"/>
          <w:szCs w:val="24"/>
        </w:rPr>
      </w:pPr>
      <w:r w:rsidRPr="007C7DAB">
        <w:rPr>
          <w:rFonts w:asciiTheme="minorHAnsi" w:hAnsiTheme="minorHAnsi"/>
          <w:sz w:val="24"/>
          <w:szCs w:val="24"/>
        </w:rPr>
        <w:t>zastoupená: Mgr. Alešem Hrbkem, jednatelem společnosti</w:t>
      </w:r>
    </w:p>
    <w:p w14:paraId="50A458A2" w14:textId="448A9A61" w:rsidR="004B3350" w:rsidRPr="000412F1" w:rsidRDefault="007C7DAB" w:rsidP="004B3350">
      <w:pPr>
        <w:rPr>
          <w:rFonts w:asciiTheme="minorHAnsi" w:hAnsiTheme="minorHAnsi"/>
          <w:sz w:val="24"/>
          <w:szCs w:val="24"/>
        </w:rPr>
      </w:pPr>
      <w:r w:rsidRPr="007C7DAB">
        <w:rPr>
          <w:rFonts w:asciiTheme="minorHAnsi" w:hAnsiTheme="minorHAnsi"/>
          <w:sz w:val="24"/>
          <w:szCs w:val="24"/>
        </w:rPr>
        <w:t xml:space="preserve">Kontaktní osoba: Michal Klema, </w:t>
      </w:r>
    </w:p>
    <w:p w14:paraId="4BE91B9D" w14:textId="77777777" w:rsidR="00140550" w:rsidRPr="00140550" w:rsidRDefault="00140550" w:rsidP="00140550">
      <w:pPr>
        <w:rPr>
          <w:rFonts w:ascii="Calibri" w:hAnsi="Calibri" w:cs="Calibri"/>
          <w:sz w:val="24"/>
          <w:szCs w:val="24"/>
        </w:rPr>
      </w:pPr>
      <w:r w:rsidRPr="007C7DAB">
        <w:rPr>
          <w:rFonts w:ascii="Calibri" w:hAnsi="Calibri" w:cs="Calibri"/>
          <w:sz w:val="24"/>
          <w:szCs w:val="24"/>
        </w:rPr>
        <w:t xml:space="preserve">(dále jen </w:t>
      </w:r>
      <w:r w:rsidRPr="007C7DAB">
        <w:rPr>
          <w:rFonts w:ascii="Calibri" w:hAnsi="Calibri" w:cs="Calibri"/>
          <w:b/>
          <w:sz w:val="24"/>
          <w:szCs w:val="24"/>
        </w:rPr>
        <w:t>nájemce</w:t>
      </w:r>
      <w:r w:rsidRPr="007C7DAB">
        <w:rPr>
          <w:rFonts w:ascii="Calibri" w:hAnsi="Calibri" w:cs="Calibri"/>
          <w:sz w:val="24"/>
          <w:szCs w:val="24"/>
        </w:rPr>
        <w:t>)</w:t>
      </w:r>
    </w:p>
    <w:p w14:paraId="48D52AEE" w14:textId="77777777" w:rsidR="00A83ADF" w:rsidRPr="00137CDE" w:rsidRDefault="00A83ADF" w:rsidP="00A83ADF">
      <w:pPr>
        <w:rPr>
          <w:rFonts w:asciiTheme="minorHAnsi" w:hAnsiTheme="minorHAnsi"/>
          <w:sz w:val="24"/>
          <w:szCs w:val="24"/>
        </w:rPr>
      </w:pPr>
    </w:p>
    <w:p w14:paraId="34DCBE95" w14:textId="77777777" w:rsidR="00A83ADF" w:rsidRPr="00DE1504" w:rsidRDefault="00A83ADF" w:rsidP="00A83ADF">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559F6AD0" w:rsidR="00936F57" w:rsidRPr="00C524EB" w:rsidRDefault="007C7DAB"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SCORPIONS</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57248828" w14:textId="06AB706B"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r w:rsidR="007C7DAB" w:rsidRPr="00AC002B">
        <w:rPr>
          <w:rFonts w:asciiTheme="minorHAnsi" w:hAnsiTheme="minorHAnsi"/>
          <w:sz w:val="24"/>
          <w:szCs w:val="24"/>
        </w:rPr>
        <w:t>článku III</w:t>
      </w:r>
      <w:r w:rsidR="00A83ADF" w:rsidRPr="00AC002B">
        <w:rPr>
          <w:rFonts w:asciiTheme="minorHAnsi" w:hAnsiTheme="minorHAnsi"/>
          <w:sz w:val="24"/>
          <w:szCs w:val="24"/>
        </w:rPr>
        <w:t xml:space="preserve">. této smlouvy. </w:t>
      </w:r>
    </w:p>
    <w:p w14:paraId="2F885DBE" w14:textId="77777777" w:rsidR="00A83ADF" w:rsidRPr="00AC002B" w:rsidRDefault="00A83ADF" w:rsidP="00A83ADF">
      <w:pPr>
        <w:ind w:left="360" w:hanging="360"/>
        <w:jc w:val="both"/>
        <w:rPr>
          <w:rFonts w:asciiTheme="minorHAnsi" w:hAnsiTheme="minorHAnsi"/>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700364E0" w:rsidR="00147493" w:rsidRPr="007C7DAB"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7C7DAB" w:rsidRPr="007C7DAB">
        <w:rPr>
          <w:rFonts w:asciiTheme="minorHAnsi" w:hAnsiTheme="minorHAnsi"/>
          <w:b/>
          <w:bCs/>
          <w:sz w:val="24"/>
          <w:szCs w:val="24"/>
        </w:rPr>
        <w:t>28. července 2024 od 12:00 hodin do 30. července 6:00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14515D79"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31E8BBC9"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 xml:space="preserve">Výše nájemného se sjednává ve </w:t>
      </w:r>
      <w:r w:rsidRPr="0014439D">
        <w:rPr>
          <w:rFonts w:asciiTheme="minorHAnsi" w:hAnsiTheme="minorHAnsi"/>
          <w:sz w:val="24"/>
          <w:szCs w:val="24"/>
        </w:rPr>
        <w:t>výši</w:t>
      </w:r>
      <w:r w:rsidR="00FB2C75" w:rsidRPr="0014439D">
        <w:rPr>
          <w:rFonts w:asciiTheme="minorHAnsi" w:hAnsiTheme="minorHAnsi"/>
          <w:sz w:val="24"/>
          <w:szCs w:val="24"/>
        </w:rPr>
        <w:t xml:space="preserve"> </w:t>
      </w:r>
      <w:r w:rsidR="0014439D" w:rsidRPr="0014439D">
        <w:rPr>
          <w:rFonts w:asciiTheme="minorHAnsi" w:hAnsiTheme="minorHAnsi"/>
          <w:b/>
          <w:sz w:val="24"/>
          <w:szCs w:val="24"/>
          <w:u w:val="single"/>
        </w:rPr>
        <w:t xml:space="preserve">335 000 </w:t>
      </w:r>
      <w:r w:rsidR="00147493" w:rsidRPr="0014439D">
        <w:rPr>
          <w:rFonts w:asciiTheme="minorHAnsi" w:hAnsiTheme="minorHAnsi"/>
          <w:b/>
          <w:sz w:val="24"/>
          <w:szCs w:val="24"/>
          <w:u w:val="single"/>
        </w:rPr>
        <w:t>Kč</w:t>
      </w:r>
      <w:r w:rsidR="00B72D5C" w:rsidRPr="0014439D">
        <w:rPr>
          <w:rFonts w:asciiTheme="minorHAnsi" w:hAnsiTheme="minorHAnsi"/>
          <w:sz w:val="24"/>
          <w:szCs w:val="24"/>
        </w:rPr>
        <w:t xml:space="preserve"> (slovy:</w:t>
      </w:r>
      <w:r w:rsidR="00E75F3C" w:rsidRPr="0014439D">
        <w:rPr>
          <w:rFonts w:asciiTheme="minorHAnsi" w:hAnsiTheme="minorHAnsi"/>
          <w:sz w:val="24"/>
          <w:szCs w:val="24"/>
        </w:rPr>
        <w:t xml:space="preserve"> </w:t>
      </w:r>
      <w:r w:rsidR="0014439D" w:rsidRPr="0014439D">
        <w:rPr>
          <w:rFonts w:asciiTheme="minorHAnsi" w:hAnsiTheme="minorHAnsi"/>
          <w:sz w:val="24"/>
          <w:szCs w:val="24"/>
        </w:rPr>
        <w:t>tři sta třicet pět tisíc korun českých</w:t>
      </w:r>
      <w:r w:rsidRPr="0014439D">
        <w:rPr>
          <w:rFonts w:asciiTheme="minorHAnsi" w:hAnsiTheme="minorHAnsi"/>
          <w:sz w:val="24"/>
          <w:szCs w:val="24"/>
        </w:rPr>
        <w:t>)</w:t>
      </w:r>
      <w:r w:rsidRPr="00355D0A">
        <w:rPr>
          <w:rFonts w:asciiTheme="minorHAnsi" w:hAnsiTheme="minorHAnsi"/>
          <w:sz w:val="24"/>
          <w:szCs w:val="24"/>
        </w:rPr>
        <w:t xml:space="preserve"> + příslušná sazba DPH. Nájemné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 a</w:t>
      </w:r>
      <w:r w:rsidR="00DC0C19" w:rsidRPr="00355D0A">
        <w:rPr>
          <w:rFonts w:asciiTheme="minorHAnsi" w:hAnsiTheme="minorHAnsi"/>
          <w:sz w:val="24"/>
          <w:szCs w:val="24"/>
        </w:rPr>
        <w:t xml:space="preserve"> 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686AF264" w:rsidR="00A83ADF" w:rsidRPr="007C7DAB"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7C7DAB" w:rsidRPr="007C7DAB">
        <w:rPr>
          <w:rFonts w:asciiTheme="minorHAnsi" w:hAnsiTheme="minorHAnsi"/>
          <w:b/>
          <w:sz w:val="24"/>
          <w:szCs w:val="24"/>
        </w:rPr>
        <w:t>30. června 2024</w:t>
      </w:r>
    </w:p>
    <w:p w14:paraId="001ADC7D" w14:textId="252DE607" w:rsidR="00ED0D90" w:rsidRPr="00190C9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190C9E">
        <w:rPr>
          <w:rFonts w:asciiTheme="minorHAnsi" w:hAnsiTheme="minorHAnsi"/>
          <w:b/>
          <w:sz w:val="24"/>
          <w:szCs w:val="24"/>
        </w:rPr>
        <w:t xml:space="preserve">Nájemce před podpisem nájemní smlouvy uhradil kauci </w:t>
      </w:r>
      <w:r w:rsidR="00190C9E" w:rsidRPr="00190C9E">
        <w:rPr>
          <w:rFonts w:asciiTheme="minorHAnsi" w:hAnsiTheme="minorHAnsi"/>
          <w:b/>
          <w:sz w:val="24"/>
          <w:szCs w:val="24"/>
        </w:rPr>
        <w:t>5</w:t>
      </w:r>
      <w:r w:rsidRPr="00190C9E">
        <w:rPr>
          <w:rFonts w:asciiTheme="minorHAnsi" w:hAnsiTheme="minorHAnsi"/>
          <w:b/>
          <w:sz w:val="24"/>
          <w:szCs w:val="24"/>
        </w:rPr>
        <w:t xml:space="preserve">0 000,-Kč za rezervaci termínu, která bude vrácena po skončení akce </w:t>
      </w:r>
      <w:r w:rsidR="00190C9E" w:rsidRPr="00190C9E">
        <w:rPr>
          <w:rFonts w:asciiTheme="minorHAnsi" w:hAnsiTheme="minorHAnsi"/>
          <w:b/>
          <w:sz w:val="24"/>
          <w:szCs w:val="24"/>
        </w:rPr>
        <w:t>bez zbytečného</w:t>
      </w:r>
      <w:r w:rsidRPr="00190C9E">
        <w:rPr>
          <w:rFonts w:asciiTheme="minorHAnsi" w:hAnsiTheme="minorHAnsi"/>
          <w:b/>
          <w:sz w:val="24"/>
          <w:szCs w:val="24"/>
        </w:rPr>
        <w:t xml:space="preserve"> odkladu.</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77B5B3F1" w14:textId="1595D7C9" w:rsidR="006E2E57" w:rsidRPr="00AC002B" w:rsidRDefault="006E2E57" w:rsidP="007C7DAB">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w:t>
      </w:r>
      <w:r w:rsidRPr="00AF7F3E">
        <w:rPr>
          <w:rFonts w:asciiTheme="minorHAnsi" w:hAnsiTheme="minorHAnsi" w:cstheme="minorHAnsi"/>
        </w:rPr>
        <w:lastRenderedPageBreak/>
        <w:t xml:space="preserve">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5DBA2894" w14:textId="67BB63FC" w:rsidR="000A699D" w:rsidRPr="007C7DAB"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b/>
          <w:bCs/>
          <w:sz w:val="24"/>
          <w:szCs w:val="24"/>
        </w:rPr>
      </w:pPr>
      <w:r w:rsidRPr="007C7DAB">
        <w:rPr>
          <w:rFonts w:asciiTheme="minorHAnsi" w:hAnsiTheme="minorHAnsi"/>
          <w:b/>
          <w:bCs/>
          <w:sz w:val="24"/>
          <w:szCs w:val="24"/>
        </w:rPr>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7C7DAB">
        <w:rPr>
          <w:rFonts w:asciiTheme="minorHAnsi" w:hAnsiTheme="minorHAnsi"/>
          <w:b/>
          <w:bCs/>
          <w:sz w:val="24"/>
          <w:szCs w:val="24"/>
        </w:rPr>
        <w:t>nájemce</w:t>
      </w:r>
      <w:r w:rsidRPr="007C7DAB">
        <w:rPr>
          <w:rFonts w:asciiTheme="minorHAnsi" w:hAnsiTheme="minorHAnsi"/>
          <w:b/>
          <w:bCs/>
          <w:sz w:val="24"/>
          <w:szCs w:val="24"/>
        </w:rPr>
        <w:t>). Nájemce v takovém případě zodpovídá za úklid střechy MFA</w:t>
      </w:r>
      <w:r w:rsidR="00CF1736" w:rsidRPr="007C7DAB">
        <w:rPr>
          <w:rFonts w:asciiTheme="minorHAnsi" w:hAnsiTheme="minorHAnsi"/>
          <w:b/>
          <w:bCs/>
          <w:sz w:val="24"/>
          <w:szCs w:val="24"/>
        </w:rPr>
        <w:t xml:space="preserve"> tak, aby zatížení zavěšením způsobené odpovídalo doporučení statického posudku</w:t>
      </w:r>
      <w:r w:rsidRPr="007C7DAB">
        <w:rPr>
          <w:rFonts w:asciiTheme="minorHAnsi" w:hAnsiTheme="minorHAnsi"/>
          <w:b/>
          <w:bCs/>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w:t>
      </w:r>
      <w:proofErr w:type="gramStart"/>
      <w:r w:rsidRPr="003B2136">
        <w:rPr>
          <w:rFonts w:asciiTheme="minorHAnsi" w:hAnsiTheme="minorHAnsi"/>
          <w:sz w:val="24"/>
          <w:szCs w:val="24"/>
        </w:rPr>
        <w:t xml:space="preserve">   (</w:t>
      </w:r>
      <w:proofErr w:type="gramEnd"/>
      <w:r w:rsidRPr="003B2136">
        <w:rPr>
          <w:rFonts w:asciiTheme="minorHAnsi" w:hAnsiTheme="minorHAnsi"/>
          <w:sz w:val="24"/>
          <w:szCs w:val="24"/>
        </w:rPr>
        <w:t xml:space="preserve">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F4DE9"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5F4DE9">
        <w:rPr>
          <w:rFonts w:asciiTheme="minorHAnsi" w:eastAsia="Calibri" w:hAnsiTheme="minorHAnsi" w:cstheme="minorHAnsi"/>
          <w:b/>
          <w:bCs/>
          <w:i/>
          <w:iCs/>
          <w:sz w:val="22"/>
          <w:szCs w:val="22"/>
          <w:lang w:eastAsia="en-US"/>
        </w:rPr>
        <w:t>Nájemce bere na vědomí, že společnost HOCKEY CLUB DYNAMO PARDUBICE a.s</w:t>
      </w:r>
      <w:r w:rsidRPr="005F4DE9">
        <w:rPr>
          <w:rFonts w:asciiTheme="minorHAnsi" w:eastAsia="Calibri" w:hAnsiTheme="minorHAnsi" w:cstheme="minorHAnsi"/>
          <w:b/>
          <w:bCs/>
          <w:iCs/>
          <w:sz w:val="22"/>
          <w:szCs w:val="22"/>
          <w:lang w:eastAsia="en-US"/>
        </w:rPr>
        <w:t xml:space="preserve">., </w:t>
      </w:r>
      <w:r w:rsidRPr="005F4DE9">
        <w:rPr>
          <w:rFonts w:asciiTheme="minorHAnsi" w:eastAsia="Calibri" w:hAnsiTheme="minorHAnsi" w:cstheme="minorHAnsi"/>
          <w:b/>
          <w:bCs/>
          <w:i/>
          <w:iCs/>
          <w:sz w:val="22"/>
          <w:szCs w:val="22"/>
          <w:lang w:eastAsia="en-US"/>
        </w:rPr>
        <w:t xml:space="preserve">IČ: </w:t>
      </w:r>
      <w:r w:rsidRPr="005F4DE9">
        <w:rPr>
          <w:rFonts w:asciiTheme="minorHAnsi" w:eastAsia="Calibri" w:hAnsiTheme="minorHAnsi" w:cstheme="minorHAnsi"/>
          <w:b/>
          <w:i/>
          <w:color w:val="333333"/>
          <w:sz w:val="18"/>
          <w:szCs w:val="18"/>
          <w:shd w:val="clear" w:color="auto" w:fill="FFFFFF"/>
          <w:lang w:eastAsia="en-US"/>
        </w:rPr>
        <w:t>60112476</w:t>
      </w:r>
      <w:r w:rsidRPr="005F4DE9">
        <w:rPr>
          <w:rFonts w:asciiTheme="minorHAnsi" w:eastAsia="Calibri" w:hAnsiTheme="minorHAnsi" w:cstheme="minorHAnsi"/>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F4DE9">
        <w:rPr>
          <w:rFonts w:asciiTheme="minorHAnsi" w:eastAsia="Calibri" w:hAnsiTheme="minorHAnsi" w:cstheme="minorHAnsi"/>
          <w:b/>
          <w:bCs/>
          <w:i/>
          <w:iCs/>
          <w:sz w:val="22"/>
          <w:szCs w:val="22"/>
          <w:lang w:eastAsia="en-US"/>
        </w:rPr>
        <w:t>a zajištění</w:t>
      </w:r>
      <w:r w:rsidRPr="005F4DE9">
        <w:rPr>
          <w:rFonts w:asciiTheme="minorHAnsi" w:eastAsia="Calibri" w:hAnsiTheme="minorHAnsi" w:cstheme="minorHAnsi"/>
          <w:b/>
          <w:bCs/>
          <w:i/>
          <w:iCs/>
          <w:sz w:val="22"/>
          <w:szCs w:val="22"/>
          <w:lang w:eastAsia="en-US"/>
        </w:rPr>
        <w:t xml:space="preserve"> občerstvení a obsluhy při pořádání veškerých kulturních, sportovních a jiných akcí konaných v MFA. </w:t>
      </w:r>
      <w:r w:rsidR="004015B3" w:rsidRPr="005F4DE9">
        <w:rPr>
          <w:rFonts w:asciiTheme="minorHAnsi" w:eastAsia="Calibri" w:hAnsiTheme="minorHAnsi" w:cstheme="minorHAnsi"/>
          <w:b/>
          <w:bCs/>
          <w:i/>
          <w:iCs/>
          <w:sz w:val="22"/>
          <w:szCs w:val="22"/>
          <w:lang w:eastAsia="en-US"/>
        </w:rPr>
        <w:t>Nájemce se</w:t>
      </w:r>
      <w:r w:rsidRPr="005F4DE9">
        <w:rPr>
          <w:rFonts w:asciiTheme="minorHAnsi" w:eastAsia="Calibri" w:hAnsiTheme="minorHAnsi" w:cstheme="minorHAnsi"/>
          <w:b/>
          <w:bCs/>
          <w:i/>
          <w:iCs/>
          <w:sz w:val="22"/>
          <w:szCs w:val="22"/>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F4DE9">
        <w:rPr>
          <w:rFonts w:asciiTheme="minorHAnsi" w:eastAsia="Calibri" w:hAnsiTheme="minorHAnsi" w:cstheme="minorHAnsi"/>
          <w:b/>
          <w:bCs/>
          <w:i/>
          <w:iCs/>
          <w:sz w:val="22"/>
          <w:szCs w:val="22"/>
          <w:lang w:eastAsia="en-US"/>
        </w:rPr>
        <w:t>dohodu poskytovatelem</w:t>
      </w:r>
      <w:r w:rsidRPr="005F4DE9">
        <w:rPr>
          <w:rFonts w:asciiTheme="minorHAnsi" w:eastAsia="Calibri" w:hAnsiTheme="minorHAnsi" w:cstheme="minorHAnsi"/>
          <w:b/>
          <w:bCs/>
          <w:i/>
          <w:iCs/>
          <w:sz w:val="22"/>
          <w:szCs w:val="22"/>
          <w:lang w:eastAsia="en-US"/>
        </w:rPr>
        <w:t xml:space="preserve"> o podmínkách této </w:t>
      </w:r>
      <w:r w:rsidR="004015B3" w:rsidRPr="005F4DE9">
        <w:rPr>
          <w:rFonts w:asciiTheme="minorHAnsi" w:eastAsia="Calibri" w:hAnsiTheme="minorHAnsi" w:cstheme="minorHAnsi"/>
          <w:b/>
          <w:bCs/>
          <w:i/>
          <w:iCs/>
          <w:sz w:val="22"/>
          <w:szCs w:val="22"/>
          <w:lang w:eastAsia="en-US"/>
        </w:rPr>
        <w:t>výjimky.</w:t>
      </w:r>
      <w:r w:rsidR="00C122CB" w:rsidRPr="005F4DE9">
        <w:rPr>
          <w:rFonts w:asciiTheme="minorHAnsi" w:eastAsia="Calibri" w:hAnsiTheme="minorHAnsi" w:cstheme="minorHAnsi"/>
          <w:b/>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xml:space="preserve">, objednala společnost </w:t>
      </w:r>
      <w:r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0290B129"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objednala společnost Rozvojový fond Pardubice</w:t>
      </w:r>
      <w:r w:rsidR="00AB0792">
        <w:rPr>
          <w:rFonts w:asciiTheme="minorHAnsi" w:hAnsiTheme="minorHAnsi"/>
          <w:b/>
          <w:i/>
          <w:sz w:val="24"/>
          <w:szCs w:val="24"/>
        </w:rPr>
        <w:t xml:space="preserve"> až 139 ks vstupenek za nejnižší cenu v předprodeji do sektoru VIP terasa.</w:t>
      </w:r>
    </w:p>
    <w:p w14:paraId="740B309D"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lastRenderedPageBreak/>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6E44137B"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7C7DAB">
        <w:rPr>
          <w:rFonts w:asciiTheme="minorHAnsi" w:hAnsiTheme="minorHAnsi"/>
          <w:sz w:val="24"/>
          <w:szCs w:val="24"/>
        </w:rPr>
        <w:t>12. února 2024</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7C7DAB">
        <w:rPr>
          <w:rFonts w:asciiTheme="minorHAnsi" w:hAnsiTheme="minorHAnsi"/>
          <w:sz w:val="24"/>
          <w:szCs w:val="24"/>
        </w:rPr>
        <w:t>……………..</w:t>
      </w:r>
      <w:r w:rsidRPr="007C7DAB">
        <w:rPr>
          <w:rFonts w:asciiTheme="minorHAnsi" w:hAnsiTheme="minorHAnsi"/>
          <w:sz w:val="24"/>
          <w:szCs w:val="24"/>
        </w:rPr>
        <w:t>…………………………</w:t>
      </w:r>
    </w:p>
    <w:p w14:paraId="29E5D150" w14:textId="1A6E896C"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7C7DAB">
        <w:rPr>
          <w:rFonts w:asciiTheme="minorHAnsi" w:hAnsiTheme="minorHAnsi"/>
          <w:sz w:val="24"/>
          <w:szCs w:val="24"/>
        </w:rPr>
        <w:t xml:space="preserve">           </w:t>
      </w:r>
      <w:r w:rsidR="007C7DAB" w:rsidRPr="007C7DAB">
        <w:rPr>
          <w:rFonts w:asciiTheme="minorHAnsi" w:hAnsiTheme="minorHAnsi"/>
          <w:b/>
          <w:bCs/>
          <w:sz w:val="24"/>
          <w:szCs w:val="24"/>
        </w:rPr>
        <w:t>GLANC, s.r.o.</w:t>
      </w:r>
    </w:p>
    <w:p w14:paraId="709BBDE8" w14:textId="66A9E090"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7C7DAB">
        <w:rPr>
          <w:rFonts w:asciiTheme="minorHAnsi" w:hAnsiTheme="minorHAnsi"/>
          <w:sz w:val="24"/>
          <w:szCs w:val="24"/>
        </w:rPr>
        <w:t>Mgr. Aleš Hrbek</w:t>
      </w:r>
      <w:r>
        <w:rPr>
          <w:rFonts w:asciiTheme="minorHAnsi" w:hAnsiTheme="minorHAnsi"/>
          <w:sz w:val="24"/>
          <w:szCs w:val="24"/>
        </w:rPr>
        <w:t xml:space="preserve"> </w:t>
      </w:r>
    </w:p>
    <w:p w14:paraId="21D150F0" w14:textId="273EE366"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7C7DAB">
        <w:rPr>
          <w:rFonts w:asciiTheme="minorHAnsi" w:hAnsiTheme="minorHAnsi"/>
          <w:sz w:val="24"/>
          <w:szCs w:val="24"/>
        </w:rPr>
        <w:t>jednatel společnosti</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0759CE">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FEA9" w14:textId="77777777" w:rsidR="000759CE" w:rsidRDefault="000759CE" w:rsidP="00D93547">
      <w:r>
        <w:separator/>
      </w:r>
    </w:p>
  </w:endnote>
  <w:endnote w:type="continuationSeparator" w:id="0">
    <w:p w14:paraId="37BBB9D1" w14:textId="77777777" w:rsidR="000759CE" w:rsidRDefault="000759CE"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3695F689"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proofErr w:type="gramStart"/>
    <w:r w:rsidRPr="006100F3">
      <w:rPr>
        <w:rStyle w:val="Hypertextovodkaz"/>
        <w:rFonts w:cstheme="minorHAnsi"/>
        <w:b/>
        <w:color w:val="808080" w:themeColor="background1" w:themeShade="80"/>
        <w:sz w:val="16"/>
        <w:szCs w:val="16"/>
        <w:u w:val="none"/>
      </w:rPr>
      <w:t>Tel.:,</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3F298885" w14:textId="321FA529"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ú,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A07A" w14:textId="77777777" w:rsidR="000759CE" w:rsidRDefault="000759CE" w:rsidP="00D93547">
      <w:r>
        <w:separator/>
      </w:r>
    </w:p>
  </w:footnote>
  <w:footnote w:type="continuationSeparator" w:id="0">
    <w:p w14:paraId="0057CB88" w14:textId="77777777" w:rsidR="000759CE" w:rsidRDefault="000759CE"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59CE"/>
    <w:rsid w:val="0007642E"/>
    <w:rsid w:val="00086F92"/>
    <w:rsid w:val="00090103"/>
    <w:rsid w:val="000A452B"/>
    <w:rsid w:val="000A699D"/>
    <w:rsid w:val="000D07DE"/>
    <w:rsid w:val="000E61A6"/>
    <w:rsid w:val="000F7D1E"/>
    <w:rsid w:val="00100CC4"/>
    <w:rsid w:val="001112EA"/>
    <w:rsid w:val="0011458D"/>
    <w:rsid w:val="00125204"/>
    <w:rsid w:val="00133D66"/>
    <w:rsid w:val="00137CDE"/>
    <w:rsid w:val="00140550"/>
    <w:rsid w:val="0014439D"/>
    <w:rsid w:val="00147493"/>
    <w:rsid w:val="001622FD"/>
    <w:rsid w:val="00164565"/>
    <w:rsid w:val="00174FDF"/>
    <w:rsid w:val="001827E5"/>
    <w:rsid w:val="00183223"/>
    <w:rsid w:val="001839AB"/>
    <w:rsid w:val="001846FF"/>
    <w:rsid w:val="00190C9E"/>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2E5DD5"/>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15B3"/>
    <w:rsid w:val="00402EB0"/>
    <w:rsid w:val="004115F9"/>
    <w:rsid w:val="004208BD"/>
    <w:rsid w:val="00424B1B"/>
    <w:rsid w:val="00436948"/>
    <w:rsid w:val="004432F9"/>
    <w:rsid w:val="00447BEC"/>
    <w:rsid w:val="00453C6E"/>
    <w:rsid w:val="004569F5"/>
    <w:rsid w:val="004629FE"/>
    <w:rsid w:val="00464202"/>
    <w:rsid w:val="00484EE2"/>
    <w:rsid w:val="004901F5"/>
    <w:rsid w:val="004A2BF9"/>
    <w:rsid w:val="004B0FAE"/>
    <w:rsid w:val="004B3350"/>
    <w:rsid w:val="004B6E1B"/>
    <w:rsid w:val="004C0531"/>
    <w:rsid w:val="004C6470"/>
    <w:rsid w:val="004D25CF"/>
    <w:rsid w:val="004E5E15"/>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5F4DE9"/>
    <w:rsid w:val="00602CD7"/>
    <w:rsid w:val="00607330"/>
    <w:rsid w:val="006100F3"/>
    <w:rsid w:val="00611CBD"/>
    <w:rsid w:val="00632DEA"/>
    <w:rsid w:val="00643893"/>
    <w:rsid w:val="00643E07"/>
    <w:rsid w:val="00644309"/>
    <w:rsid w:val="00654FDF"/>
    <w:rsid w:val="00661D93"/>
    <w:rsid w:val="00676254"/>
    <w:rsid w:val="006800F1"/>
    <w:rsid w:val="00683FA6"/>
    <w:rsid w:val="00690C63"/>
    <w:rsid w:val="00694AE5"/>
    <w:rsid w:val="006A7A17"/>
    <w:rsid w:val="006D03E0"/>
    <w:rsid w:val="006D5B46"/>
    <w:rsid w:val="006E2E57"/>
    <w:rsid w:val="006F455A"/>
    <w:rsid w:val="007132A3"/>
    <w:rsid w:val="00713636"/>
    <w:rsid w:val="007353B0"/>
    <w:rsid w:val="0075770E"/>
    <w:rsid w:val="007659F1"/>
    <w:rsid w:val="007678DD"/>
    <w:rsid w:val="00771857"/>
    <w:rsid w:val="007719C2"/>
    <w:rsid w:val="007949A1"/>
    <w:rsid w:val="00796177"/>
    <w:rsid w:val="007B627B"/>
    <w:rsid w:val="007C1DB8"/>
    <w:rsid w:val="007C6A52"/>
    <w:rsid w:val="007C7DAB"/>
    <w:rsid w:val="007D02B9"/>
    <w:rsid w:val="007D0DA5"/>
    <w:rsid w:val="007D45C9"/>
    <w:rsid w:val="007E5558"/>
    <w:rsid w:val="007E73A6"/>
    <w:rsid w:val="007F226D"/>
    <w:rsid w:val="007F33D3"/>
    <w:rsid w:val="0080229C"/>
    <w:rsid w:val="00816496"/>
    <w:rsid w:val="008211F2"/>
    <w:rsid w:val="00821A77"/>
    <w:rsid w:val="00825E76"/>
    <w:rsid w:val="008270B6"/>
    <w:rsid w:val="00832C6D"/>
    <w:rsid w:val="00836F66"/>
    <w:rsid w:val="008439EA"/>
    <w:rsid w:val="00845D7A"/>
    <w:rsid w:val="00857B6C"/>
    <w:rsid w:val="00870695"/>
    <w:rsid w:val="00881009"/>
    <w:rsid w:val="00885E40"/>
    <w:rsid w:val="00895432"/>
    <w:rsid w:val="008B3B8E"/>
    <w:rsid w:val="008D3A52"/>
    <w:rsid w:val="008E31DD"/>
    <w:rsid w:val="00903747"/>
    <w:rsid w:val="00925877"/>
    <w:rsid w:val="00936F57"/>
    <w:rsid w:val="00944365"/>
    <w:rsid w:val="00951100"/>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CC"/>
    <w:rsid w:val="00AC2158"/>
    <w:rsid w:val="00AD78D7"/>
    <w:rsid w:val="00AE0024"/>
    <w:rsid w:val="00AE5F78"/>
    <w:rsid w:val="00AF55DF"/>
    <w:rsid w:val="00B07D82"/>
    <w:rsid w:val="00B11099"/>
    <w:rsid w:val="00B13529"/>
    <w:rsid w:val="00B2061A"/>
    <w:rsid w:val="00B24657"/>
    <w:rsid w:val="00B411DE"/>
    <w:rsid w:val="00B42BB3"/>
    <w:rsid w:val="00B72D5C"/>
    <w:rsid w:val="00B801EF"/>
    <w:rsid w:val="00B806FF"/>
    <w:rsid w:val="00B81B00"/>
    <w:rsid w:val="00B96213"/>
    <w:rsid w:val="00BB7F0E"/>
    <w:rsid w:val="00BD0870"/>
    <w:rsid w:val="00BD1FA0"/>
    <w:rsid w:val="00BF101A"/>
    <w:rsid w:val="00BF4A51"/>
    <w:rsid w:val="00C077BC"/>
    <w:rsid w:val="00C10F1F"/>
    <w:rsid w:val="00C122CB"/>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CF1736"/>
    <w:rsid w:val="00D02564"/>
    <w:rsid w:val="00D20237"/>
    <w:rsid w:val="00D23EC4"/>
    <w:rsid w:val="00D2575A"/>
    <w:rsid w:val="00D33F39"/>
    <w:rsid w:val="00D6167A"/>
    <w:rsid w:val="00D634F5"/>
    <w:rsid w:val="00D65E6B"/>
    <w:rsid w:val="00D713ED"/>
    <w:rsid w:val="00D803D7"/>
    <w:rsid w:val="00D837C3"/>
    <w:rsid w:val="00D9292F"/>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69BB"/>
    <w:rsid w:val="00F228CA"/>
    <w:rsid w:val="00F236B1"/>
    <w:rsid w:val="00F5189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157</TotalTime>
  <Pages>7</Pages>
  <Words>2383</Words>
  <Characters>14061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27</cp:revision>
  <cp:lastPrinted>2017-03-20T10:02:00Z</cp:lastPrinted>
  <dcterms:created xsi:type="dcterms:W3CDTF">2017-09-27T06:37:00Z</dcterms:created>
  <dcterms:modified xsi:type="dcterms:W3CDTF">2024-02-26T12:38:00Z</dcterms:modified>
</cp:coreProperties>
</file>