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4E" w:rsidRDefault="008F1F4E" w:rsidP="002F2A95">
      <w:pPr>
        <w:spacing w:before="240" w:after="120"/>
        <w:ind w:left="7080" w:firstLine="7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Fritzova 32</w:t>
      </w:r>
    </w:p>
    <w:p w:rsidR="008F1F4E" w:rsidRDefault="008F1F4E" w:rsidP="008F1F4E">
      <w:pPr>
        <w:spacing w:before="240" w:after="120"/>
        <w:jc w:val="both"/>
        <w:rPr>
          <w:rFonts w:ascii="Verdana" w:hAnsi="Verdana"/>
          <w:sz w:val="32"/>
          <w:szCs w:val="32"/>
        </w:rPr>
      </w:pPr>
    </w:p>
    <w:p w:rsidR="008F1F4E" w:rsidRPr="007853EE" w:rsidRDefault="008F1F4E" w:rsidP="008F1F4E">
      <w:pPr>
        <w:pStyle w:val="Nadpis1"/>
        <w:spacing w:after="720"/>
        <w:rPr>
          <w:rFonts w:ascii="Verdana" w:hAnsi="Verdana"/>
          <w:sz w:val="30"/>
          <w:szCs w:val="30"/>
        </w:rPr>
      </w:pPr>
      <w:r w:rsidRPr="007853EE">
        <w:rPr>
          <w:rFonts w:ascii="Verdana" w:hAnsi="Verdana"/>
          <w:sz w:val="30"/>
          <w:szCs w:val="30"/>
        </w:rPr>
        <w:t>Dodatek</w:t>
      </w:r>
      <w:r>
        <w:rPr>
          <w:rFonts w:ascii="Verdana" w:hAnsi="Verdana"/>
          <w:sz w:val="30"/>
          <w:szCs w:val="30"/>
        </w:rPr>
        <w:t xml:space="preserve"> č. 44 </w:t>
      </w:r>
      <w:r w:rsidRPr="007853EE">
        <w:rPr>
          <w:rFonts w:ascii="Verdana" w:hAnsi="Verdana"/>
          <w:sz w:val="30"/>
          <w:szCs w:val="30"/>
        </w:rPr>
        <w:t>ke smlouvě o dodávce a</w:t>
      </w:r>
      <w:r>
        <w:rPr>
          <w:rFonts w:ascii="Verdana" w:hAnsi="Verdana"/>
          <w:sz w:val="30"/>
          <w:szCs w:val="30"/>
        </w:rPr>
        <w:t xml:space="preserve"> </w:t>
      </w:r>
      <w:r w:rsidRPr="007853EE">
        <w:rPr>
          <w:rFonts w:ascii="Verdana" w:hAnsi="Verdana"/>
          <w:sz w:val="30"/>
          <w:szCs w:val="30"/>
        </w:rPr>
        <w:t>odběru tepla</w:t>
      </w:r>
      <w:r>
        <w:rPr>
          <w:rFonts w:ascii="Verdana" w:hAnsi="Verdana"/>
          <w:sz w:val="30"/>
          <w:szCs w:val="30"/>
        </w:rPr>
        <w:t xml:space="preserve"> a teplé užitkové vody č. 001022/01</w:t>
      </w:r>
      <w:r w:rsidRPr="007853EE">
        <w:rPr>
          <w:rFonts w:ascii="Verdana" w:hAnsi="Verdana"/>
          <w:sz w:val="30"/>
          <w:szCs w:val="30"/>
        </w:rPr>
        <w:t xml:space="preserve"> ze dne </w:t>
      </w:r>
      <w:r>
        <w:rPr>
          <w:rFonts w:ascii="Verdana" w:hAnsi="Verdana"/>
          <w:sz w:val="30"/>
          <w:szCs w:val="30"/>
        </w:rPr>
        <w:t>1. 1. 2001</w:t>
      </w:r>
    </w:p>
    <w:p w:rsidR="008F1F4E" w:rsidRDefault="008F1F4E" w:rsidP="008F1F4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Statutární město Jihlava</w:t>
      </w:r>
    </w:p>
    <w:p w:rsidR="008F1F4E" w:rsidRDefault="008F1F4E" w:rsidP="008F1F4E">
      <w:pPr>
        <w:rPr>
          <w:rFonts w:ascii="Verdana" w:hAnsi="Verdana"/>
          <w:b/>
          <w:bCs/>
          <w:sz w:val="22"/>
          <w:szCs w:val="22"/>
        </w:rPr>
      </w:pPr>
      <w:r w:rsidRPr="008F3F18">
        <w:rPr>
          <w:rFonts w:ascii="Verdana" w:hAnsi="Verdana"/>
          <w:sz w:val="22"/>
          <w:szCs w:val="22"/>
        </w:rPr>
        <w:t>sídlo: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Masarykovo nám. 97/1, 586 01  Jihlava</w:t>
      </w:r>
    </w:p>
    <w:p w:rsidR="008F1F4E" w:rsidRDefault="008F1F4E" w:rsidP="008F1F4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IČ</w:t>
      </w:r>
      <w:r w:rsidRPr="008F3F18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00286010</w:t>
      </w:r>
    </w:p>
    <w:p w:rsidR="008F1F4E" w:rsidRDefault="008F1F4E" w:rsidP="008F1F4E">
      <w:pPr>
        <w:rPr>
          <w:rFonts w:ascii="Verdana" w:hAnsi="Verdana"/>
          <w:b/>
          <w:sz w:val="22"/>
          <w:szCs w:val="22"/>
        </w:rPr>
      </w:pPr>
      <w:r w:rsidRPr="008F3F18">
        <w:rPr>
          <w:rFonts w:ascii="Verdana" w:hAnsi="Verdana"/>
          <w:sz w:val="22"/>
          <w:szCs w:val="22"/>
        </w:rPr>
        <w:t>zástupce: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      Ing. arch. Martin Laštovička, náměstek primátora</w:t>
      </w:r>
    </w:p>
    <w:p w:rsidR="008F1F4E" w:rsidRDefault="008F1F4E" w:rsidP="008F1F4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</w:t>
      </w:r>
    </w:p>
    <w:p w:rsidR="008F1F4E" w:rsidRPr="006D32E6" w:rsidRDefault="008F1F4E" w:rsidP="008F1F4E">
      <w:pPr>
        <w:rPr>
          <w:rFonts w:ascii="Verdana" w:hAnsi="Verdana"/>
          <w:b/>
          <w:bCs/>
          <w:sz w:val="22"/>
          <w:szCs w:val="22"/>
        </w:rPr>
      </w:pPr>
      <w:r w:rsidRPr="008F3F18">
        <w:rPr>
          <w:rFonts w:ascii="Verdana" w:hAnsi="Verdana"/>
          <w:b/>
          <w:sz w:val="22"/>
          <w:szCs w:val="22"/>
        </w:rPr>
        <w:tab/>
      </w:r>
      <w:r w:rsidRPr="008F3F18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 xml:space="preserve">   </w:t>
      </w:r>
    </w:p>
    <w:p w:rsidR="008F1F4E" w:rsidRPr="008F3F18" w:rsidRDefault="008F1F4E" w:rsidP="008F1F4E">
      <w:pPr>
        <w:rPr>
          <w:rFonts w:ascii="Verdana" w:hAnsi="Verdana"/>
          <w:i/>
          <w:sz w:val="22"/>
          <w:szCs w:val="22"/>
        </w:rPr>
      </w:pPr>
      <w:r w:rsidRPr="008F3F18">
        <w:rPr>
          <w:rFonts w:ascii="Verdana" w:hAnsi="Verdana"/>
          <w:i/>
          <w:sz w:val="22"/>
          <w:szCs w:val="22"/>
        </w:rPr>
        <w:t xml:space="preserve">(dále jako </w:t>
      </w:r>
      <w:r>
        <w:rPr>
          <w:rFonts w:ascii="Verdana" w:hAnsi="Verdana"/>
          <w:i/>
          <w:sz w:val="22"/>
          <w:szCs w:val="22"/>
        </w:rPr>
        <w:t>odběratel</w:t>
      </w:r>
      <w:r w:rsidRPr="008F3F18">
        <w:rPr>
          <w:rFonts w:ascii="Verdana" w:hAnsi="Verdana"/>
          <w:i/>
          <w:sz w:val="22"/>
          <w:szCs w:val="22"/>
        </w:rPr>
        <w:t xml:space="preserve">) </w:t>
      </w:r>
    </w:p>
    <w:p w:rsidR="008F1F4E" w:rsidRPr="008F3F18" w:rsidRDefault="008F1F4E" w:rsidP="008F1F4E">
      <w:pPr>
        <w:spacing w:after="240"/>
        <w:jc w:val="center"/>
        <w:rPr>
          <w:rFonts w:ascii="Verdana" w:hAnsi="Verdana"/>
          <w:sz w:val="22"/>
          <w:szCs w:val="22"/>
        </w:rPr>
      </w:pPr>
      <w:r w:rsidRPr="008F3F18">
        <w:rPr>
          <w:rFonts w:ascii="Verdana" w:hAnsi="Verdana"/>
          <w:sz w:val="22"/>
          <w:szCs w:val="22"/>
        </w:rPr>
        <w:t>a</w:t>
      </w:r>
    </w:p>
    <w:p w:rsidR="008F1F4E" w:rsidRPr="008F3F18" w:rsidRDefault="008F1F4E" w:rsidP="008F1F4E">
      <w:pPr>
        <w:spacing w:after="240"/>
        <w:rPr>
          <w:rFonts w:ascii="Verdana" w:hAnsi="Verdana"/>
          <w:b/>
          <w:sz w:val="22"/>
          <w:szCs w:val="22"/>
        </w:rPr>
      </w:pPr>
      <w:r w:rsidRPr="008F3F18">
        <w:rPr>
          <w:rFonts w:ascii="Verdana" w:hAnsi="Verdana"/>
          <w:b/>
          <w:sz w:val="22"/>
          <w:szCs w:val="22"/>
        </w:rPr>
        <w:t>JIHLAVSKÉ KOTELNY, s.r.o.</w:t>
      </w:r>
      <w:r w:rsidRPr="008F3F18">
        <w:rPr>
          <w:rFonts w:ascii="Verdana" w:hAnsi="Verdana"/>
          <w:b/>
          <w:sz w:val="22"/>
          <w:szCs w:val="22"/>
        </w:rPr>
        <w:br/>
      </w:r>
      <w:r w:rsidRPr="008F3F18">
        <w:rPr>
          <w:rFonts w:ascii="Verdana" w:hAnsi="Verdana"/>
          <w:sz w:val="22"/>
          <w:szCs w:val="22"/>
        </w:rPr>
        <w:t>sídlo:</w:t>
      </w:r>
      <w:r w:rsidRPr="008F3F18">
        <w:rPr>
          <w:rFonts w:ascii="Verdana" w:hAnsi="Verdana"/>
          <w:sz w:val="22"/>
          <w:szCs w:val="22"/>
        </w:rPr>
        <w:tab/>
      </w:r>
      <w:r w:rsidRPr="008F3F18">
        <w:rPr>
          <w:rFonts w:ascii="Verdana" w:hAnsi="Verdana"/>
          <w:b/>
          <w:sz w:val="22"/>
          <w:szCs w:val="22"/>
        </w:rPr>
        <w:t>Havlíčkova 111, 58</w:t>
      </w:r>
      <w:r>
        <w:rPr>
          <w:rFonts w:ascii="Verdana" w:hAnsi="Verdana"/>
          <w:b/>
          <w:sz w:val="22"/>
          <w:szCs w:val="22"/>
        </w:rPr>
        <w:t>6 01  Jihlava</w:t>
      </w:r>
      <w:r w:rsidRPr="008F3F18">
        <w:rPr>
          <w:rFonts w:ascii="Verdana" w:hAnsi="Verdana"/>
          <w:sz w:val="22"/>
          <w:szCs w:val="22"/>
        </w:rPr>
        <w:br/>
        <w:t>IČ:</w:t>
      </w:r>
      <w:r w:rsidRPr="008F3F18">
        <w:rPr>
          <w:rFonts w:ascii="Verdana" w:hAnsi="Verdana"/>
          <w:sz w:val="22"/>
          <w:szCs w:val="22"/>
        </w:rPr>
        <w:tab/>
      </w:r>
      <w:r w:rsidRPr="008F3F18">
        <w:rPr>
          <w:rFonts w:ascii="Verdana" w:hAnsi="Verdana"/>
          <w:b/>
          <w:sz w:val="22"/>
          <w:szCs w:val="22"/>
        </w:rPr>
        <w:t>60730820</w:t>
      </w:r>
      <w:r w:rsidRPr="008F3F18">
        <w:rPr>
          <w:rFonts w:ascii="Verdana" w:hAnsi="Verdana"/>
          <w:sz w:val="22"/>
          <w:szCs w:val="22"/>
        </w:rPr>
        <w:br/>
        <w:t xml:space="preserve">obch. rejstřík: </w:t>
      </w:r>
      <w:r w:rsidRPr="008F3F18">
        <w:rPr>
          <w:rFonts w:ascii="Verdana" w:hAnsi="Verdana"/>
          <w:b/>
          <w:sz w:val="22"/>
          <w:szCs w:val="22"/>
        </w:rPr>
        <w:t>Krajský soud v Brně, oddíl C, vložka 17418</w:t>
      </w:r>
      <w:r w:rsidRPr="008F3F18">
        <w:rPr>
          <w:rFonts w:ascii="Verdana" w:hAnsi="Verdana"/>
          <w:sz w:val="22"/>
          <w:szCs w:val="22"/>
        </w:rPr>
        <w:br/>
        <w:t>zástupce:</w:t>
      </w:r>
      <w:r w:rsidRPr="008F3F18">
        <w:rPr>
          <w:rFonts w:ascii="Verdana" w:hAnsi="Verdana"/>
          <w:sz w:val="22"/>
          <w:szCs w:val="22"/>
        </w:rPr>
        <w:tab/>
        <w:t xml:space="preserve">   </w:t>
      </w:r>
      <w:r w:rsidRPr="008F3F18">
        <w:rPr>
          <w:rFonts w:ascii="Verdana" w:hAnsi="Verdana"/>
          <w:b/>
          <w:sz w:val="22"/>
          <w:szCs w:val="22"/>
        </w:rPr>
        <w:t>Mgr. Lucie Hubačová, jednatel společnosti</w:t>
      </w:r>
      <w:r w:rsidRPr="008F3F18">
        <w:rPr>
          <w:rFonts w:ascii="Verdana" w:hAnsi="Verdana"/>
          <w:b/>
          <w:sz w:val="22"/>
          <w:szCs w:val="22"/>
        </w:rPr>
        <w:br/>
        <w:t xml:space="preserve"> </w:t>
      </w:r>
      <w:r w:rsidRPr="008F3F18">
        <w:rPr>
          <w:rFonts w:ascii="Verdana" w:hAnsi="Verdana"/>
          <w:b/>
          <w:sz w:val="22"/>
          <w:szCs w:val="22"/>
        </w:rPr>
        <w:tab/>
      </w:r>
      <w:r w:rsidRPr="008F3F18">
        <w:rPr>
          <w:rFonts w:ascii="Verdana" w:hAnsi="Verdana"/>
          <w:b/>
          <w:sz w:val="22"/>
          <w:szCs w:val="22"/>
        </w:rPr>
        <w:tab/>
        <w:t xml:space="preserve">   Ing. Jan Diviš, jednatel společnosti</w:t>
      </w:r>
    </w:p>
    <w:p w:rsidR="008F1F4E" w:rsidRPr="008F3F18" w:rsidRDefault="008F1F4E" w:rsidP="008F1F4E">
      <w:pPr>
        <w:pStyle w:val="Nadpis3"/>
        <w:rPr>
          <w:rFonts w:ascii="Verdana" w:hAnsi="Verdana"/>
          <w:b w:val="0"/>
          <w:bCs/>
          <w:i/>
          <w:iCs/>
          <w:sz w:val="22"/>
          <w:szCs w:val="22"/>
        </w:rPr>
      </w:pPr>
      <w:r w:rsidRPr="008F3F18">
        <w:rPr>
          <w:rFonts w:ascii="Verdana" w:hAnsi="Verdana"/>
          <w:b w:val="0"/>
          <w:bCs/>
          <w:i/>
          <w:iCs/>
          <w:sz w:val="22"/>
          <w:szCs w:val="22"/>
        </w:rPr>
        <w:t xml:space="preserve">(dále jako </w:t>
      </w:r>
      <w:r>
        <w:rPr>
          <w:rFonts w:ascii="Verdana" w:hAnsi="Verdana"/>
          <w:b w:val="0"/>
          <w:bCs/>
          <w:i/>
          <w:iCs/>
          <w:sz w:val="22"/>
          <w:szCs w:val="22"/>
        </w:rPr>
        <w:t>dodavatel</w:t>
      </w:r>
      <w:r w:rsidRPr="008F3F18">
        <w:rPr>
          <w:rFonts w:ascii="Verdana" w:hAnsi="Verdana"/>
          <w:b w:val="0"/>
          <w:bCs/>
          <w:i/>
          <w:iCs/>
          <w:sz w:val="22"/>
          <w:szCs w:val="22"/>
        </w:rPr>
        <w:t>)</w:t>
      </w:r>
    </w:p>
    <w:p w:rsidR="008F1F4E" w:rsidRPr="00AB48D7" w:rsidRDefault="008F1F4E" w:rsidP="008F1F4E">
      <w:pPr>
        <w:pStyle w:val="Seznam"/>
        <w:spacing w:before="480" w:after="120"/>
        <w:ind w:left="0" w:firstLine="0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Smluvní strany </w:t>
      </w:r>
      <w:r w:rsidRPr="00AB48D7">
        <w:rPr>
          <w:rFonts w:ascii="Verdana" w:hAnsi="Verdana"/>
          <w:szCs w:val="22"/>
        </w:rPr>
        <w:t>se dohodl</w:t>
      </w:r>
      <w:r>
        <w:rPr>
          <w:rFonts w:ascii="Verdana" w:hAnsi="Verdana"/>
          <w:szCs w:val="22"/>
        </w:rPr>
        <w:t>y</w:t>
      </w:r>
      <w:r w:rsidRPr="00AB48D7">
        <w:rPr>
          <w:rFonts w:ascii="Verdana" w:hAnsi="Verdana"/>
          <w:szCs w:val="22"/>
        </w:rPr>
        <w:t xml:space="preserve"> na následující změně smlouvy</w:t>
      </w:r>
      <w:r>
        <w:rPr>
          <w:rFonts w:ascii="Verdana" w:hAnsi="Verdana"/>
          <w:szCs w:val="22"/>
        </w:rPr>
        <w:t xml:space="preserve"> o dodávce a odběru tepla a teplé užitkové vody</w:t>
      </w:r>
      <w:r w:rsidRPr="00AB48D7">
        <w:rPr>
          <w:rFonts w:ascii="Verdana" w:hAnsi="Verdana"/>
          <w:szCs w:val="22"/>
        </w:rPr>
        <w:t>, kterou smluvní strany uzavřely</w:t>
      </w:r>
      <w:r>
        <w:rPr>
          <w:rFonts w:ascii="Verdana" w:hAnsi="Verdana"/>
          <w:szCs w:val="22"/>
        </w:rPr>
        <w:t xml:space="preserve"> dne 1. 1. 2001.</w:t>
      </w:r>
    </w:p>
    <w:p w:rsidR="008F1F4E" w:rsidRDefault="008F1F4E" w:rsidP="008F1F4E">
      <w:pPr>
        <w:spacing w:before="24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Čl. III. Cenové a platební podmínky zní nově takto:</w:t>
      </w:r>
    </w:p>
    <w:p w:rsidR="008F1F4E" w:rsidRPr="00D91EB4" w:rsidRDefault="008F1F4E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1.</w:t>
      </w:r>
      <w:r w:rsidRPr="00D91EB4">
        <w:rPr>
          <w:rFonts w:ascii="Verdana" w:hAnsi="Verdana"/>
          <w:b/>
          <w:sz w:val="22"/>
          <w:szCs w:val="22"/>
        </w:rPr>
        <w:tab/>
        <w:t>Cena tepelné energie je kalkulována a sjednána v souladu s platnými cenovými rozhodnutími Energetického regulačního úřadu, k cenám tepelné energie.</w:t>
      </w:r>
    </w:p>
    <w:p w:rsidR="008F1F4E" w:rsidRPr="00D91EB4" w:rsidRDefault="008F1F4E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2.</w:t>
      </w:r>
      <w:r w:rsidRPr="00D91EB4">
        <w:rPr>
          <w:rFonts w:ascii="Verdana" w:hAnsi="Verdana"/>
          <w:b/>
          <w:sz w:val="22"/>
          <w:szCs w:val="22"/>
        </w:rPr>
        <w:tab/>
        <w:t>Dodavatel vyúčtuje cenu tepla za příslušný kalendářní rok ve výsledné ceně vycházející z výsledné cenové kalkulace, která obsahuje skutečně uplatněné ekonomicky oprávněné náklady a skutečné množství tepelné energie za ukončený kalendářní rok.</w:t>
      </w:r>
    </w:p>
    <w:p w:rsidR="008F1F4E" w:rsidRPr="00D91EB4" w:rsidRDefault="008F1F4E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3.</w:t>
      </w:r>
      <w:r w:rsidRPr="00D91EB4">
        <w:rPr>
          <w:rFonts w:ascii="Verdana" w:hAnsi="Verdana"/>
          <w:b/>
          <w:sz w:val="22"/>
          <w:szCs w:val="22"/>
        </w:rPr>
        <w:tab/>
        <w:t>Předběžná cena tepla, uplatňovaná v kalendářním roce pro stanovení záloh, vychází z předběžné kalkulace, ve které jsou uplatněny pouze předpokládané ekonomicky oprávněné náklady, přiměřený zisk a předpokládané množství tepelné energie v kalendářním roce. Předběžné ceny tepelné energie pro příslušný kalendářní rok jsou uvedeny v Příloze č.</w:t>
      </w:r>
      <w:r>
        <w:rPr>
          <w:rFonts w:ascii="Verdana" w:hAnsi="Verdana"/>
          <w:b/>
          <w:sz w:val="22"/>
          <w:szCs w:val="22"/>
        </w:rPr>
        <w:t> </w:t>
      </w:r>
      <w:r w:rsidRPr="00D91EB4">
        <w:rPr>
          <w:rFonts w:ascii="Verdana" w:hAnsi="Verdana"/>
          <w:b/>
          <w:sz w:val="22"/>
          <w:szCs w:val="22"/>
        </w:rPr>
        <w:t xml:space="preserve">3, která je nedílnou součástí této </w:t>
      </w:r>
      <w:r>
        <w:rPr>
          <w:rFonts w:ascii="Verdana" w:hAnsi="Verdana"/>
          <w:b/>
          <w:sz w:val="22"/>
          <w:szCs w:val="22"/>
        </w:rPr>
        <w:t>s</w:t>
      </w:r>
      <w:r w:rsidRPr="00D91EB4">
        <w:rPr>
          <w:rFonts w:ascii="Verdana" w:hAnsi="Verdana"/>
          <w:b/>
          <w:sz w:val="22"/>
          <w:szCs w:val="22"/>
        </w:rPr>
        <w:t xml:space="preserve">mlouvy.  </w:t>
      </w:r>
    </w:p>
    <w:p w:rsidR="008F1F4E" w:rsidRPr="00D91EB4" w:rsidRDefault="008F1F4E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lastRenderedPageBreak/>
        <w:t>4.</w:t>
      </w:r>
      <w:r w:rsidRPr="00D91EB4">
        <w:rPr>
          <w:rFonts w:ascii="Verdana" w:hAnsi="Verdana"/>
          <w:b/>
          <w:sz w:val="22"/>
          <w:szCs w:val="22"/>
        </w:rPr>
        <w:tab/>
        <w:t xml:space="preserve">Odběratel se zavazuje k úhradě záloh na předpokládanou dodávku tepla, splatných v termínech stanovených v této smlouvě nebo v Příloze č. 3 jako nedílná součást této </w:t>
      </w:r>
      <w:r>
        <w:rPr>
          <w:rFonts w:ascii="Verdana" w:hAnsi="Verdana"/>
          <w:b/>
          <w:sz w:val="22"/>
          <w:szCs w:val="22"/>
        </w:rPr>
        <w:t>s</w:t>
      </w:r>
      <w:r w:rsidRPr="00D91EB4">
        <w:rPr>
          <w:rFonts w:ascii="Verdana" w:hAnsi="Verdana"/>
          <w:b/>
          <w:sz w:val="22"/>
          <w:szCs w:val="22"/>
        </w:rPr>
        <w:t xml:space="preserve">mlouvy, a to za následujících podmínek:  </w:t>
      </w:r>
    </w:p>
    <w:p w:rsidR="008F1F4E" w:rsidRPr="00D91EB4" w:rsidRDefault="008F1F4E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a)</w:t>
      </w:r>
      <w:r w:rsidRPr="00D91EB4">
        <w:rPr>
          <w:rFonts w:ascii="Verdana" w:hAnsi="Verdana"/>
          <w:b/>
          <w:sz w:val="22"/>
          <w:szCs w:val="22"/>
        </w:rPr>
        <w:tab/>
        <w:t xml:space="preserve">zálohy za dodávku tepelné energie v kalendářním roce stanoví dodavatel, pokud se smluvní strany nedohodnou jinak, jako 1/12 následujícího:  </w:t>
      </w:r>
    </w:p>
    <w:p w:rsidR="008F1F4E" w:rsidRPr="00D91EB4" w:rsidRDefault="008F1F4E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-</w:t>
      </w:r>
      <w:r w:rsidRPr="00D91EB4">
        <w:rPr>
          <w:rFonts w:ascii="Verdana" w:hAnsi="Verdana"/>
          <w:b/>
          <w:sz w:val="22"/>
          <w:szCs w:val="22"/>
        </w:rPr>
        <w:tab/>
        <w:t xml:space="preserve">Cena tepelné energie na příslušné období pro předpokládanou spotřebu tepelné energie v GJ  </w:t>
      </w:r>
    </w:p>
    <w:p w:rsidR="008F1F4E" w:rsidRPr="00D91EB4" w:rsidRDefault="008F1F4E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b)</w:t>
      </w:r>
      <w:r w:rsidRPr="00D91EB4">
        <w:rPr>
          <w:rFonts w:ascii="Verdana" w:hAnsi="Verdana"/>
          <w:b/>
          <w:sz w:val="22"/>
          <w:szCs w:val="22"/>
        </w:rPr>
        <w:tab/>
        <w:t xml:space="preserve">stanovené zálohy budou odběratelem zaplaceny bezhotovostním převodem na účet dodavatele k datu splatnosti. Odběratel je povinen při platbě používat stanovený variabilní symbol;  </w:t>
      </w:r>
    </w:p>
    <w:p w:rsidR="008F1F4E" w:rsidRPr="00D91EB4" w:rsidRDefault="008F1F4E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c)</w:t>
      </w:r>
      <w:r w:rsidRPr="00D91EB4">
        <w:rPr>
          <w:rFonts w:ascii="Verdana" w:hAnsi="Verdana"/>
          <w:b/>
          <w:sz w:val="22"/>
          <w:szCs w:val="22"/>
        </w:rPr>
        <w:tab/>
        <w:t xml:space="preserve">na platby záloh se vztahují všechna ujednání smlouvy bez výjimky (např. používání variabilních symbolů, smluvní pokuty apod.).  </w:t>
      </w:r>
    </w:p>
    <w:p w:rsidR="008F1F4E" w:rsidRPr="00D91EB4" w:rsidRDefault="008F1F4E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5.</w:t>
      </w:r>
      <w:r w:rsidRPr="00D91EB4">
        <w:rPr>
          <w:rFonts w:ascii="Verdana" w:hAnsi="Verdana"/>
          <w:b/>
          <w:sz w:val="22"/>
          <w:szCs w:val="22"/>
        </w:rPr>
        <w:tab/>
        <w:t xml:space="preserve">Vyúčtování dodávky tepelné energie do odběrného místa odběratele včetně zúčtování zaplacených záloh odběratelem provede a předá dodavatel odběrateli formou </w:t>
      </w:r>
      <w:r>
        <w:rPr>
          <w:rFonts w:ascii="Verdana" w:hAnsi="Verdana"/>
          <w:b/>
          <w:sz w:val="22"/>
          <w:szCs w:val="22"/>
        </w:rPr>
        <w:t>daňového dokladu - faktury do 15.</w:t>
      </w:r>
      <w:r w:rsidRPr="00D91EB4">
        <w:rPr>
          <w:rFonts w:ascii="Verdana" w:hAnsi="Verdana"/>
          <w:b/>
          <w:sz w:val="22"/>
          <w:szCs w:val="22"/>
        </w:rPr>
        <w:t xml:space="preserve"> kalendářního dne po skončení zúčtovacího období kalendářního roku. Případný nedoplatek nebo přeplatek úhrady za plnění poskytované dle této smlouvy je splatný odběratelem nebo dodavatelem na základě dodavatelem vystaveného daňového dokladu, a to do 14 dnů od data jeho vystavení.   </w:t>
      </w:r>
    </w:p>
    <w:p w:rsidR="008F1F4E" w:rsidRPr="00D91EB4" w:rsidRDefault="008F1F4E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6</w:t>
      </w:r>
      <w:r w:rsidRPr="00D91EB4">
        <w:rPr>
          <w:rFonts w:ascii="Verdana" w:hAnsi="Verdana"/>
          <w:b/>
          <w:sz w:val="22"/>
          <w:szCs w:val="22"/>
        </w:rPr>
        <w:t>.</w:t>
      </w:r>
      <w:r w:rsidRPr="00D91EB4">
        <w:rPr>
          <w:rFonts w:ascii="Verdana" w:hAnsi="Verdana"/>
          <w:b/>
          <w:sz w:val="22"/>
          <w:szCs w:val="22"/>
        </w:rPr>
        <w:tab/>
        <w:t xml:space="preserve">Dodavatel je oprávněn </w:t>
      </w:r>
      <w:r>
        <w:rPr>
          <w:rFonts w:ascii="Verdana" w:hAnsi="Verdana"/>
          <w:b/>
          <w:sz w:val="22"/>
          <w:szCs w:val="22"/>
        </w:rPr>
        <w:t>snížit/</w:t>
      </w:r>
      <w:r w:rsidRPr="00D91EB4">
        <w:rPr>
          <w:rFonts w:ascii="Verdana" w:hAnsi="Verdana"/>
          <w:b/>
          <w:sz w:val="22"/>
          <w:szCs w:val="22"/>
        </w:rPr>
        <w:t xml:space="preserve">zvýšit předběžnou cenu tepelné energie v průběhu kalendářního roku, jestliže jsou v průběhu roku oproti předpokladu </w:t>
      </w:r>
      <w:r>
        <w:rPr>
          <w:rFonts w:ascii="Verdana" w:hAnsi="Verdana"/>
          <w:b/>
          <w:sz w:val="22"/>
          <w:szCs w:val="22"/>
        </w:rPr>
        <w:t>nižší/</w:t>
      </w:r>
      <w:r w:rsidRPr="00D91EB4">
        <w:rPr>
          <w:rFonts w:ascii="Verdana" w:hAnsi="Verdana"/>
          <w:b/>
          <w:sz w:val="22"/>
          <w:szCs w:val="22"/>
        </w:rPr>
        <w:t>vyšší skutečné ekonomicky oprávněné náklady, zejména cena variabilních nákladů (paliva) a/nebo nižší</w:t>
      </w:r>
      <w:r>
        <w:rPr>
          <w:rFonts w:ascii="Verdana" w:hAnsi="Verdana"/>
          <w:b/>
          <w:sz w:val="22"/>
          <w:szCs w:val="22"/>
        </w:rPr>
        <w:t>/vyšší</w:t>
      </w:r>
      <w:r w:rsidRPr="00D91EB4">
        <w:rPr>
          <w:rFonts w:ascii="Verdana" w:hAnsi="Verdana"/>
          <w:b/>
          <w:sz w:val="22"/>
          <w:szCs w:val="22"/>
        </w:rPr>
        <w:t xml:space="preserve"> množství tepelné energie. Dodavatel případnou změnu oznámených předběžných cen tepelné energie pro příslušný rok a s ní související změnu stanovených záloh oznámí odběrateli nejpozději do 10. kalendářního dne v měsíci a nová předběžná cena a nová výše záloh vstupuje v platnost od 1. kalendářního dne měsíce následujícího. Oznámení dodavatel provede tak, že doručí odběrateli nové znění Přílohy č.</w:t>
      </w:r>
      <w:r>
        <w:rPr>
          <w:rFonts w:ascii="Verdana" w:hAnsi="Verdana"/>
          <w:b/>
          <w:sz w:val="22"/>
          <w:szCs w:val="22"/>
        </w:rPr>
        <w:t> </w:t>
      </w:r>
      <w:r w:rsidRPr="00D91EB4">
        <w:rPr>
          <w:rFonts w:ascii="Verdana" w:hAnsi="Verdana"/>
          <w:b/>
          <w:sz w:val="22"/>
          <w:szCs w:val="22"/>
        </w:rPr>
        <w:t xml:space="preserve">3 s novou výší předběžné ceny tepelné energie a novou výší stanovených záloh jako nedílné součásti této smlouvy. </w:t>
      </w:r>
    </w:p>
    <w:p w:rsidR="008F1F4E" w:rsidRPr="00D91EB4" w:rsidRDefault="008F1F4E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7</w:t>
      </w:r>
      <w:r w:rsidRPr="00D91EB4">
        <w:rPr>
          <w:rFonts w:ascii="Verdana" w:hAnsi="Verdana"/>
          <w:b/>
          <w:sz w:val="22"/>
          <w:szCs w:val="22"/>
        </w:rPr>
        <w:t>.</w:t>
      </w:r>
      <w:r w:rsidRPr="00D91EB4">
        <w:rPr>
          <w:rFonts w:ascii="Verdana" w:hAnsi="Verdana"/>
          <w:b/>
          <w:sz w:val="22"/>
          <w:szCs w:val="22"/>
        </w:rPr>
        <w:tab/>
        <w:t>Předběžné ceny tepelné energie pro další kalendářní rok a novou výši stanovených záloh dodavatel oznámí odběrateli nejpozději do 20. prosince předchozího kalendářního roku, s platností předběžných cen a záloh od 1.</w:t>
      </w:r>
      <w:r>
        <w:rPr>
          <w:rFonts w:ascii="Verdana" w:hAnsi="Verdana"/>
          <w:b/>
          <w:sz w:val="22"/>
          <w:szCs w:val="22"/>
        </w:rPr>
        <w:t> </w:t>
      </w:r>
      <w:r w:rsidRPr="00D91EB4">
        <w:rPr>
          <w:rFonts w:ascii="Verdana" w:hAnsi="Verdana"/>
          <w:b/>
          <w:sz w:val="22"/>
          <w:szCs w:val="22"/>
        </w:rPr>
        <w:t>ledna následujícího kalendářního roku. Oznámení dodavatel provede tak, že doručí odběrateli pro příslušný kalendářní rok nové znění Přílohy č. 3 s předběžnou cenou tepelné energie a novou výší stanovených záloh jako nedílné součásti této smlouvy.</w:t>
      </w:r>
    </w:p>
    <w:p w:rsidR="008F1F4E" w:rsidRPr="00D91EB4" w:rsidRDefault="008F1F4E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8</w:t>
      </w:r>
      <w:r w:rsidRPr="00D91EB4">
        <w:rPr>
          <w:rFonts w:ascii="Verdana" w:hAnsi="Verdana"/>
          <w:b/>
          <w:sz w:val="22"/>
          <w:szCs w:val="22"/>
        </w:rPr>
        <w:t>.</w:t>
      </w:r>
      <w:r w:rsidRPr="00D91EB4">
        <w:rPr>
          <w:rFonts w:ascii="Verdana" w:hAnsi="Verdana"/>
          <w:b/>
          <w:sz w:val="22"/>
          <w:szCs w:val="22"/>
        </w:rPr>
        <w:tab/>
        <w:t>Odběratel uhradí skutečně odebrané teplo (GJ) v rámci zúčtovacího období (1.1.-31.12. každého roku).</w:t>
      </w:r>
    </w:p>
    <w:p w:rsidR="008F1F4E" w:rsidRPr="00D91EB4" w:rsidRDefault="008F1F4E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9</w:t>
      </w:r>
      <w:r w:rsidRPr="00D91EB4">
        <w:rPr>
          <w:rFonts w:ascii="Verdana" w:hAnsi="Verdana"/>
          <w:b/>
          <w:sz w:val="22"/>
          <w:szCs w:val="22"/>
        </w:rPr>
        <w:t>.</w:t>
      </w:r>
      <w:r w:rsidRPr="00D91EB4">
        <w:rPr>
          <w:rFonts w:ascii="Verdana" w:hAnsi="Verdana"/>
          <w:b/>
          <w:sz w:val="22"/>
          <w:szCs w:val="22"/>
        </w:rPr>
        <w:tab/>
        <w:t>Způsob měření a vyhodnocování množství tepla pro otop, tepla pro ohřev TUV a vody, spotřebované pro přípravu TUV,  je uveden v  příloze č. 1. smlouvy (OTPD).</w:t>
      </w:r>
    </w:p>
    <w:p w:rsidR="008F1F4E" w:rsidRPr="00D91EB4" w:rsidRDefault="008F1F4E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0</w:t>
      </w:r>
      <w:r w:rsidRPr="00D91EB4">
        <w:rPr>
          <w:rFonts w:ascii="Verdana" w:hAnsi="Verdana"/>
          <w:b/>
          <w:sz w:val="22"/>
          <w:szCs w:val="22"/>
        </w:rPr>
        <w:t>.</w:t>
      </w:r>
      <w:r w:rsidRPr="00D91EB4">
        <w:rPr>
          <w:rFonts w:ascii="Verdana" w:hAnsi="Verdana"/>
          <w:b/>
          <w:sz w:val="22"/>
          <w:szCs w:val="22"/>
        </w:rPr>
        <w:tab/>
        <w:t>Úhrady za dodávky tepla (TUV) se řídí platebními podmínkami uvedenými ve smlouvě nebo v příloze č. 3.</w:t>
      </w:r>
    </w:p>
    <w:p w:rsidR="008F1F4E" w:rsidRPr="00D91EB4" w:rsidRDefault="008F1F4E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1</w:t>
      </w:r>
      <w:r w:rsidRPr="00D91EB4">
        <w:rPr>
          <w:rFonts w:ascii="Verdana" w:hAnsi="Verdana"/>
          <w:b/>
          <w:sz w:val="22"/>
          <w:szCs w:val="22"/>
        </w:rPr>
        <w:t>.</w:t>
      </w:r>
      <w:r w:rsidRPr="00D91EB4">
        <w:rPr>
          <w:rFonts w:ascii="Verdana" w:hAnsi="Verdana"/>
          <w:b/>
          <w:sz w:val="22"/>
          <w:szCs w:val="22"/>
        </w:rPr>
        <w:tab/>
        <w:t>Opakované neplnění smluvené platební povinnosti (zálohy, vyúčtování) je ve smyslu § 89 zákona č. 458/2000 Sb. neoprávněným odběrem a dodavatel si  vyhrazuje právo provést po osobním jednání s odběratelem omezení dodávek až po jejich úplné přerušení, aby jeho další ztráty byly minimalizovány.</w:t>
      </w:r>
    </w:p>
    <w:p w:rsidR="008F1F4E" w:rsidRPr="00D91EB4" w:rsidRDefault="008F1F4E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Přerušení dodávky se provede uzavřením a zajištěním hlavních domovních uzávěrů. Porušení zapečetěných hlavních uzávěrů se bude považovat jako neoprávněný odběr dle zák. č. 458/2000 Sb.</w:t>
      </w:r>
    </w:p>
    <w:p w:rsidR="008F1F4E" w:rsidRDefault="008F1F4E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2</w:t>
      </w:r>
      <w:r w:rsidRPr="00D91EB4">
        <w:rPr>
          <w:rFonts w:ascii="Verdana" w:hAnsi="Verdana"/>
          <w:b/>
          <w:sz w:val="22"/>
          <w:szCs w:val="22"/>
        </w:rPr>
        <w:t>.</w:t>
      </w:r>
      <w:r w:rsidRPr="00D91EB4">
        <w:rPr>
          <w:rFonts w:ascii="Verdana" w:hAnsi="Verdana"/>
          <w:b/>
          <w:sz w:val="22"/>
          <w:szCs w:val="22"/>
        </w:rPr>
        <w:tab/>
        <w:t>Pokud odběratel nemůže pravidelně plnit své platební povinnosti, vyplývající z této smlouvy, je povinen tuto skutečnost v době splatnosti nahlásit dodavateli. Bezprostředně poté budou projednána opatření k řešení situace.</w:t>
      </w:r>
      <w:r>
        <w:rPr>
          <w:rFonts w:ascii="Verdana" w:hAnsi="Verdana"/>
          <w:b/>
          <w:sz w:val="22"/>
          <w:szCs w:val="22"/>
        </w:rPr>
        <w:t>“</w:t>
      </w:r>
    </w:p>
    <w:p w:rsidR="00BF68C3" w:rsidRDefault="00BF68C3" w:rsidP="008F1F4E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</w:p>
    <w:p w:rsidR="00BF68C3" w:rsidRDefault="00BF68C3" w:rsidP="00BF68C3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Ostatní práva a povinnosti sjednaná smlouvou o dodávce a odběru tepla a teplé užitkové vody nejsou tímto dodatkem dotčena.</w:t>
      </w:r>
    </w:p>
    <w:p w:rsidR="00BF68C3" w:rsidRDefault="00BF68C3" w:rsidP="00BF68C3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Dodatek nabývá platnosti dnem jeho podpisu oběma smluvními stranami.</w:t>
      </w:r>
    </w:p>
    <w:p w:rsidR="00BF68C3" w:rsidRDefault="00BF68C3" w:rsidP="00BF68C3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Dodatek je sepsán ve třech vyhotoveních, z nichž odběratel obdrží dvě vyhotovení a dodavatel obdrží jedno vyhotovení.</w:t>
      </w:r>
    </w:p>
    <w:p w:rsidR="00BF68C3" w:rsidRDefault="00BF68C3" w:rsidP="00BF68C3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Tento dodatek nabývá účinnosti dnem uveřejnění v registru smluv dle zákona č. 340/2015 Sb., o registru smluv. Statutární město Jihlava zajistí uveřejnění tohoto dodatku v registru smluv v souladu s právními předpisy. </w:t>
      </w:r>
    </w:p>
    <w:p w:rsidR="00BF68C3" w:rsidRDefault="00BF68C3" w:rsidP="00BF68C3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Uzavření tohoto dodatku bylo dne 15.2.2024 schváleno Radou města Jihlavy, usnesením číslo </w:t>
      </w:r>
      <w:r w:rsidR="006B0D6E">
        <w:rPr>
          <w:rFonts w:ascii="Verdana" w:hAnsi="Verdana"/>
          <w:szCs w:val="22"/>
        </w:rPr>
        <w:t>1875</w:t>
      </w:r>
      <w:r>
        <w:rPr>
          <w:rFonts w:ascii="Verdana" w:hAnsi="Verdana"/>
          <w:szCs w:val="22"/>
        </w:rPr>
        <w:t>/24-RM.</w:t>
      </w:r>
    </w:p>
    <w:p w:rsidR="00BF68C3" w:rsidRDefault="00BF68C3" w:rsidP="00BF68C3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</w:p>
    <w:p w:rsidR="00BF68C3" w:rsidRDefault="00BF68C3" w:rsidP="00BF68C3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</w:p>
    <w:p w:rsidR="00BF68C3" w:rsidRDefault="00BF68C3" w:rsidP="00BF68C3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V Jihlavě dne:</w:t>
      </w:r>
      <w:r w:rsidR="00C4043C">
        <w:rPr>
          <w:rFonts w:ascii="Verdana" w:hAnsi="Verdana"/>
          <w:szCs w:val="22"/>
        </w:rPr>
        <w:t xml:space="preserve"> 20.2.2024</w:t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  <w:t>V Jihlavě dne:</w:t>
      </w:r>
      <w:r w:rsidR="00C4043C">
        <w:rPr>
          <w:rFonts w:ascii="Verdana" w:hAnsi="Verdana"/>
          <w:szCs w:val="22"/>
        </w:rPr>
        <w:t xml:space="preserve"> 20.2.2024</w:t>
      </w:r>
      <w:bookmarkStart w:id="0" w:name="_GoBack"/>
      <w:bookmarkEnd w:id="0"/>
    </w:p>
    <w:p w:rsidR="00BF68C3" w:rsidRDefault="00BF68C3" w:rsidP="00BF68C3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</w:p>
    <w:p w:rsidR="00BF68C3" w:rsidRDefault="00BF68C3" w:rsidP="00BF68C3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</w:p>
    <w:p w:rsidR="00BF68C3" w:rsidRDefault="00BF68C3" w:rsidP="00BF68C3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……………………………………..……                         …………………………………...</w:t>
      </w:r>
    </w:p>
    <w:p w:rsidR="00BF68C3" w:rsidRDefault="00BF68C3" w:rsidP="00BF68C3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za odběratele:                                            za dodavatele:</w:t>
      </w:r>
    </w:p>
    <w:p w:rsidR="00BF68C3" w:rsidRDefault="00BF68C3" w:rsidP="00BF68C3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Ing. arch. Martin Laštovička                        Mgr. Lucie Hubačová – jednatelka </w:t>
      </w:r>
    </w:p>
    <w:p w:rsidR="00BF68C3" w:rsidRDefault="00BF68C3" w:rsidP="00BF68C3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náměstek primátora                                   Ing. Jan Diviš - jednatel</w:t>
      </w:r>
    </w:p>
    <w:sectPr w:rsidR="00BF68C3" w:rsidSect="00BF68C3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6CF" w:rsidRDefault="00BF68C3">
      <w:r>
        <w:separator/>
      </w:r>
    </w:p>
  </w:endnote>
  <w:endnote w:type="continuationSeparator" w:id="0">
    <w:p w:rsidR="003846CF" w:rsidRDefault="00BF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6CF" w:rsidRDefault="00BF68C3">
      <w:r>
        <w:separator/>
      </w:r>
    </w:p>
  </w:footnote>
  <w:footnote w:type="continuationSeparator" w:id="0">
    <w:p w:rsidR="003846CF" w:rsidRDefault="00BF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4E"/>
    <w:rsid w:val="002F2A95"/>
    <w:rsid w:val="003846CF"/>
    <w:rsid w:val="006B0D6E"/>
    <w:rsid w:val="008F1F4E"/>
    <w:rsid w:val="00B23E74"/>
    <w:rsid w:val="00BF68C3"/>
    <w:rsid w:val="00C4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93C8"/>
  <w15:chartTrackingRefBased/>
  <w15:docId w15:val="{2EE83C1E-1ACE-4B06-9E81-96240F12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F1F4E"/>
    <w:pPr>
      <w:keepNext/>
      <w:jc w:val="center"/>
      <w:outlineLvl w:val="0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8F1F4E"/>
    <w:pPr>
      <w:keepNext/>
      <w:tabs>
        <w:tab w:val="left" w:pos="426"/>
        <w:tab w:val="left" w:pos="1276"/>
        <w:tab w:val="left" w:pos="1843"/>
        <w:tab w:val="left" w:pos="3969"/>
        <w:tab w:val="left" w:pos="4678"/>
      </w:tabs>
      <w:jc w:val="both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1F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8F1F4E"/>
    <w:rPr>
      <w:rFonts w:ascii="Times New Roman" w:eastAsia="Times New Roman" w:hAnsi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rsid w:val="008F1F4E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8F1F4E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8F1F4E"/>
  </w:style>
  <w:style w:type="paragraph" w:styleId="Seznam">
    <w:name w:val="List"/>
    <w:basedOn w:val="Normln"/>
    <w:rsid w:val="008F1F4E"/>
    <w:pPr>
      <w:keepLines/>
      <w:ind w:left="283" w:hanging="283"/>
    </w:pPr>
    <w:rPr>
      <w:rFonts w:ascii="Arial" w:hAnsi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Ondřej Bc.</dc:creator>
  <cp:keywords/>
  <dc:description/>
  <cp:lastModifiedBy>STRÁNSKÝ Ondřej Bc.</cp:lastModifiedBy>
  <cp:revision>5</cp:revision>
  <dcterms:created xsi:type="dcterms:W3CDTF">2024-02-05T08:29:00Z</dcterms:created>
  <dcterms:modified xsi:type="dcterms:W3CDTF">2024-02-26T09:16:00Z</dcterms:modified>
</cp:coreProperties>
</file>