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pStyle w:val="Nzev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VEŘEJNOPRÁVNÍ SMLOUVA O POSKYTNUTÍ DOTACE</w:t>
      </w:r>
    </w:p>
    <w:p w:rsidR="00902C87" w:rsidRDefault="00902C87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z rozpočtu města Nový Jičín</w:t>
      </w:r>
    </w:p>
    <w:p w:rsidR="00902C87" w:rsidRDefault="00902C87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</w:p>
    <w:p w:rsidR="00902C87" w:rsidRDefault="00902C87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 xml:space="preserve">č. smlouvy: V2024 – </w:t>
      </w:r>
      <w:r w:rsidR="002E7456">
        <w:rPr>
          <w:rFonts w:ascii="Arial" w:hAnsi="Arial" w:cs="Arial"/>
          <w:b/>
          <w:sz w:val="24"/>
          <w:szCs w:val="22"/>
        </w:rPr>
        <w:t>0133</w:t>
      </w:r>
      <w:r>
        <w:rPr>
          <w:rFonts w:ascii="Arial" w:hAnsi="Arial" w:cs="Arial"/>
          <w:b/>
          <w:sz w:val="24"/>
          <w:szCs w:val="22"/>
        </w:rPr>
        <w:t>/OŠKS</w:t>
      </w:r>
    </w:p>
    <w:p w:rsidR="00CE0E7A" w:rsidRDefault="00CE0E7A" w:rsidP="00CE0E7A">
      <w:pPr>
        <w:pStyle w:val="Nadpislnku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V souladu s podmínkami </w:t>
      </w:r>
      <w:r>
        <w:rPr>
          <w:rFonts w:ascii="Arial" w:hAnsi="Arial" w:cs="Arial"/>
          <w:sz w:val="22"/>
          <w:szCs w:val="22"/>
        </w:rPr>
        <w:t xml:space="preserve">Programu města Nový Jičín na provozu, údržby a oprav sportovišť a sportovních zařízení pro rok 2024 </w:t>
      </w:r>
      <w:r>
        <w:rPr>
          <w:rFonts w:ascii="Arial" w:hAnsi="Arial" w:cs="Arial"/>
          <w:b w:val="0"/>
          <w:sz w:val="22"/>
          <w:szCs w:val="22"/>
        </w:rPr>
        <w:t>(dále jen „Program“) schváleného usnesením Zastupitelstva města Nový Jičín č. 216/6Z/2023 ze dne 11. 9. 2023 a vyhlášeného dne 12. 9. 2023</w:t>
      </w:r>
    </w:p>
    <w:p w:rsidR="00902C87" w:rsidRDefault="00902C87" w:rsidP="00902C87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 o z h o d l o  </w:t>
      </w:r>
    </w:p>
    <w:p w:rsidR="008155E9" w:rsidRDefault="008155E9" w:rsidP="008155E9">
      <w:pPr>
        <w:pStyle w:val="Nadpis1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Zastupitelstvo města Nový Jičín na svém zasedání konaném dne 11. 12. 2023, usnesením </w:t>
      </w:r>
      <w:r>
        <w:rPr>
          <w:rFonts w:ascii="Arial" w:hAnsi="Arial" w:cs="Arial"/>
          <w:i w:val="0"/>
          <w:iCs w:val="0"/>
          <w:sz w:val="22"/>
          <w:szCs w:val="22"/>
        </w:rPr>
        <w:br/>
        <w:t xml:space="preserve">č. 278/7Z/2023 v souladu s § 85 písm. c) zákona č. 128/2000 Sb., o obcích (obecní zřízení), ve znění pozdějších předpisů, </w:t>
      </w:r>
      <w:r>
        <w:rPr>
          <w:rFonts w:ascii="Arial" w:hAnsi="Arial" w:cs="Arial"/>
          <w:i w:val="0"/>
          <w:sz w:val="22"/>
          <w:szCs w:val="22"/>
        </w:rPr>
        <w:t>o poskytnutí dotace a schválilo uzavření smlouvy o poskytnutí dotace uvedené v příloze Programu.</w:t>
      </w:r>
    </w:p>
    <w:p w:rsidR="00902C87" w:rsidRDefault="00902C87" w:rsidP="00902C87"/>
    <w:p w:rsidR="00902C87" w:rsidRDefault="00902C87" w:rsidP="00902C87">
      <w:pPr>
        <w:jc w:val="center"/>
        <w:rPr>
          <w:rFonts w:ascii="Arial" w:hAnsi="Arial" w:cs="Arial"/>
          <w:b/>
          <w:bCs/>
          <w:sz w:val="24"/>
          <w:szCs w:val="22"/>
        </w:rPr>
      </w:pPr>
    </w:p>
    <w:p w:rsidR="00902C87" w:rsidRDefault="00902C87" w:rsidP="00902C87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I.</w:t>
      </w:r>
    </w:p>
    <w:p w:rsidR="00902C87" w:rsidRDefault="00902C87" w:rsidP="00902C87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Smluvní strany:</w:t>
      </w:r>
    </w:p>
    <w:p w:rsidR="00902C87" w:rsidRDefault="00902C87" w:rsidP="00902C87">
      <w:pPr>
        <w:pStyle w:val="Nadpis5"/>
        <w:rPr>
          <w:rFonts w:ascii="Arial" w:hAnsi="Arial" w:cs="Arial"/>
          <w:sz w:val="22"/>
          <w:szCs w:val="22"/>
        </w:rPr>
      </w:pPr>
    </w:p>
    <w:p w:rsidR="00F66B2E" w:rsidRDefault="00F66B2E" w:rsidP="00F66B2E">
      <w:pPr>
        <w:pStyle w:val="Nadpis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Nový Jičín </w:t>
      </w:r>
    </w:p>
    <w:p w:rsidR="00F66B2E" w:rsidRDefault="00F66B2E" w:rsidP="00F66B2E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se sídlem Masarykovo nám. 1/1, 741 01 Nový Jičín</w:t>
      </w:r>
    </w:p>
    <w:p w:rsidR="00F66B2E" w:rsidRDefault="00F66B2E" w:rsidP="00F66B2E">
      <w:pPr>
        <w:pStyle w:val="Nadpis2"/>
        <w:rPr>
          <w:rFonts w:ascii="Arial" w:hAnsi="Arial" w:cs="Arial"/>
          <w:iCs/>
          <w:sz w:val="22"/>
          <w:szCs w:val="22"/>
          <w:u w:val="none"/>
        </w:rPr>
      </w:pPr>
      <w:r>
        <w:rPr>
          <w:rFonts w:ascii="Arial" w:hAnsi="Arial" w:cs="Arial"/>
          <w:iCs/>
          <w:sz w:val="22"/>
          <w:szCs w:val="22"/>
          <w:u w:val="none"/>
        </w:rPr>
        <w:t>IČO: 00298212</w:t>
      </w:r>
    </w:p>
    <w:p w:rsidR="00F66B2E" w:rsidRDefault="00F66B2E" w:rsidP="00F66B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 starostou Mgr. Stanislavem Kopeckým</w:t>
      </w:r>
    </w:p>
    <w:p w:rsidR="00F66B2E" w:rsidRDefault="00F66B2E" w:rsidP="00F66B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Komerční banka, a.s.</w:t>
      </w:r>
    </w:p>
    <w:p w:rsidR="00F66B2E" w:rsidRDefault="00F66B2E" w:rsidP="00F66B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115-6768190267/0100</w:t>
      </w:r>
    </w:p>
    <w:p w:rsidR="00F66B2E" w:rsidRDefault="00F66B2E" w:rsidP="00F66B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„Poskytovatel“) 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D966C6" w:rsidRPr="00745391" w:rsidRDefault="00D966C6" w:rsidP="00D966C6">
      <w:pPr>
        <w:jc w:val="both"/>
        <w:rPr>
          <w:rFonts w:ascii="Arial" w:hAnsi="Arial" w:cs="Arial"/>
          <w:b/>
          <w:sz w:val="22"/>
          <w:szCs w:val="22"/>
        </w:rPr>
      </w:pPr>
      <w:r w:rsidRPr="00745391">
        <w:rPr>
          <w:rFonts w:ascii="Arial" w:hAnsi="Arial" w:cs="Arial"/>
          <w:b/>
          <w:noProof/>
          <w:sz w:val="22"/>
          <w:szCs w:val="22"/>
        </w:rPr>
        <w:t>Orel jednota Nový Jičín</w:t>
      </w:r>
    </w:p>
    <w:p w:rsidR="00D966C6" w:rsidRPr="00745391" w:rsidRDefault="00D966C6" w:rsidP="00D966C6">
      <w:pPr>
        <w:jc w:val="both"/>
        <w:rPr>
          <w:rFonts w:ascii="Arial" w:hAnsi="Arial" w:cs="Arial"/>
          <w:sz w:val="22"/>
          <w:szCs w:val="22"/>
        </w:rPr>
      </w:pPr>
      <w:r w:rsidRPr="00745391">
        <w:rPr>
          <w:rFonts w:ascii="Arial" w:hAnsi="Arial" w:cs="Arial"/>
          <w:sz w:val="22"/>
          <w:szCs w:val="22"/>
        </w:rPr>
        <w:t xml:space="preserve">se sídlem </w:t>
      </w:r>
      <w:r w:rsidRPr="00745391">
        <w:rPr>
          <w:rFonts w:ascii="Arial" w:hAnsi="Arial" w:cs="Arial"/>
          <w:noProof/>
          <w:sz w:val="22"/>
          <w:szCs w:val="22"/>
        </w:rPr>
        <w:t>Císařská 115, Loučka</w:t>
      </w:r>
      <w:r w:rsidRPr="00745391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745391">
        <w:rPr>
          <w:rFonts w:ascii="Arial" w:hAnsi="Arial" w:cs="Arial"/>
          <w:noProof/>
          <w:sz w:val="22"/>
          <w:szCs w:val="22"/>
        </w:rPr>
        <w:t>741 01</w:t>
      </w:r>
      <w:r w:rsidRPr="00745391">
        <w:rPr>
          <w:rFonts w:ascii="Arial" w:hAnsi="Arial" w:cs="Arial"/>
          <w:sz w:val="22"/>
          <w:szCs w:val="22"/>
        </w:rPr>
        <w:t xml:space="preserve">  </w:t>
      </w:r>
      <w:r w:rsidRPr="00745391">
        <w:rPr>
          <w:rFonts w:ascii="Arial" w:hAnsi="Arial" w:cs="Arial"/>
          <w:noProof/>
          <w:sz w:val="22"/>
          <w:szCs w:val="22"/>
        </w:rPr>
        <w:t>Nový</w:t>
      </w:r>
      <w:proofErr w:type="gramEnd"/>
      <w:r w:rsidRPr="00745391">
        <w:rPr>
          <w:rFonts w:ascii="Arial" w:hAnsi="Arial" w:cs="Arial"/>
          <w:noProof/>
          <w:sz w:val="22"/>
          <w:szCs w:val="22"/>
        </w:rPr>
        <w:t xml:space="preserve"> Jičín</w:t>
      </w:r>
    </w:p>
    <w:p w:rsidR="00D966C6" w:rsidRPr="00745391" w:rsidRDefault="00D966C6" w:rsidP="00D966C6">
      <w:pPr>
        <w:jc w:val="both"/>
        <w:rPr>
          <w:rFonts w:ascii="Arial" w:hAnsi="Arial" w:cs="Arial"/>
          <w:sz w:val="22"/>
          <w:szCs w:val="22"/>
        </w:rPr>
      </w:pPr>
      <w:r w:rsidRPr="00745391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noProof/>
          <w:sz w:val="22"/>
          <w:szCs w:val="22"/>
        </w:rPr>
        <w:t>607990</w:t>
      </w:r>
      <w:r w:rsidRPr="00745391">
        <w:rPr>
          <w:rFonts w:ascii="Arial" w:hAnsi="Arial" w:cs="Arial"/>
          <w:noProof/>
          <w:sz w:val="22"/>
          <w:szCs w:val="22"/>
        </w:rPr>
        <w:t>56</w:t>
      </w:r>
    </w:p>
    <w:p w:rsidR="00D966C6" w:rsidRPr="00745391" w:rsidRDefault="00D966C6" w:rsidP="00D966C6">
      <w:pPr>
        <w:jc w:val="both"/>
        <w:rPr>
          <w:rFonts w:ascii="Arial" w:hAnsi="Arial" w:cs="Arial"/>
          <w:sz w:val="22"/>
          <w:szCs w:val="22"/>
        </w:rPr>
      </w:pPr>
      <w:r w:rsidRPr="00745391">
        <w:rPr>
          <w:rFonts w:ascii="Arial" w:hAnsi="Arial" w:cs="Arial"/>
          <w:sz w:val="22"/>
          <w:szCs w:val="22"/>
        </w:rPr>
        <w:t xml:space="preserve">zastoupená </w:t>
      </w:r>
      <w:r w:rsidR="002E7456">
        <w:rPr>
          <w:rFonts w:ascii="Arial" w:hAnsi="Arial" w:cs="Arial"/>
          <w:noProof/>
          <w:sz w:val="22"/>
          <w:szCs w:val="22"/>
        </w:rPr>
        <w:t>xxx</w:t>
      </w:r>
      <w:r w:rsidRPr="00745391">
        <w:rPr>
          <w:rFonts w:ascii="Arial" w:hAnsi="Arial" w:cs="Arial"/>
          <w:noProof/>
          <w:sz w:val="22"/>
          <w:szCs w:val="22"/>
        </w:rPr>
        <w:t>, starostou jednoty</w:t>
      </w:r>
    </w:p>
    <w:p w:rsidR="00D966C6" w:rsidRPr="00745391" w:rsidRDefault="00D966C6" w:rsidP="00D966C6">
      <w:pPr>
        <w:jc w:val="both"/>
        <w:rPr>
          <w:rFonts w:ascii="Arial" w:hAnsi="Arial" w:cs="Arial"/>
          <w:sz w:val="22"/>
          <w:szCs w:val="22"/>
        </w:rPr>
      </w:pPr>
      <w:r w:rsidRPr="00745391">
        <w:rPr>
          <w:rFonts w:ascii="Arial" w:hAnsi="Arial" w:cs="Arial"/>
          <w:noProof/>
          <w:sz w:val="22"/>
          <w:szCs w:val="22"/>
        </w:rPr>
        <w:t>zapsaná ve spolkovém rejstříku vedeném Krajským soudem v Brně pod sp. zn. L 18580</w:t>
      </w:r>
    </w:p>
    <w:p w:rsidR="00D966C6" w:rsidRPr="00745391" w:rsidRDefault="00D966C6" w:rsidP="00D966C6">
      <w:pPr>
        <w:jc w:val="both"/>
        <w:rPr>
          <w:rFonts w:ascii="Arial" w:hAnsi="Arial" w:cs="Arial"/>
          <w:sz w:val="22"/>
          <w:szCs w:val="22"/>
        </w:rPr>
      </w:pPr>
      <w:r w:rsidRPr="00745391">
        <w:rPr>
          <w:rFonts w:ascii="Arial" w:hAnsi="Arial" w:cs="Arial"/>
          <w:sz w:val="22"/>
          <w:szCs w:val="22"/>
        </w:rPr>
        <w:t xml:space="preserve">bankovní spojení: </w:t>
      </w:r>
      <w:r w:rsidRPr="00745391">
        <w:rPr>
          <w:rFonts w:ascii="Arial" w:hAnsi="Arial" w:cs="Arial"/>
          <w:noProof/>
          <w:sz w:val="22"/>
          <w:szCs w:val="22"/>
        </w:rPr>
        <w:t>Československá obchodní banka, a.s., Poštovní spořitelna</w:t>
      </w:r>
    </w:p>
    <w:p w:rsidR="00D966C6" w:rsidRPr="00745391" w:rsidRDefault="00D966C6" w:rsidP="00D966C6">
      <w:pPr>
        <w:jc w:val="both"/>
        <w:rPr>
          <w:rFonts w:ascii="Arial" w:hAnsi="Arial" w:cs="Arial"/>
          <w:sz w:val="22"/>
          <w:szCs w:val="22"/>
        </w:rPr>
      </w:pPr>
      <w:r w:rsidRPr="00745391">
        <w:rPr>
          <w:rFonts w:ascii="Arial" w:hAnsi="Arial" w:cs="Arial"/>
          <w:sz w:val="22"/>
          <w:szCs w:val="22"/>
        </w:rPr>
        <w:t xml:space="preserve">číslo účtu: </w:t>
      </w:r>
      <w:r w:rsidRPr="00745391">
        <w:rPr>
          <w:rFonts w:ascii="Arial" w:hAnsi="Arial" w:cs="Arial"/>
          <w:noProof/>
          <w:sz w:val="22"/>
          <w:szCs w:val="22"/>
        </w:rPr>
        <w:t>209049569/0300</w:t>
      </w:r>
    </w:p>
    <w:p w:rsidR="00D966C6" w:rsidRPr="00745391" w:rsidRDefault="00D966C6" w:rsidP="00D966C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</w:t>
      </w:r>
      <w:proofErr w:type="gramStart"/>
      <w:r>
        <w:rPr>
          <w:rFonts w:ascii="Arial" w:hAnsi="Arial" w:cs="Arial"/>
          <w:sz w:val="22"/>
          <w:szCs w:val="22"/>
        </w:rPr>
        <w:t>jen ,,P</w:t>
      </w:r>
      <w:r w:rsidRPr="00745391">
        <w:rPr>
          <w:rFonts w:ascii="Arial" w:hAnsi="Arial" w:cs="Arial"/>
          <w:sz w:val="22"/>
          <w:szCs w:val="22"/>
        </w:rPr>
        <w:t>říjemce</w:t>
      </w:r>
      <w:proofErr w:type="gramEnd"/>
      <w:r w:rsidRPr="00745391">
        <w:rPr>
          <w:rFonts w:ascii="Arial" w:hAnsi="Arial" w:cs="Arial"/>
          <w:sz w:val="22"/>
          <w:szCs w:val="22"/>
        </w:rPr>
        <w:t>“)</w:t>
      </w: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uzavřely ve smyslu přijatých rozhodnutí níže uvedeného dne, měsíce a roku v souladu s </w:t>
      </w: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ust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>. § 159 a násl. zákona č. 500/2004 Sb., správní řád, ve znění pozdějších předpisů, smlouvu o poskytnutí účelové dotace z rozpočtu Poskytovatele v tomto znění:</w:t>
      </w:r>
    </w:p>
    <w:p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902C87" w:rsidRDefault="00902C87" w:rsidP="00902C87">
      <w:pP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II.</w:t>
      </w:r>
      <w:r>
        <w:rPr>
          <w:rFonts w:ascii="Arial" w:hAnsi="Arial" w:cs="Arial"/>
          <w:b/>
          <w:sz w:val="24"/>
          <w:szCs w:val="22"/>
        </w:rPr>
        <w:br/>
        <w:t>Základní ustanovení</w:t>
      </w:r>
    </w:p>
    <w:p w:rsidR="00902C87" w:rsidRDefault="00902C87" w:rsidP="00902C87">
      <w:pPr>
        <w:jc w:val="center"/>
        <w:rPr>
          <w:rFonts w:ascii="Arial" w:hAnsi="Arial" w:cs="Arial"/>
          <w:b/>
          <w:sz w:val="22"/>
          <w:szCs w:val="22"/>
        </w:rPr>
      </w:pPr>
    </w:p>
    <w:p w:rsidR="00902C87" w:rsidRDefault="00902C87" w:rsidP="00902C87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veřejnoprávní smlouvou uzavřenou dle § 10a odst. 5 zákona č. 250/2000 Sb., o rozpočtových pravidlech územních rozpočtů, ve znění pozdějších předpisů (dále jen „zákon č. 250/2000 Sb.“).</w:t>
      </w:r>
    </w:p>
    <w:p w:rsidR="00902C87" w:rsidRDefault="00902C87" w:rsidP="00902C87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prohlašují, že pro právní vztah založený touto smlouvou jsou stejně jako ustanovení této smlouvy právně závazná ustanovení obsažená ve vyhlášeném Programu.</w:t>
      </w: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02C87" w:rsidRDefault="00902C87" w:rsidP="00902C87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III.</w:t>
      </w:r>
    </w:p>
    <w:p w:rsidR="00902C87" w:rsidRDefault="00902C87" w:rsidP="00902C87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Předmět smlouvy</w:t>
      </w: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6C1306" w:rsidRDefault="00902C87" w:rsidP="006C1306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smlouvy je závazek Poskytovatele poskytnout Příjemci účelově určenou dotaci a závazek Příjemce tuto dotaci přijmout a užít v souladu s jejím účelovým určením a za podmínek stanovených touto smlouvou a Programem.</w:t>
      </w:r>
    </w:p>
    <w:p w:rsidR="006C1306" w:rsidRDefault="006C1306" w:rsidP="006C1306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6C1306" w:rsidRPr="008933FD" w:rsidRDefault="008933FD" w:rsidP="008933F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Dotace z Programu</w:t>
      </w:r>
      <w:r>
        <w:rPr>
          <w:rFonts w:ascii="Arial" w:hAnsi="Arial" w:cs="Arial"/>
          <w:b/>
          <w:sz w:val="22"/>
          <w:szCs w:val="22"/>
        </w:rPr>
        <w:t xml:space="preserve">  </w:t>
      </w:r>
      <w:r>
        <w:rPr>
          <w:rFonts w:ascii="Arial" w:hAnsi="Arial" w:cs="Arial"/>
          <w:sz w:val="22"/>
          <w:szCs w:val="22"/>
        </w:rPr>
        <w:t>je určena k úhradě nákladů účelně a hospodárně vynaložených na zajištění provozu, údržby a oprav sportovišť a sportovních zařízení (dále jen „Provoz a údržba“), která jsou provozována na území Poskytovatele a jsou v majetku Příjemce nebo je Příjemce užívá na základě dlouhodobé smlouvy o nájmu nebo výpůjčce po dobu nejméně 10 let. Další podmínkou je, aby sportoviště nebo sportovní zařízení sloužilo především ke sportovní a tělovýchovné činnosti občanů Poskytovatele a převážně k nekomerčním aktivitám.</w:t>
      </w:r>
    </w:p>
    <w:p w:rsidR="00902C87" w:rsidRPr="006C1306" w:rsidRDefault="00902C87" w:rsidP="006C1306">
      <w:pPr>
        <w:pStyle w:val="Default"/>
        <w:tabs>
          <w:tab w:val="left" w:pos="426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Dotace se poskytuje na základě podané žádosti o dotaci a po prokázání splnění všeobecných podmínek Programu. </w:t>
      </w:r>
    </w:p>
    <w:p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902C87" w:rsidRDefault="00902C87" w:rsidP="00902C87">
      <w:pP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IV.</w:t>
      </w:r>
      <w:r>
        <w:rPr>
          <w:rFonts w:ascii="Arial" w:hAnsi="Arial" w:cs="Arial"/>
          <w:b/>
          <w:sz w:val="24"/>
          <w:szCs w:val="22"/>
        </w:rPr>
        <w:br/>
        <w:t>Výše dotace, účelové určení dotace</w:t>
      </w:r>
    </w:p>
    <w:p w:rsidR="00902C87" w:rsidRDefault="00902C87" w:rsidP="00902C87">
      <w:pPr>
        <w:jc w:val="center"/>
        <w:rPr>
          <w:rFonts w:ascii="Arial" w:hAnsi="Arial" w:cs="Arial"/>
          <w:b/>
          <w:sz w:val="22"/>
          <w:szCs w:val="22"/>
        </w:rPr>
      </w:pPr>
    </w:p>
    <w:p w:rsidR="00902C87" w:rsidRDefault="00902C87" w:rsidP="00902C87">
      <w:pPr>
        <w:numPr>
          <w:ilvl w:val="2"/>
          <w:numId w:val="1"/>
        </w:numPr>
        <w:tabs>
          <w:tab w:val="clear" w:pos="234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podle této smlouvy poskytne Příjemci dotaci </w:t>
      </w:r>
      <w:r>
        <w:rPr>
          <w:rFonts w:ascii="Arial" w:hAnsi="Arial" w:cs="Arial"/>
          <w:b/>
          <w:sz w:val="22"/>
          <w:szCs w:val="22"/>
        </w:rPr>
        <w:t xml:space="preserve">ve výši </w:t>
      </w:r>
      <w:r w:rsidR="007206DB">
        <w:rPr>
          <w:rFonts w:ascii="Arial" w:hAnsi="Arial" w:cs="Arial"/>
          <w:b/>
          <w:sz w:val="22"/>
          <w:szCs w:val="22"/>
        </w:rPr>
        <w:t>7</w:t>
      </w:r>
      <w:r w:rsidR="00227F6E">
        <w:rPr>
          <w:rFonts w:ascii="Arial" w:hAnsi="Arial" w:cs="Arial"/>
          <w:b/>
          <w:sz w:val="22"/>
          <w:szCs w:val="22"/>
        </w:rPr>
        <w:t>0.000</w:t>
      </w:r>
      <w:r>
        <w:rPr>
          <w:rFonts w:ascii="Arial" w:hAnsi="Arial" w:cs="Arial"/>
          <w:b/>
          <w:sz w:val="22"/>
          <w:szCs w:val="22"/>
        </w:rPr>
        <w:t xml:space="preserve"> Kč </w:t>
      </w:r>
      <w:r>
        <w:rPr>
          <w:rFonts w:ascii="Arial" w:hAnsi="Arial" w:cs="Arial"/>
          <w:sz w:val="22"/>
          <w:szCs w:val="22"/>
        </w:rPr>
        <w:t>(slovy:</w:t>
      </w:r>
      <w:r w:rsidR="00227F6E">
        <w:rPr>
          <w:rFonts w:ascii="Arial" w:hAnsi="Arial" w:cs="Arial"/>
          <w:sz w:val="22"/>
          <w:szCs w:val="22"/>
        </w:rPr>
        <w:t xml:space="preserve"> </w:t>
      </w:r>
      <w:r w:rsidR="007206DB">
        <w:rPr>
          <w:rFonts w:ascii="Arial" w:hAnsi="Arial" w:cs="Arial"/>
          <w:sz w:val="22"/>
          <w:szCs w:val="22"/>
        </w:rPr>
        <w:t xml:space="preserve">sedmdesát </w:t>
      </w:r>
      <w:r w:rsidR="00227F6E">
        <w:rPr>
          <w:rFonts w:ascii="Arial" w:hAnsi="Arial" w:cs="Arial"/>
          <w:sz w:val="22"/>
          <w:szCs w:val="22"/>
        </w:rPr>
        <w:t xml:space="preserve">tisíc </w:t>
      </w:r>
      <w:r>
        <w:rPr>
          <w:rFonts w:ascii="Arial" w:hAnsi="Arial" w:cs="Arial"/>
          <w:sz w:val="22"/>
          <w:szCs w:val="22"/>
        </w:rPr>
        <w:t>korun českých) k úhradě uznatelných nákladů vymezených v čl. VII. Programu.</w:t>
      </w:r>
    </w:p>
    <w:p w:rsidR="00902C87" w:rsidRDefault="00902C87" w:rsidP="00902C87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se zavazuje poskytnout Příjemci dotaci ve výši podle odst. 1 tohoto článku bezhotovostním převodem jednorázově ve prospěch bankovního účtu Příjemce uvedeného v záhlaví této smlouvy, a to pod variabilním symbolem </w:t>
      </w:r>
      <w:r w:rsidR="00727839">
        <w:rPr>
          <w:rFonts w:ascii="Arial" w:hAnsi="Arial" w:cs="Arial"/>
          <w:sz w:val="22"/>
          <w:szCs w:val="22"/>
        </w:rPr>
        <w:t>60799056</w:t>
      </w:r>
      <w:r w:rsidR="0038016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20 dnů po nabytí účinnosti této smlouvy. </w:t>
      </w:r>
    </w:p>
    <w:p w:rsidR="00902C87" w:rsidRDefault="00902C87" w:rsidP="00902C87">
      <w:pPr>
        <w:ind w:left="284"/>
        <w:jc w:val="both"/>
        <w:rPr>
          <w:rFonts w:ascii="Arial" w:hAnsi="Arial" w:cs="Arial"/>
          <w:i/>
          <w:sz w:val="22"/>
          <w:szCs w:val="22"/>
        </w:rPr>
      </w:pPr>
    </w:p>
    <w:p w:rsidR="00375145" w:rsidRDefault="00902C87" w:rsidP="00375145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nakládat s dotací výhradně prostřednictvím bankovního účtu uvedeného v záhlaví této smlouvy.</w:t>
      </w:r>
    </w:p>
    <w:p w:rsidR="00375145" w:rsidRDefault="00375145" w:rsidP="00375145">
      <w:pPr>
        <w:pStyle w:val="Odstavecseseznamem"/>
        <w:rPr>
          <w:rFonts w:ascii="Arial" w:hAnsi="Arial" w:cs="Arial"/>
          <w:sz w:val="22"/>
          <w:szCs w:val="22"/>
        </w:rPr>
      </w:pPr>
    </w:p>
    <w:p w:rsidR="00375145" w:rsidRPr="00375145" w:rsidRDefault="00375145" w:rsidP="00375145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75145">
        <w:rPr>
          <w:rFonts w:ascii="Arial" w:hAnsi="Arial" w:cs="Arial"/>
          <w:sz w:val="22"/>
          <w:szCs w:val="22"/>
        </w:rPr>
        <w:t xml:space="preserve">Příjemce se zavazuje, že použije dotaci pouze a výhradně za účelem úhrady nákladů na Provoz a údržbu v souladu s předloženým rozpočtem přiloženým k žádosti o dotaci a podmínkami Programu. </w:t>
      </w:r>
    </w:p>
    <w:p w:rsidR="00375145" w:rsidRDefault="00375145" w:rsidP="00375145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rPr>
          <w:rFonts w:ascii="Arial" w:hAnsi="Arial" w:cs="Arial"/>
          <w:b/>
          <w:bCs/>
          <w:sz w:val="22"/>
          <w:szCs w:val="22"/>
        </w:rPr>
      </w:pPr>
    </w:p>
    <w:p w:rsidR="00902C87" w:rsidRDefault="00902C87" w:rsidP="00902C87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V.</w:t>
      </w:r>
    </w:p>
    <w:p w:rsidR="00902C87" w:rsidRDefault="00902C87" w:rsidP="00902C87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Podmínky použití dotace</w:t>
      </w: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poskytnutou dotaci použít hospodárně, efektivně a účelně v souladu s předloženým rozpočtem.</w:t>
      </w:r>
    </w:p>
    <w:p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řídit se při použití poskytnuté dotace touto smlouvou, podmínkami Programu a právními předpisy.</w:t>
      </w:r>
    </w:p>
    <w:p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dotace lze hradit pouze neinvestiční výdaje.</w:t>
      </w:r>
    </w:p>
    <w:p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Prostředky z dotace nesmí Příjemce poskytnout jiným fyzickým nebo právnickým osobám, pokud se nejedná o úhradu výkonů a služeb spojených s realizací </w:t>
      </w:r>
      <w:r w:rsidR="00B312FC">
        <w:rPr>
          <w:rFonts w:ascii="Arial" w:hAnsi="Arial" w:cs="Arial"/>
          <w:sz w:val="22"/>
          <w:szCs w:val="22"/>
        </w:rPr>
        <w:t>Provozu a údržby</w:t>
      </w:r>
      <w:r>
        <w:rPr>
          <w:rFonts w:ascii="Arial" w:hAnsi="Arial" w:cs="Arial"/>
          <w:sz w:val="22"/>
          <w:szCs w:val="22"/>
        </w:rPr>
        <w:t xml:space="preserve"> v souladu se žádostí.  </w:t>
      </w:r>
    </w:p>
    <w:p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Uznatelným nákladem je náklad</w:t>
      </w:r>
      <w:r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který vznikl Příjemci za účelem realizace </w:t>
      </w:r>
      <w:r w:rsidR="00B312FC">
        <w:rPr>
          <w:rFonts w:ascii="Arial" w:hAnsi="Arial" w:cs="Arial"/>
          <w:sz w:val="22"/>
          <w:szCs w:val="22"/>
        </w:rPr>
        <w:t>Provozu a údržby</w:t>
      </w:r>
      <w:r>
        <w:rPr>
          <w:rFonts w:ascii="Arial" w:hAnsi="Arial" w:cs="Arial"/>
          <w:sz w:val="22"/>
          <w:szCs w:val="22"/>
        </w:rPr>
        <w:t xml:space="preserve"> v období od </w:t>
      </w:r>
      <w:proofErr w:type="gramStart"/>
      <w:r>
        <w:rPr>
          <w:rFonts w:ascii="Arial" w:hAnsi="Arial" w:cs="Arial"/>
          <w:sz w:val="22"/>
          <w:szCs w:val="22"/>
        </w:rPr>
        <w:t>01.01.2024</w:t>
      </w:r>
      <w:proofErr w:type="gramEnd"/>
      <w:r>
        <w:rPr>
          <w:rFonts w:ascii="Arial" w:hAnsi="Arial" w:cs="Arial"/>
          <w:sz w:val="22"/>
          <w:szCs w:val="22"/>
        </w:rPr>
        <w:t xml:space="preserve"> do 31.12.2024,  byl uhrazen v období od 01.01.2024 do 25.01.2025 a který nespadá do kategorie neuznatelných nákladů specifikovaných v Programu. 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zavazuje:</w:t>
      </w:r>
    </w:p>
    <w:p w:rsidR="00902C87" w:rsidRDefault="00902C87" w:rsidP="00902C87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používat majetek pořízený z dotace v hodnotě nad 3 000 Kč/ks a dobou použitelnosti nad 1 rok po dobu 3 let od přeložení vyúčtování dotace pouze pro účel stanovený v této smlouvě,</w:t>
      </w:r>
    </w:p>
    <w:p w:rsidR="00902C87" w:rsidRDefault="00902C87" w:rsidP="00902C87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ponechat majetek uvedený pod písm. a) po dobu 3 let od předložení vyúčtování dotace ve svém vlastnictví.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zajistit ve svém účetnictví, v souladu s obecně platnými předpisy (zejména zákonem č. 563/1991 Sb., o účetnictví, ve znění pozdějších předpisů), řádné a oddělené sledování použitých prostředků dotace. Příjemce dotace odpovídá za řádné vedení a viditelné označení účetních dokladů prokazujících použití dotace; originály těchto účetních dokladů musejí být viditelně označeny textem „</w:t>
      </w:r>
      <w:r>
        <w:rPr>
          <w:rFonts w:ascii="Arial" w:hAnsi="Arial" w:cs="Arial"/>
          <w:b/>
          <w:sz w:val="22"/>
          <w:szCs w:val="22"/>
        </w:rPr>
        <w:t xml:space="preserve">Dotace města Nový Jičín pro rok 2024“. 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Dotace je ve smyslu zákona č. 320/2001 Sb., o finanční kontrole ve veřejné správě a o změně některých zákonů (zákon o finanční kontrole), ve znění pozdějších předpisů, veřejnou finanční podporou a vztahují se na ni tedy všechna ustanovení tohoto zákona a zákona č. 255/2012 Sb., o kontrole (kontrolní řád), ve znění pozdějších předpisů, tzn., že Příjemce umožní Poskytovateli provést veřejnosprávní kontrolu plnění podmínek smlouvy a použití finančních prostředků poskytnutých na základě této smlouvy (přístup do prostor, kde se </w:t>
      </w:r>
      <w:r w:rsidR="00B312FC">
        <w:rPr>
          <w:rFonts w:ascii="Arial" w:hAnsi="Arial" w:cs="Arial"/>
          <w:sz w:val="22"/>
          <w:szCs w:val="22"/>
        </w:rPr>
        <w:t>Provoz a údržba</w:t>
      </w:r>
      <w:r>
        <w:rPr>
          <w:rFonts w:ascii="Arial" w:hAnsi="Arial" w:cs="Arial"/>
          <w:sz w:val="22"/>
          <w:szCs w:val="22"/>
        </w:rPr>
        <w:t xml:space="preserve"> realizuje, předloží kopie dokladů, originály k nahlédnutí a dalších potřebných dokladů ke kontrole plnění </w:t>
      </w:r>
      <w:r w:rsidR="00B312FC">
        <w:rPr>
          <w:rFonts w:ascii="Arial" w:hAnsi="Arial" w:cs="Arial"/>
          <w:sz w:val="22"/>
          <w:szCs w:val="22"/>
        </w:rPr>
        <w:t>Provozu a údržby</w:t>
      </w:r>
      <w:r>
        <w:rPr>
          <w:rFonts w:ascii="Arial" w:hAnsi="Arial" w:cs="Arial"/>
          <w:sz w:val="22"/>
          <w:szCs w:val="22"/>
        </w:rPr>
        <w:t xml:space="preserve">). 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Poskytovatele neprodleně, nejpozději však do 7 dnů, písemně informovat o jakékoliv změně údajů uvedených ve smlouvě ohledně jeho osoby (u právnické osoby např. o změně právní formy, změně statutárního orgánu, jeho členů) a o všech dalších okolnostech, které mají nebo by mohly mít vliv na plnění jeho povinností dle této smlouvy. V případě změny bankovního účtu je Příjemce povinen rovněž doložit vlastnictví k účtu, a to kopií příslušné smlouvy nebo potvrzením peněžního ústavu. Z důvodu změn identifikačních údajů smluvních stran není nutné uzavírat ke smlouvě dodatek.</w:t>
      </w:r>
    </w:p>
    <w:p w:rsidR="00902C87" w:rsidRDefault="00902C87" w:rsidP="00902C87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Příjemce dotace je povinen neprodleně, nejpozději však do 7 dnů, písemně informovat Poskytovatele dotace o přeměně nebo zrušení s likvidací, v případě přeměny i o tom, na který subjekt přejdou práva a povinnosti z této smlouvy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dotace je dále povinen informovat Poskytovatele o kontrolách, které u něj byly v souvislosti s dotacemi poskytnutými z veřejných rozpočtů (např. územně samosprávného celku, NSA, MŠMT) provedeny jinými kontrolními orgány, včetně závěrů, kopií protokolů z kontrol včetně navrhovaných či uložených nápravných opatření a jejich splnění a to bez zbytečného odkladu po jejich ukončení.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dotace je povinen při všech formách propagace </w:t>
      </w:r>
      <w:r w:rsidR="00F554EB">
        <w:rPr>
          <w:rFonts w:ascii="Arial" w:hAnsi="Arial" w:cs="Arial"/>
          <w:sz w:val="22"/>
          <w:szCs w:val="22"/>
        </w:rPr>
        <w:t>Provozu a údržby</w:t>
      </w:r>
      <w:r>
        <w:rPr>
          <w:rFonts w:ascii="Arial" w:hAnsi="Arial" w:cs="Arial"/>
          <w:sz w:val="22"/>
          <w:szCs w:val="22"/>
        </w:rPr>
        <w:t xml:space="preserve"> uvádět viditelně skutečnost, že jde o </w:t>
      </w:r>
      <w:r w:rsidR="00F554EB">
        <w:rPr>
          <w:rFonts w:ascii="Arial" w:hAnsi="Arial" w:cs="Arial"/>
          <w:sz w:val="22"/>
          <w:szCs w:val="22"/>
        </w:rPr>
        <w:t>Provoz a údržbu</w:t>
      </w:r>
      <w:r>
        <w:rPr>
          <w:rFonts w:ascii="Arial" w:hAnsi="Arial" w:cs="Arial"/>
          <w:sz w:val="22"/>
          <w:szCs w:val="22"/>
        </w:rPr>
        <w:t>, je</w:t>
      </w:r>
      <w:r w:rsidR="00F554EB">
        <w:rPr>
          <w:rFonts w:ascii="Arial" w:hAnsi="Arial" w:cs="Arial"/>
          <w:sz w:val="22"/>
          <w:szCs w:val="22"/>
        </w:rPr>
        <w:t>jíž</w:t>
      </w:r>
      <w:r>
        <w:rPr>
          <w:rFonts w:ascii="Arial" w:hAnsi="Arial" w:cs="Arial"/>
          <w:sz w:val="22"/>
          <w:szCs w:val="22"/>
        </w:rPr>
        <w:t xml:space="preserve"> realizace </w:t>
      </w:r>
      <w:r w:rsidR="00E00E87">
        <w:rPr>
          <w:rFonts w:ascii="Arial" w:hAnsi="Arial" w:cs="Arial"/>
          <w:sz w:val="22"/>
          <w:szCs w:val="22"/>
        </w:rPr>
        <w:t>je spolufinancována z rozpočtu P</w:t>
      </w:r>
      <w:r>
        <w:rPr>
          <w:rFonts w:ascii="Arial" w:hAnsi="Arial" w:cs="Arial"/>
          <w:sz w:val="22"/>
          <w:szCs w:val="22"/>
        </w:rPr>
        <w:t>oskytovatele. Při použití znaku Poskytovatele je povinností Příjemce uvádět souběžně název „město Nový Jičín“. Za tímto účelem dává Poskytovatel s použitím znaku svého znaku souhlas.</w:t>
      </w:r>
    </w:p>
    <w:p w:rsidR="00902C87" w:rsidRDefault="00902C87" w:rsidP="00902C87">
      <w:pPr>
        <w:pStyle w:val="Odstavecseseznamem"/>
        <w:rPr>
          <w:rFonts w:ascii="Arial" w:hAnsi="Arial" w:cs="Arial"/>
          <w:bCs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je povinen v případě nevyčerpání celé nebo části dotace vrátit tyto prostředky na účet Poskytovatele neprodleně, nejpozději v termínu do </w:t>
      </w:r>
      <w:proofErr w:type="gramStart"/>
      <w:r w:rsidRPr="00AB1FAF">
        <w:rPr>
          <w:rFonts w:ascii="Arial" w:hAnsi="Arial" w:cs="Arial"/>
          <w:b/>
          <w:sz w:val="22"/>
          <w:szCs w:val="22"/>
        </w:rPr>
        <w:t>31.01.2025</w:t>
      </w:r>
      <w:proofErr w:type="gramEnd"/>
      <w:r>
        <w:rPr>
          <w:rFonts w:ascii="Arial" w:hAnsi="Arial" w:cs="Arial"/>
          <w:sz w:val="22"/>
          <w:szCs w:val="22"/>
        </w:rPr>
        <w:t>, pod variabilním symbolem IČO Příjemce a zaslat Poskytovateli prostřednictvím datové schránky „</w:t>
      </w:r>
      <w:r>
        <w:rPr>
          <w:rFonts w:ascii="Arial" w:hAnsi="Arial" w:cs="Arial"/>
          <w:i/>
          <w:sz w:val="22"/>
          <w:szCs w:val="22"/>
        </w:rPr>
        <w:t>Oznámení o vrácení finančních prostředků na účet poskytovatele dotace“.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Rozhodným okamžikem vrácení nevyčerpaných finančních prostředků dotace zpět na účet Poskytovatele je den jejich připsání na účet Poskytovatele. Nevyčerpané finanční prostředky nevrácené ve stanoveném termínu se považují za zadržené. </w:t>
      </w:r>
    </w:p>
    <w:p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je povinen předložit Poskytovateli závěrečné vyúčtování v termínu do </w:t>
      </w:r>
      <w:proofErr w:type="gramStart"/>
      <w:r w:rsidR="007402FF" w:rsidRPr="00AB1FAF">
        <w:rPr>
          <w:rFonts w:ascii="Arial" w:hAnsi="Arial" w:cs="Arial"/>
          <w:b/>
          <w:sz w:val="22"/>
          <w:szCs w:val="22"/>
        </w:rPr>
        <w:t>15.02.2025</w:t>
      </w:r>
      <w:proofErr w:type="gramEnd"/>
      <w:r w:rsidR="007402F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 to prostřednictvím datové schránky nebo písemně doručením na podatelnu Městského úřadu Nový Jičín. 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je povinen předložit Poskytovateli závěrečné vyúčtování dotace dle odst. 15 tohoto článku na předepsaných formulářích, úplné a bezchybné, včetně: </w:t>
      </w:r>
    </w:p>
    <w:p w:rsidR="00902C87" w:rsidRDefault="00902C87" w:rsidP="00902C87">
      <w:pPr>
        <w:numPr>
          <w:ilvl w:val="0"/>
          <w:numId w:val="4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závěrečné zprávy obsahující stručné zhodnocení </w:t>
      </w:r>
      <w:r w:rsidR="002B029D">
        <w:rPr>
          <w:rFonts w:ascii="Arial" w:hAnsi="Arial" w:cs="Arial"/>
          <w:sz w:val="22"/>
          <w:szCs w:val="22"/>
        </w:rPr>
        <w:t>Provozu a údržby</w:t>
      </w:r>
      <w:r>
        <w:rPr>
          <w:rFonts w:ascii="Arial" w:hAnsi="Arial" w:cs="Arial"/>
          <w:sz w:val="22"/>
          <w:szCs w:val="22"/>
        </w:rPr>
        <w:t>,</w:t>
      </w:r>
    </w:p>
    <w:p w:rsidR="00902C87" w:rsidRDefault="00902C87" w:rsidP="00902C87">
      <w:pPr>
        <w:numPr>
          <w:ilvl w:val="0"/>
          <w:numId w:val="4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seznamu dokladů prokazujících účelnost použití dotace v souladu s touto smlouvou a Programem,</w:t>
      </w:r>
    </w:p>
    <w:p w:rsidR="00902C87" w:rsidRDefault="00902C87" w:rsidP="00902C87">
      <w:pPr>
        <w:numPr>
          <w:ilvl w:val="0"/>
          <w:numId w:val="4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přehledu čerpání dotace, tj. seznam všech vynaložených uznatelnýc</w:t>
      </w:r>
      <w:r w:rsidR="00493C01">
        <w:rPr>
          <w:rFonts w:ascii="Arial" w:hAnsi="Arial" w:cs="Arial"/>
          <w:sz w:val="22"/>
          <w:szCs w:val="22"/>
        </w:rPr>
        <w:t>h nákladů v souladu s rozpočtem včetně kopií dokladů prokazujících spoluúčast příjemce dotace,</w:t>
      </w:r>
    </w:p>
    <w:p w:rsidR="00902C87" w:rsidRDefault="00902C87" w:rsidP="00902C87">
      <w:pPr>
        <w:numPr>
          <w:ilvl w:val="0"/>
          <w:numId w:val="4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přehledu všech zdrojů financování </w:t>
      </w:r>
      <w:r w:rsidR="002B029D">
        <w:rPr>
          <w:rFonts w:ascii="Arial" w:hAnsi="Arial" w:cs="Arial"/>
          <w:sz w:val="22"/>
          <w:szCs w:val="22"/>
        </w:rPr>
        <w:t>Provozu a údržby</w:t>
      </w:r>
      <w:r>
        <w:rPr>
          <w:rFonts w:ascii="Arial" w:hAnsi="Arial" w:cs="Arial"/>
          <w:sz w:val="22"/>
          <w:szCs w:val="22"/>
        </w:rPr>
        <w:t>,</w:t>
      </w:r>
    </w:p>
    <w:p w:rsidR="00902C87" w:rsidRDefault="00902C87" w:rsidP="00902C87">
      <w:pPr>
        <w:numPr>
          <w:ilvl w:val="0"/>
          <w:numId w:val="4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kopií průkazných účetních dokladů dle zákona č. 563/1991 Sb., o účetnictví, ve znění pozdějších předpisů a průkazných daňových dokladů dle zákona č. 235/2004 Sb., o dani z přidané hodnoty, ve znění pozdějších předpisů, vztahujících se k poskytnuté dotaci,</w:t>
      </w:r>
    </w:p>
    <w:p w:rsidR="00902C87" w:rsidRDefault="00902C87" w:rsidP="00902C87">
      <w:pPr>
        <w:numPr>
          <w:ilvl w:val="0"/>
          <w:numId w:val="4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dokladů prokazujících provedení úhrady vykazovaných nákladů dotace:</w:t>
      </w:r>
    </w:p>
    <w:p w:rsidR="00902C87" w:rsidRDefault="00902C87" w:rsidP="00902C87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výpis z běžného účtu</w:t>
      </w:r>
    </w:p>
    <w:p w:rsidR="00902C87" w:rsidRDefault="00902C87" w:rsidP="00902C87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výdajový pokladní doklad,</w:t>
      </w:r>
    </w:p>
    <w:p w:rsidR="00902C87" w:rsidRDefault="00902C87" w:rsidP="00902C87">
      <w:pPr>
        <w:numPr>
          <w:ilvl w:val="0"/>
          <w:numId w:val="4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prokázání splnění podmínky publicity (propagace Poskytovatele),</w:t>
      </w:r>
    </w:p>
    <w:p w:rsidR="002B029D" w:rsidRDefault="002B029D" w:rsidP="00902C87">
      <w:pPr>
        <w:numPr>
          <w:ilvl w:val="0"/>
          <w:numId w:val="4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fotodokumentace o provedených opravách a údržbě.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poslední den lhůty pro vyúčtování dotace připadne na den pracovního volna, je Příjemce povinen vyúčtování předložit nejpozději v pracovní den nejblíže předcházející tomuto dni pracovního volna.</w:t>
      </w:r>
    </w:p>
    <w:p w:rsidR="00902C87" w:rsidRDefault="00902C87" w:rsidP="00902C87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povinen, vyžádá-li si to Poskytovatel, předložit originály dokladů dle odst. 16. písm. e) tohoto článku k nahlédnutí. V případě, že doklady předložené Příjemcem nebudou splňovat náležitosti dle požadavků smlouvy, je Poskytovatel oprávněn tyto doklady jako neprůkazné z vyúčtování vyloučit.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řádně v souladu s právními přepisy uschovat originály všech účetních dokladů vztahujících se k přijaté dotaci.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dotace podle této smlouvy bere na vědomí, že v případě porušení rozpočtové kázně podle § 22 zákona č. 250/2000 Sb., bude jeho žádost o poskytnutí dotace pro následující období předložena zastupitelstvu Poskytovatele s nedoporučujícím stanoviskem pro rozhodnutí o žádosti o dotaci.</w:t>
      </w:r>
    </w:p>
    <w:p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902C87" w:rsidRDefault="00902C87" w:rsidP="002D0816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VI.</w:t>
      </w:r>
    </w:p>
    <w:p w:rsidR="00902C87" w:rsidRDefault="00902C87" w:rsidP="00902C8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Sankční podmínky</w:t>
      </w:r>
    </w:p>
    <w:p w:rsidR="00902C87" w:rsidRDefault="00902C87" w:rsidP="00902C87">
      <w:pPr>
        <w:jc w:val="both"/>
        <w:rPr>
          <w:rFonts w:ascii="Arial" w:hAnsi="Arial" w:cs="Arial"/>
          <w:bCs/>
          <w:sz w:val="22"/>
          <w:szCs w:val="22"/>
        </w:rPr>
      </w:pPr>
    </w:p>
    <w:p w:rsidR="00902C87" w:rsidRDefault="00902C87" w:rsidP="00902C8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Každé neoprávněné použití nebo zadržení peněžních prostředků poskytnutých jako dotace je považováno za porušení rozpočtové kázně a bude sankcionováno ve smyslu § 22 zákona č. 250/2000 Sb.</w:t>
      </w:r>
    </w:p>
    <w:p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Neoprávněným použitím peněžních prostředků je jejich použití, kterým byla porušena povinnost stanovená právním předpisem nebo touto smlouvou nebo neprokáže-li Příjemce dotace, jak byly tyto prostředky použity.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neoprávněném použití peněžních prostředků anebo při zadržení peněžních prostředků odpovídá odvod za porušení rozpočtové kázně výši neoprávněné použitých nebo zadržených prostředků.</w:t>
      </w:r>
    </w:p>
    <w:p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Zadržením peněžních prostředků je porušení povinnosti vrácení poskytnutých prostředků ve stanoveném termínu. Dnem porušení rozpočtové kázně je v tomto případě den následující po dni, v němž marně uplynul termín stanovený pro vrácení poskytnutých prostředků. 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Neoprávněným použitím finančních prostředků dotace, kdy bude stanoven odvod v celé výši poskytnuté dotace, se pro účely této smlouvy rozumí případ, kdy Příjemce neumožní provést Poskytovateli finanční kontrolu.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Porušení podmínek uvedených v čl. V. odst. 6, 9, 10, 11, 15, 16 a 19 této smlouvy je považováno za porušení méně závažné ve smyslu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>. § 10a odst. 6 zákona č. 250/2000 Sb. Odvod za toto porušení rozpočtové kázně se stanoví následujícím způsobem: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1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předložení vyúčtování podle čl. V. odst. 15 po stanovené lhůtě:</w:t>
      </w:r>
    </w:p>
    <w:p w:rsidR="00902C87" w:rsidRDefault="00902C87" w:rsidP="00902C87">
      <w:pPr>
        <w:numPr>
          <w:ilvl w:val="2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7 kalendářních dnů ve výši 5 % poskytnuté dotace,</w:t>
      </w:r>
    </w:p>
    <w:p w:rsidR="00686763" w:rsidRDefault="00686763" w:rsidP="00686763">
      <w:pPr>
        <w:jc w:val="both"/>
        <w:rPr>
          <w:rFonts w:ascii="Arial" w:hAnsi="Arial" w:cs="Arial"/>
          <w:sz w:val="22"/>
          <w:szCs w:val="22"/>
        </w:rPr>
      </w:pPr>
    </w:p>
    <w:p w:rsidR="00686763" w:rsidRDefault="00686763" w:rsidP="00686763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2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8 do 15 kalendářních dnů ve výši 10 % poskytnuté dotace,</w:t>
      </w:r>
    </w:p>
    <w:p w:rsidR="00902C87" w:rsidRDefault="00902C87" w:rsidP="00902C87">
      <w:pPr>
        <w:numPr>
          <w:ilvl w:val="2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16 kalendářních dnů ve výši 15 % poskytnuté dotace,</w:t>
      </w:r>
    </w:p>
    <w:p w:rsidR="00902C87" w:rsidRDefault="00902C87" w:rsidP="00902C87">
      <w:pPr>
        <w:numPr>
          <w:ilvl w:val="1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porušení podmínky stanovené v čl. V. odst. 16 spočívající ve formálních nedostatcích závěrečného vyúčtování ve výši 10% poskytnuté dotace,</w:t>
      </w:r>
    </w:p>
    <w:p w:rsidR="00902C87" w:rsidRDefault="00902C87" w:rsidP="00902C87">
      <w:pPr>
        <w:numPr>
          <w:ilvl w:val="1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porušení podmínky stanovené v čl. V. odst. 6 a odst. 19 ve výši 20 % z poskytnuté dotace,</w:t>
      </w:r>
    </w:p>
    <w:p w:rsidR="00902C87" w:rsidRDefault="00902C87" w:rsidP="00902C87">
      <w:pPr>
        <w:numPr>
          <w:ilvl w:val="1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porušení podmínky stanovené v čl. V. odst. 9 ve výši 5% poskytnuté dotace,</w:t>
      </w:r>
    </w:p>
    <w:p w:rsidR="00902C87" w:rsidRDefault="00902C87" w:rsidP="00902C87">
      <w:pPr>
        <w:numPr>
          <w:ilvl w:val="1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porušení podmínky stanovené v čl. V. odst. 10 a odst. 11 ve výši 10 % poskytnuté dotace.</w:t>
      </w:r>
    </w:p>
    <w:p w:rsidR="00902C87" w:rsidRDefault="00902C87" w:rsidP="00902C87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porušení více povinností se procentní částky sčítají. Odvod za porušení rozpočtové kázně lze uložit pouze do výše poskytnutých finančních prostředků ke dni porušení rozpočtové kázně.</w:t>
      </w:r>
    </w:p>
    <w:p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podezření na porušení rozpočtové kázně může Poskytovatel peněžních prostředků pozastavit jejich poskytnutí, a to až do výše předpokládaného odvodu.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902C87" w:rsidRDefault="00902C87" w:rsidP="00902C8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případě prodlení s vyměřeným odvodem je Příjemce povinen podle § 22 odst. 8 zákona č. 250/2000 Sb., zaplatit penále ve výši 0,4 promile z částky odvodu za každý den prodlení, nejvýše však do výše tohoto odvodu.</w:t>
      </w:r>
    </w:p>
    <w:p w:rsidR="00902C87" w:rsidRDefault="00902C87" w:rsidP="00902C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02C87" w:rsidRDefault="00902C87" w:rsidP="00902C8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Penále se počítá ode dne následujícího po dni, kdy došlo k porušení rozpočtové kázně, do dne připsání peněžních prostředků na účet Poskytovatele. Penále se neuloží, pokud v jednotlivých případech nepřesáhne 1 000 Kč.</w:t>
      </w:r>
    </w:p>
    <w:p w:rsidR="00902C87" w:rsidRDefault="00902C87" w:rsidP="00902C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02C87" w:rsidRDefault="00902C87" w:rsidP="00902C8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uložený odvod a případné penále odvést do rozpočtu Poskytovatele ve lhůtě stanovené Poskytovatelem.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02C87" w:rsidRDefault="00902C87" w:rsidP="00902C87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 xml:space="preserve">VII. </w:t>
      </w:r>
    </w:p>
    <w:p w:rsidR="00902C87" w:rsidRDefault="00902C87" w:rsidP="00902C87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Závěrečná ustanovení</w:t>
      </w: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02C87" w:rsidRDefault="00902C87" w:rsidP="00902C8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berou na sebe práva a povinnosti z této smlouvy. V případě vzniku sporů budou tyto řešeny přednostně vzájemnou dohodou smluvních stran.</w:t>
      </w:r>
    </w:p>
    <w:p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Spory z právních poměrů při poskytnutí dotace rozhoduje podle správního řádu Krajský úřad Moravskoslezského kraje v přenesené působnosti. Proti jeho rozhodnutí nelze podat odvolání.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Tuto smlouvu lze zrušit dohodou smluvních stran v souladu s ustanovením § 167 odst. 1 písm. a) zákona č. 500/2004 Sb., správní řád, ve znění pozdějších předpisů. Taková dohoda musí být písemná a musí v ní být uvedeny důvody, které vedly k ukončení smlouvy včetně vzájemného vypořádání práv a povinností.</w:t>
      </w:r>
    </w:p>
    <w:p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se vyhotovuje ve dvou stejnopisech s platností originálu, z nichž Poskytovatel i Příjemce obdrží po jednom. Změny a doplnění této smlouvy musejí mít písemnou formu.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2"/>
        </w:num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Smlouva bude v souladu se zák. č. 340/2015 Sb., o zvláštních podmínkách účinnosti některých smluv, uveřejňování těchto smluv a o registru smluv (zákon o registru smluv), uveřejněna v registru smluv. Smluvní strany se dohodly, že elektronický obraz smlouvy a </w:t>
      </w:r>
      <w:proofErr w:type="spellStart"/>
      <w:r>
        <w:rPr>
          <w:rFonts w:ascii="Arial" w:hAnsi="Arial" w:cs="Arial"/>
          <w:sz w:val="22"/>
          <w:szCs w:val="22"/>
        </w:rPr>
        <w:t>metadata</w:t>
      </w:r>
      <w:proofErr w:type="spellEnd"/>
      <w:r>
        <w:rPr>
          <w:rFonts w:ascii="Arial" w:hAnsi="Arial" w:cs="Arial"/>
          <w:sz w:val="22"/>
          <w:szCs w:val="22"/>
        </w:rPr>
        <w:t xml:space="preserve"> dle uvedeného zákona zašle k uveřejnění v registru smluv Poskytovatel.</w:t>
      </w:r>
    </w:p>
    <w:p w:rsidR="00902C87" w:rsidRDefault="00902C87" w:rsidP="00902C87">
      <w:pPr>
        <w:ind w:left="360"/>
        <w:jc w:val="both"/>
        <w:rPr>
          <w:rFonts w:ascii="Arial" w:hAnsi="Arial" w:cs="Arial"/>
          <w:color w:val="FF0000"/>
          <w:sz w:val="22"/>
          <w:szCs w:val="22"/>
        </w:rPr>
      </w:pPr>
    </w:p>
    <w:p w:rsidR="002D0816" w:rsidRDefault="00902C87" w:rsidP="002D0816">
      <w:pPr>
        <w:numPr>
          <w:ilvl w:val="0"/>
          <w:numId w:val="2"/>
        </w:num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prohlašují, že se řádně seznámily s obsahem smlouvy a že s ním bez výhrad souhlasí, že tato byla sepsána na základě pravdivých údajů, jejich pravé a svobodné vůle, nikoliv v tísni za nápadně nevýhodných podmínek. Na důkaz toho připojují své podpisy. </w:t>
      </w:r>
    </w:p>
    <w:p w:rsidR="002D0816" w:rsidRDefault="002D0816" w:rsidP="002D0816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Pr="002D0816" w:rsidRDefault="00902C87" w:rsidP="002D0816">
      <w:pPr>
        <w:numPr>
          <w:ilvl w:val="0"/>
          <w:numId w:val="2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2D0816">
        <w:rPr>
          <w:rFonts w:ascii="Arial" w:hAnsi="Arial" w:cs="Arial"/>
          <w:sz w:val="22"/>
          <w:szCs w:val="22"/>
        </w:rPr>
        <w:lastRenderedPageBreak/>
        <w:t>Tato smlouva nabývá platnosti dnem jejího podpisu smluvními stranami a účinnosti dnem jejího uveřejnění v registru smluv.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Novém Jičíně   </w:t>
      </w:r>
      <w:proofErr w:type="gramStart"/>
      <w:r w:rsidR="002E7456">
        <w:rPr>
          <w:rFonts w:ascii="Arial" w:hAnsi="Arial" w:cs="Arial"/>
          <w:sz w:val="22"/>
          <w:szCs w:val="22"/>
        </w:rPr>
        <w:t>15.02.2024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V Novém Jičíně  </w:t>
      </w:r>
      <w:r w:rsidR="002E7456">
        <w:rPr>
          <w:rFonts w:ascii="Arial" w:hAnsi="Arial" w:cs="Arial"/>
          <w:sz w:val="22"/>
          <w:szCs w:val="22"/>
        </w:rPr>
        <w:t>20.02.2024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za Příjemce</w:t>
      </w:r>
      <w:r>
        <w:rPr>
          <w:rFonts w:ascii="Arial" w:hAnsi="Arial" w:cs="Arial"/>
          <w:sz w:val="22"/>
          <w:szCs w:val="22"/>
        </w:rPr>
        <w:tab/>
        <w:t>za Poskytovatele</w:t>
      </w:r>
    </w:p>
    <w:p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E7456">
        <w:rPr>
          <w:rFonts w:ascii="Arial" w:hAnsi="Arial" w:cs="Arial"/>
          <w:sz w:val="22"/>
          <w:szCs w:val="22"/>
        </w:rPr>
        <w:t>xxx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ab/>
        <w:t>Mgr. Stanislav Kopecký</w:t>
      </w:r>
    </w:p>
    <w:p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27839">
        <w:rPr>
          <w:rFonts w:ascii="Arial" w:hAnsi="Arial" w:cs="Arial"/>
          <w:sz w:val="22"/>
          <w:szCs w:val="22"/>
        </w:rPr>
        <w:t xml:space="preserve">starosta jednoty </w:t>
      </w:r>
      <w:r>
        <w:rPr>
          <w:rFonts w:ascii="Arial" w:hAnsi="Arial" w:cs="Arial"/>
          <w:sz w:val="22"/>
          <w:szCs w:val="22"/>
        </w:rPr>
        <w:tab/>
        <w:t xml:space="preserve">starosta </w:t>
      </w:r>
      <w:r w:rsidR="00AB1FA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</w:t>
      </w:r>
      <w:r w:rsidR="00AB1FAF">
        <w:rPr>
          <w:rFonts w:ascii="Arial" w:hAnsi="Arial" w:cs="Arial"/>
          <w:sz w:val="22"/>
          <w:szCs w:val="22"/>
        </w:rPr>
        <w:br/>
        <w:t xml:space="preserve">              </w:t>
      </w:r>
      <w:r w:rsidR="00AB1FAF" w:rsidRPr="00AB1FAF">
        <w:rPr>
          <w:rFonts w:ascii="Arial" w:hAnsi="Arial" w:cs="Arial"/>
          <w:sz w:val="22"/>
          <w:szCs w:val="22"/>
        </w:rPr>
        <w:t xml:space="preserve">Orel jednota Nový </w:t>
      </w:r>
      <w:proofErr w:type="gramStart"/>
      <w:r w:rsidR="00AB1FAF" w:rsidRPr="00AB1FAF">
        <w:rPr>
          <w:rFonts w:ascii="Arial" w:hAnsi="Arial" w:cs="Arial"/>
          <w:sz w:val="22"/>
          <w:szCs w:val="22"/>
        </w:rPr>
        <w:t>Jičín</w:t>
      </w:r>
      <w:r w:rsidR="00AB1FAF">
        <w:rPr>
          <w:rFonts w:ascii="Arial" w:hAnsi="Arial" w:cs="Arial"/>
          <w:sz w:val="22"/>
          <w:szCs w:val="22"/>
        </w:rPr>
        <w:t xml:space="preserve">                                                   </w:t>
      </w:r>
      <w:r>
        <w:rPr>
          <w:rFonts w:ascii="Arial" w:hAnsi="Arial" w:cs="Arial"/>
          <w:sz w:val="22"/>
          <w:szCs w:val="22"/>
        </w:rPr>
        <w:t>města</w:t>
      </w:r>
      <w:proofErr w:type="gramEnd"/>
      <w:r>
        <w:rPr>
          <w:rFonts w:ascii="Arial" w:hAnsi="Arial" w:cs="Arial"/>
          <w:sz w:val="22"/>
          <w:szCs w:val="22"/>
        </w:rPr>
        <w:t xml:space="preserve"> Nový Jičín</w:t>
      </w:r>
    </w:p>
    <w:p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902C87" w:rsidRDefault="00902C87" w:rsidP="00902C87">
      <w:pPr>
        <w:spacing w:line="276" w:lineRule="auto"/>
        <w:jc w:val="right"/>
        <w:rPr>
          <w:rFonts w:ascii="Arial" w:hAnsi="Arial" w:cs="Arial"/>
        </w:rPr>
      </w:pPr>
    </w:p>
    <w:p w:rsidR="00902C87" w:rsidRDefault="00902C87" w:rsidP="00902C87">
      <w:pPr>
        <w:spacing w:line="276" w:lineRule="auto"/>
        <w:rPr>
          <w:rFonts w:ascii="Arial" w:hAnsi="Arial" w:cs="Arial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spacing w:line="276" w:lineRule="auto"/>
        <w:rPr>
          <w:rFonts w:ascii="Arial" w:hAnsi="Arial" w:cs="Arial"/>
        </w:rPr>
      </w:pPr>
    </w:p>
    <w:p w:rsidR="00902C87" w:rsidRDefault="00902C87" w:rsidP="00902C87">
      <w:pPr>
        <w:spacing w:line="276" w:lineRule="auto"/>
        <w:rPr>
          <w:rFonts w:ascii="Arial" w:hAnsi="Arial" w:cs="Arial"/>
        </w:rPr>
      </w:pPr>
    </w:p>
    <w:p w:rsidR="006E364D" w:rsidRDefault="006E364D"/>
    <w:sectPr w:rsidR="006E36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720" w:right="992" w:bottom="720" w:left="993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21F" w:rsidRDefault="009B521F" w:rsidP="00902C87">
      <w:r>
        <w:separator/>
      </w:r>
    </w:p>
  </w:endnote>
  <w:endnote w:type="continuationSeparator" w:id="0">
    <w:p w:rsidR="009B521F" w:rsidRDefault="009B521F" w:rsidP="0090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Wingdings 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3906253"/>
      <w:docPartObj>
        <w:docPartGallery w:val="Page Numbers (Bottom of Page)"/>
        <w:docPartUnique/>
      </w:docPartObj>
    </w:sdtPr>
    <w:sdtEndPr/>
    <w:sdtContent>
      <w:p w:rsidR="00E9534C" w:rsidRDefault="00F603BD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E9534C" w:rsidRDefault="009B521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rFonts w:ascii="Arial" w:hAnsi="Arial" w:cs="Arial"/>
      </w:rPr>
      <w:id w:val="140348613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E9534C" w:rsidRDefault="00F603BD">
        <w:pPr>
          <w:pStyle w:val="Zpat"/>
          <w:framePr w:wrap="none" w:vAnchor="text" w:hAnchor="page" w:x="5871" w:y="-372"/>
          <w:rPr>
            <w:rStyle w:val="slostrnky"/>
            <w:rFonts w:ascii="Arial" w:hAnsi="Arial" w:cs="Arial"/>
          </w:rPr>
        </w:pPr>
        <w:r>
          <w:rPr>
            <w:rStyle w:val="slostrnky"/>
            <w:rFonts w:ascii="Arial" w:hAnsi="Arial" w:cs="Arial"/>
            <w:sz w:val="18"/>
            <w:szCs w:val="18"/>
          </w:rPr>
          <w:fldChar w:fldCharType="begin"/>
        </w:r>
        <w:r>
          <w:rPr>
            <w:rStyle w:val="slostrnky"/>
            <w:rFonts w:ascii="Arial" w:hAnsi="Arial" w:cs="Arial"/>
            <w:sz w:val="18"/>
            <w:szCs w:val="18"/>
          </w:rPr>
          <w:instrText xml:space="preserve"> PAGE </w:instrText>
        </w:r>
        <w:r>
          <w:rPr>
            <w:rStyle w:val="slostrnky"/>
            <w:rFonts w:ascii="Arial" w:hAnsi="Arial" w:cs="Arial"/>
            <w:sz w:val="18"/>
            <w:szCs w:val="18"/>
          </w:rPr>
          <w:fldChar w:fldCharType="separate"/>
        </w:r>
        <w:r w:rsidR="002E7456">
          <w:rPr>
            <w:rStyle w:val="slostrnky"/>
            <w:rFonts w:ascii="Arial" w:hAnsi="Arial" w:cs="Arial"/>
            <w:noProof/>
            <w:sz w:val="18"/>
            <w:szCs w:val="18"/>
          </w:rPr>
          <w:t>4</w:t>
        </w:r>
        <w:r>
          <w:rPr>
            <w:rStyle w:val="slostrnky"/>
            <w:rFonts w:ascii="Arial" w:hAnsi="Arial" w:cs="Arial"/>
            <w:sz w:val="18"/>
            <w:szCs w:val="18"/>
          </w:rPr>
          <w:fldChar w:fldCharType="end"/>
        </w:r>
      </w:p>
    </w:sdtContent>
  </w:sdt>
  <w:p w:rsidR="00E9534C" w:rsidRDefault="009B521F">
    <w:pPr>
      <w:pStyle w:val="Zpa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sz w:val="18"/>
        <w:szCs w:val="18"/>
      </w:rPr>
      <w:id w:val="-42920609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E9534C" w:rsidRDefault="00F603BD">
        <w:pPr>
          <w:pStyle w:val="Zpat"/>
          <w:framePr w:wrap="none" w:vAnchor="text" w:hAnchor="page" w:x="5900" w:y="-316"/>
          <w:rPr>
            <w:rStyle w:val="slostrnky"/>
            <w:sz w:val="18"/>
            <w:szCs w:val="18"/>
          </w:rPr>
        </w:pPr>
        <w:r>
          <w:rPr>
            <w:rStyle w:val="slostrnky"/>
            <w:sz w:val="18"/>
            <w:szCs w:val="18"/>
          </w:rPr>
          <w:fldChar w:fldCharType="begin"/>
        </w:r>
        <w:r>
          <w:rPr>
            <w:rStyle w:val="slostrnky"/>
            <w:sz w:val="18"/>
            <w:szCs w:val="18"/>
          </w:rPr>
          <w:instrText xml:space="preserve"> PAGE </w:instrText>
        </w:r>
        <w:r>
          <w:rPr>
            <w:rStyle w:val="slostrnky"/>
            <w:sz w:val="18"/>
            <w:szCs w:val="18"/>
          </w:rPr>
          <w:fldChar w:fldCharType="separate"/>
        </w:r>
        <w:r w:rsidR="002E7456">
          <w:rPr>
            <w:rStyle w:val="slostrnky"/>
            <w:noProof/>
            <w:sz w:val="18"/>
            <w:szCs w:val="18"/>
          </w:rPr>
          <w:t>1</w:t>
        </w:r>
        <w:r>
          <w:rPr>
            <w:rStyle w:val="slostrnky"/>
            <w:sz w:val="18"/>
            <w:szCs w:val="18"/>
          </w:rPr>
          <w:fldChar w:fldCharType="end"/>
        </w:r>
      </w:p>
    </w:sdtContent>
  </w:sdt>
  <w:p w:rsidR="00E9534C" w:rsidRDefault="009B521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21F" w:rsidRDefault="009B521F" w:rsidP="00902C87">
      <w:r>
        <w:separator/>
      </w:r>
    </w:p>
  </w:footnote>
  <w:footnote w:type="continuationSeparator" w:id="0">
    <w:p w:rsidR="009B521F" w:rsidRDefault="009B521F" w:rsidP="00902C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C87" w:rsidRDefault="00902C8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C87" w:rsidRDefault="00902C8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34C" w:rsidRDefault="00F603BD">
    <w:pPr>
      <w:pStyle w:val="Zhlav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13F582C" wp14:editId="362654D8">
          <wp:simplePos x="0" y="0"/>
          <wp:positionH relativeFrom="page">
            <wp:align>right</wp:align>
          </wp:positionH>
          <wp:positionV relativeFrom="margin">
            <wp:align>center</wp:align>
          </wp:positionV>
          <wp:extent cx="7563485" cy="10695305"/>
          <wp:effectExtent l="0" t="0" r="0" b="0"/>
          <wp:wrapNone/>
          <wp:docPr id="1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63485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9534C" w:rsidRDefault="009B521F">
    <w:pPr>
      <w:pStyle w:val="Zhlav"/>
      <w:jc w:val="right"/>
    </w:pPr>
  </w:p>
  <w:p w:rsidR="00E9534C" w:rsidRPr="00902C87" w:rsidRDefault="00902C87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Příloha č. 2</w:t>
    </w:r>
    <w:r w:rsidR="008658E3">
      <w:rPr>
        <w:rFonts w:ascii="Arial" w:hAnsi="Arial" w:cs="Arial"/>
      </w:rPr>
      <w:t xml:space="preserve"> SPORT D 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30151"/>
    <w:multiLevelType w:val="hybridMultilevel"/>
    <w:tmpl w:val="6EB2137A"/>
    <w:lvl w:ilvl="0" w:tplc="0405000F">
      <w:start w:val="1"/>
      <w:numFmt w:val="decimal"/>
      <w:lvlText w:val="%1."/>
      <w:lvlJc w:val="left"/>
      <w:pPr>
        <w:ind w:left="1004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F15616"/>
    <w:multiLevelType w:val="hybridMultilevel"/>
    <w:tmpl w:val="C47ECD12"/>
    <w:lvl w:ilvl="0" w:tplc="BCB04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plc="7068B5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D6AA9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00297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4E4A3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E1E2A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9A612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27228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8FC5E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222D4D"/>
    <w:multiLevelType w:val="hybridMultilevel"/>
    <w:tmpl w:val="26E820A8"/>
    <w:lvl w:ilvl="0" w:tplc="54F81434">
      <w:start w:val="1"/>
      <w:numFmt w:val="decimal"/>
      <w:lvlText w:val="%1."/>
      <w:lvlJc w:val="center"/>
      <w:pPr>
        <w:ind w:left="360" w:hanging="360"/>
      </w:pPr>
      <w:rPr>
        <w:rFonts w:ascii="Times New Roman" w:hAnsi="Times New Roman" w:cs="Times New Roman"/>
        <w:sz w:val="24"/>
      </w:rPr>
    </w:lvl>
    <w:lvl w:ilvl="1" w:tplc="7D243C74">
      <w:start w:val="1"/>
      <w:numFmt w:val="lowerLetter"/>
      <w:lvlText w:val="%2."/>
      <w:lvlJc w:val="left"/>
      <w:pPr>
        <w:ind w:left="1080" w:hanging="360"/>
      </w:pPr>
      <w:rPr>
        <w:rFonts w:ascii="Times New Roman" w:cs="Times New Roman"/>
      </w:rPr>
    </w:lvl>
    <w:lvl w:ilvl="2" w:tplc="8084CB58">
      <w:start w:val="1"/>
      <w:numFmt w:val="lowerRoman"/>
      <w:lvlText w:val="%3."/>
      <w:lvlJc w:val="right"/>
      <w:pPr>
        <w:ind w:left="1800" w:hanging="180"/>
      </w:pPr>
      <w:rPr>
        <w:rFonts w:ascii="Times New Roman" w:cs="Times New Roman"/>
      </w:rPr>
    </w:lvl>
    <w:lvl w:ilvl="3" w:tplc="7190109A">
      <w:start w:val="1"/>
      <w:numFmt w:val="decimal"/>
      <w:lvlText w:val="%4."/>
      <w:lvlJc w:val="left"/>
      <w:pPr>
        <w:ind w:left="2520" w:hanging="360"/>
      </w:pPr>
      <w:rPr>
        <w:rFonts w:ascii="Times New Roman" w:cs="Times New Roman"/>
      </w:rPr>
    </w:lvl>
    <w:lvl w:ilvl="4" w:tplc="3560070A">
      <w:start w:val="1"/>
      <w:numFmt w:val="lowerLetter"/>
      <w:lvlText w:val="%5."/>
      <w:lvlJc w:val="left"/>
      <w:pPr>
        <w:ind w:left="3240" w:hanging="360"/>
      </w:pPr>
      <w:rPr>
        <w:rFonts w:ascii="Times New Roman" w:cs="Times New Roman"/>
      </w:rPr>
    </w:lvl>
    <w:lvl w:ilvl="5" w:tplc="45EA84A0">
      <w:start w:val="1"/>
      <w:numFmt w:val="lowerRoman"/>
      <w:lvlText w:val="%6."/>
      <w:lvlJc w:val="right"/>
      <w:pPr>
        <w:ind w:left="3960" w:hanging="180"/>
      </w:pPr>
      <w:rPr>
        <w:rFonts w:ascii="Times New Roman" w:cs="Times New Roman"/>
      </w:rPr>
    </w:lvl>
    <w:lvl w:ilvl="6" w:tplc="72FA3CE4">
      <w:start w:val="1"/>
      <w:numFmt w:val="decimal"/>
      <w:lvlText w:val="%7."/>
      <w:lvlJc w:val="left"/>
      <w:pPr>
        <w:ind w:left="4680" w:hanging="360"/>
      </w:pPr>
      <w:rPr>
        <w:rFonts w:ascii="Times New Roman" w:cs="Times New Roman"/>
      </w:rPr>
    </w:lvl>
    <w:lvl w:ilvl="7" w:tplc="8AF8E4C6">
      <w:start w:val="1"/>
      <w:numFmt w:val="lowerLetter"/>
      <w:lvlText w:val="%8."/>
      <w:lvlJc w:val="left"/>
      <w:pPr>
        <w:ind w:left="5400" w:hanging="360"/>
      </w:pPr>
      <w:rPr>
        <w:rFonts w:ascii="Times New Roman" w:cs="Times New Roman"/>
      </w:rPr>
    </w:lvl>
    <w:lvl w:ilvl="8" w:tplc="4328C1A8">
      <w:start w:val="1"/>
      <w:numFmt w:val="lowerRoman"/>
      <w:lvlText w:val="%9."/>
      <w:lvlJc w:val="right"/>
      <w:pPr>
        <w:ind w:left="6120" w:hanging="180"/>
      </w:pPr>
      <w:rPr>
        <w:rFonts w:ascii="Times New Roman" w:cs="Times New Roman"/>
      </w:rPr>
    </w:lvl>
  </w:abstractNum>
  <w:abstractNum w:abstractNumId="3" w15:restartNumberingAfterBreak="0">
    <w:nsid w:val="42696F31"/>
    <w:multiLevelType w:val="multilevel"/>
    <w:tmpl w:val="1E52AA86"/>
    <w:lvl w:ilvl="0">
      <w:start w:val="1"/>
      <w:numFmt w:val="upperRoman"/>
      <w:pStyle w:val="Nadpislnku"/>
      <w:suff w:val="nothing"/>
      <w:lvlText w:val="Článek %1."/>
      <w:lvlJc w:val="left"/>
      <w:rPr>
        <w:rFonts w:cs="Times New Roman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4809377F"/>
    <w:multiLevelType w:val="multilevel"/>
    <w:tmpl w:val="A2BA4110"/>
    <w:lvl w:ilvl="0">
      <w:start w:val="1"/>
      <w:numFmt w:val="upperRoman"/>
      <w:suff w:val="nothing"/>
      <w:lvlText w:val="Článek %1."/>
      <w:lvlJc w:val="left"/>
      <w:rPr>
        <w:rFonts w:cs="Times New Roman"/>
      </w:rPr>
    </w:lvl>
    <w:lvl w:ilvl="1">
      <w:start w:val="1"/>
      <w:numFmt w:val="decimal"/>
      <w:isLgl/>
      <w:suff w:val="space"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</w:rPr>
    </w:lvl>
    <w:lvl w:ilvl="2">
      <w:start w:val="1"/>
      <w:numFmt w:val="lowerLetter"/>
      <w:suff w:val="space"/>
      <w:lvlText w:val="%3)"/>
      <w:lvlJc w:val="left"/>
      <w:pPr>
        <w:tabs>
          <w:tab w:val="num" w:pos="992"/>
        </w:tabs>
        <w:ind w:left="992" w:hanging="283"/>
      </w:pPr>
      <w:rPr>
        <w:rFonts w:cs="Times New Roman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4BAC3935"/>
    <w:multiLevelType w:val="multilevel"/>
    <w:tmpl w:val="D726555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suff w:val="space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suff w:val="space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suff w:val="space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suff w:val="space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suff w:val="space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suff w:val="space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2D56F33"/>
    <w:multiLevelType w:val="hybridMultilevel"/>
    <w:tmpl w:val="781EBCBA"/>
    <w:lvl w:ilvl="0" w:tplc="C1FC626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A34ABE92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578AAA36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5910183E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823251CA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C4C6896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A1085ABE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7CBE2806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D5BC04BC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53E1228A"/>
    <w:multiLevelType w:val="hybridMultilevel"/>
    <w:tmpl w:val="64FCB484"/>
    <w:lvl w:ilvl="0" w:tplc="9B72D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67416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16E23B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155E17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2E38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FC4099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9DCAC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E7A532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B6E7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57E6040"/>
    <w:multiLevelType w:val="multilevel"/>
    <w:tmpl w:val="6C6277F8"/>
    <w:lvl w:ilvl="0">
      <w:start w:val="1"/>
      <w:numFmt w:val="decimal"/>
      <w:suff w:val="space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suff w:val="space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suff w:val="space"/>
      <w:lvlText w:val="%3."/>
      <w:lvlJc w:val="left"/>
      <w:pPr>
        <w:tabs>
          <w:tab w:val="num" w:pos="502"/>
        </w:tabs>
        <w:ind w:left="502" w:hanging="36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suff w:val="space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suff w:val="space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suff w:val="space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suff w:val="space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7212225"/>
    <w:multiLevelType w:val="hybridMultilevel"/>
    <w:tmpl w:val="45485064"/>
    <w:lvl w:ilvl="0" w:tplc="6262D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 w:themeColor="text1"/>
      </w:rPr>
    </w:lvl>
    <w:lvl w:ilvl="1" w:tplc="F15C16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E9E2C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DB811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908FD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F207C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8F265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3DACF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2D676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69A776D2"/>
    <w:multiLevelType w:val="hybridMultilevel"/>
    <w:tmpl w:val="690202B6"/>
    <w:lvl w:ilvl="0" w:tplc="7D9AD9AC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1A72DFDC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A0E29D6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2DAC8540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7610A75A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94BEBEEA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C872768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628612B0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6312FED0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6AE46F4C"/>
    <w:multiLevelType w:val="hybridMultilevel"/>
    <w:tmpl w:val="1FE03418"/>
    <w:lvl w:ilvl="0" w:tplc="D03E763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73EEFE4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F8C45A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3CA0FD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9C074B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1564A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22CD01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AD6CF5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53E297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D023947"/>
    <w:multiLevelType w:val="hybridMultilevel"/>
    <w:tmpl w:val="3A9E51A8"/>
    <w:lvl w:ilvl="0" w:tplc="114CFAF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51ACAA9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5382D5E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C9ECF0D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5A4389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C18E2C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746098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04007C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5CE2CF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6155340"/>
    <w:multiLevelType w:val="hybridMultilevel"/>
    <w:tmpl w:val="2D823C72"/>
    <w:lvl w:ilvl="0" w:tplc="5ACCD75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A0729FEA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3DB6EE3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CEFAC6D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868049EC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5790BFDA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8C2C1382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A864810E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8C484BC2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9656CC1"/>
    <w:multiLevelType w:val="hybridMultilevel"/>
    <w:tmpl w:val="EF2ADA7A"/>
    <w:lvl w:ilvl="0" w:tplc="0DA017A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E6EA2A9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BAAD72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92847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71214E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360617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D92D2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AA224E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EAA631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A184376"/>
    <w:multiLevelType w:val="hybridMultilevel"/>
    <w:tmpl w:val="8C7CED58"/>
    <w:lvl w:ilvl="0" w:tplc="FD86BFC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B1B4CD0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4BC89A5E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79903034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C302A296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D5906D28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5DAFCE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B9F2EE1E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9B50DFEA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1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6"/>
  </w:num>
  <w:num w:numId="8">
    <w:abstractNumId w:val="13"/>
  </w:num>
  <w:num w:numId="9">
    <w:abstractNumId w:val="10"/>
  </w:num>
  <w:num w:numId="10">
    <w:abstractNumId w:val="2"/>
  </w:num>
  <w:num w:numId="11">
    <w:abstractNumId w:val="14"/>
  </w:num>
  <w:num w:numId="12">
    <w:abstractNumId w:val="12"/>
  </w:num>
  <w:num w:numId="13">
    <w:abstractNumId w:val="0"/>
  </w:num>
  <w:num w:numId="14">
    <w:abstractNumId w:val="5"/>
  </w:num>
  <w:num w:numId="15">
    <w:abstractNumId w:val="8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C87"/>
    <w:rsid w:val="00227F6E"/>
    <w:rsid w:val="00236393"/>
    <w:rsid w:val="002B029D"/>
    <w:rsid w:val="002D0816"/>
    <w:rsid w:val="002E7456"/>
    <w:rsid w:val="00333A48"/>
    <w:rsid w:val="00363C28"/>
    <w:rsid w:val="00375145"/>
    <w:rsid w:val="0038016D"/>
    <w:rsid w:val="00385E30"/>
    <w:rsid w:val="00493C01"/>
    <w:rsid w:val="005237CE"/>
    <w:rsid w:val="00530730"/>
    <w:rsid w:val="005C2D07"/>
    <w:rsid w:val="00686763"/>
    <w:rsid w:val="006C1306"/>
    <w:rsid w:val="006E364D"/>
    <w:rsid w:val="007206DB"/>
    <w:rsid w:val="00727839"/>
    <w:rsid w:val="00740091"/>
    <w:rsid w:val="007402FF"/>
    <w:rsid w:val="007E1437"/>
    <w:rsid w:val="008155E9"/>
    <w:rsid w:val="008658E3"/>
    <w:rsid w:val="008933FD"/>
    <w:rsid w:val="00897C1A"/>
    <w:rsid w:val="00902C87"/>
    <w:rsid w:val="00904010"/>
    <w:rsid w:val="009263FA"/>
    <w:rsid w:val="009B521F"/>
    <w:rsid w:val="00A33BBC"/>
    <w:rsid w:val="00A51DD2"/>
    <w:rsid w:val="00A63143"/>
    <w:rsid w:val="00AB1FAF"/>
    <w:rsid w:val="00B312FC"/>
    <w:rsid w:val="00B5502C"/>
    <w:rsid w:val="00C07CC0"/>
    <w:rsid w:val="00C63C0D"/>
    <w:rsid w:val="00C901E2"/>
    <w:rsid w:val="00CE05AB"/>
    <w:rsid w:val="00CE0E7A"/>
    <w:rsid w:val="00CF0567"/>
    <w:rsid w:val="00D51514"/>
    <w:rsid w:val="00D966C6"/>
    <w:rsid w:val="00DF5829"/>
    <w:rsid w:val="00E00E87"/>
    <w:rsid w:val="00F554EB"/>
    <w:rsid w:val="00F603BD"/>
    <w:rsid w:val="00F66B2E"/>
    <w:rsid w:val="00F77DA5"/>
    <w:rsid w:val="00FB6EC5"/>
    <w:rsid w:val="00FC60FE"/>
    <w:rsid w:val="00FD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95FA6-369D-4205-B287-4AB85C1E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2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902C87"/>
    <w:pPr>
      <w:keepNext/>
      <w:jc w:val="center"/>
      <w:outlineLvl w:val="0"/>
    </w:pPr>
    <w:rPr>
      <w:i/>
      <w:i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902C87"/>
    <w:pPr>
      <w:keepNext/>
      <w:outlineLvl w:val="1"/>
    </w:pPr>
    <w:rPr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rsid w:val="00902C87"/>
    <w:pPr>
      <w:keepNext/>
      <w:jc w:val="both"/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02C8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02C87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902C8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02C87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hlavChar">
    <w:name w:val="Záhlaví Char"/>
    <w:basedOn w:val="Standardnpsmoodstavce"/>
    <w:link w:val="Zhlav"/>
    <w:uiPriority w:val="99"/>
    <w:rsid w:val="00902C87"/>
    <w:rPr>
      <w:rFonts w:ascii="roboto" w:eastAsia="Times New Roman" w:hAnsi="roboto" w:cs="Times New Roman"/>
      <w:color w:val="253F63"/>
      <w:sz w:val="24"/>
      <w:szCs w:val="24"/>
      <w:vertAlign w:val="subscript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02C87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patChar">
    <w:name w:val="Zápatí Char"/>
    <w:basedOn w:val="Standardnpsmoodstavce"/>
    <w:link w:val="Zpat"/>
    <w:uiPriority w:val="99"/>
    <w:rsid w:val="00902C87"/>
    <w:rPr>
      <w:rFonts w:ascii="roboto" w:eastAsia="Times New Roman" w:hAnsi="roboto" w:cs="Times New Roman"/>
      <w:color w:val="253F63"/>
      <w:sz w:val="24"/>
      <w:szCs w:val="24"/>
      <w:vertAlign w:val="subscript"/>
      <w:lang w:eastAsia="cs-CZ"/>
    </w:rPr>
  </w:style>
  <w:style w:type="paragraph" w:styleId="Odstavecseseznamem">
    <w:name w:val="List Paragraph"/>
    <w:basedOn w:val="Normln"/>
    <w:uiPriority w:val="34"/>
    <w:qFormat/>
    <w:rsid w:val="00902C87"/>
    <w:pPr>
      <w:ind w:left="720"/>
      <w:contextualSpacing/>
    </w:pPr>
  </w:style>
  <w:style w:type="paragraph" w:styleId="Nzev">
    <w:name w:val="Title"/>
    <w:basedOn w:val="Normln"/>
    <w:link w:val="NzevChar"/>
    <w:uiPriority w:val="10"/>
    <w:qFormat/>
    <w:rsid w:val="00902C87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10"/>
    <w:rsid w:val="00902C87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902C87"/>
  </w:style>
  <w:style w:type="paragraph" w:styleId="Zkladntext2">
    <w:name w:val="Body Text 2"/>
    <w:basedOn w:val="Normln"/>
    <w:link w:val="Zkladntext2Char"/>
    <w:uiPriority w:val="99"/>
    <w:rsid w:val="00902C87"/>
    <w:pPr>
      <w:jc w:val="both"/>
    </w:pPr>
    <w:rPr>
      <w:i/>
      <w:i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902C8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customStyle="1" w:styleId="Nadpislnku">
    <w:name w:val="Nadpis článku"/>
    <w:basedOn w:val="Odstavecseseznamem"/>
    <w:uiPriority w:val="1"/>
    <w:qFormat/>
    <w:rsid w:val="00902C87"/>
    <w:pPr>
      <w:numPr>
        <w:numId w:val="5"/>
      </w:numPr>
      <w:spacing w:before="400" w:after="200" w:line="252" w:lineRule="auto"/>
      <w:ind w:left="0"/>
      <w:jc w:val="center"/>
    </w:pPr>
    <w:rPr>
      <w:rFonts w:ascii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902C87"/>
    <w:pPr>
      <w:numPr>
        <w:ilvl w:val="1"/>
      </w:numPr>
      <w:spacing w:before="0"/>
      <w:contextualSpacing w:val="0"/>
      <w:jc w:val="both"/>
    </w:pPr>
    <w:rPr>
      <w:rFonts w:ascii="Times New Roman" w:hAnsi="Times New Roman"/>
      <w:b w:val="0"/>
    </w:rPr>
  </w:style>
  <w:style w:type="paragraph" w:customStyle="1" w:styleId="Default">
    <w:name w:val="Default"/>
    <w:rsid w:val="0053073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2155</Words>
  <Characters>12720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Kvitová</dc:creator>
  <cp:keywords/>
  <dc:description/>
  <cp:lastModifiedBy>Markéta Kvitová</cp:lastModifiedBy>
  <cp:revision>3</cp:revision>
  <dcterms:created xsi:type="dcterms:W3CDTF">2024-02-20T12:56:00Z</dcterms:created>
  <dcterms:modified xsi:type="dcterms:W3CDTF">2024-02-20T12:57:00Z</dcterms:modified>
</cp:coreProperties>
</file>