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4950" w14:textId="222EE3ED" w:rsidR="0077036C" w:rsidRDefault="0077036C">
      <w:pPr>
        <w:framePr w:wrap="none" w:vAnchor="page" w:hAnchor="page" w:x="567" w:y="279"/>
        <w:rPr>
          <w:color w:val="auto"/>
          <w:sz w:val="2"/>
          <w:szCs w:val="2"/>
        </w:rPr>
      </w:pPr>
      <w:r>
        <w:rPr>
          <w:noProof/>
          <w:color w:val="auto"/>
          <w:sz w:val="2"/>
          <w:szCs w:val="2"/>
        </w:rPr>
        <w:drawing>
          <wp:inline distT="0" distB="0" distL="0" distR="0" wp14:anchorId="78468C26" wp14:editId="359EA50E">
            <wp:extent cx="689610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6100" cy="838200"/>
                    </a:xfrm>
                    <a:prstGeom prst="rect">
                      <a:avLst/>
                    </a:prstGeom>
                    <a:noFill/>
                    <a:ln>
                      <a:noFill/>
                    </a:ln>
                  </pic:spPr>
                </pic:pic>
              </a:graphicData>
            </a:graphic>
          </wp:inline>
        </w:drawing>
      </w:r>
    </w:p>
    <w:p w14:paraId="24777980" w14:textId="77777777" w:rsidR="0077036C" w:rsidRDefault="0077036C">
      <w:pPr>
        <w:pStyle w:val="Style5"/>
        <w:framePr w:wrap="none" w:vAnchor="page" w:hAnchor="page" w:x="826" w:y="1834"/>
        <w:shd w:val="clear" w:color="auto" w:fill="auto"/>
      </w:pPr>
      <w:r>
        <w:rPr>
          <w:rStyle w:val="CharStyle6"/>
          <w:color w:val="000000"/>
        </w:rPr>
        <w:t>Níže uvedeného dne, měsíce a roku uzavřely smluvní strany</w:t>
      </w:r>
    </w:p>
    <w:tbl>
      <w:tblPr>
        <w:tblW w:w="0" w:type="auto"/>
        <w:tblLayout w:type="fixed"/>
        <w:tblCellMar>
          <w:left w:w="0" w:type="dxa"/>
          <w:right w:w="0" w:type="dxa"/>
        </w:tblCellMar>
        <w:tblLook w:val="0000" w:firstRow="0" w:lastRow="0" w:firstColumn="0" w:lastColumn="0" w:noHBand="0" w:noVBand="0"/>
      </w:tblPr>
      <w:tblGrid>
        <w:gridCol w:w="2395"/>
        <w:gridCol w:w="8150"/>
      </w:tblGrid>
      <w:tr w:rsidR="00000000" w14:paraId="286698A5" w14:textId="77777777">
        <w:tblPrEx>
          <w:tblCellMar>
            <w:top w:w="0" w:type="dxa"/>
            <w:left w:w="0" w:type="dxa"/>
            <w:bottom w:w="0" w:type="dxa"/>
            <w:right w:w="0" w:type="dxa"/>
          </w:tblCellMar>
        </w:tblPrEx>
        <w:trPr>
          <w:trHeight w:hRule="exact" w:val="547"/>
        </w:trPr>
        <w:tc>
          <w:tcPr>
            <w:tcW w:w="2395" w:type="dxa"/>
            <w:tcBorders>
              <w:top w:val="nil"/>
              <w:left w:val="nil"/>
              <w:bottom w:val="nil"/>
              <w:right w:val="nil"/>
            </w:tcBorders>
            <w:shd w:val="clear" w:color="auto" w:fill="FFFFFF"/>
          </w:tcPr>
          <w:p w14:paraId="167CEBA9" w14:textId="77777777" w:rsidR="0077036C" w:rsidRDefault="0077036C">
            <w:pPr>
              <w:pStyle w:val="Style7"/>
              <w:framePr w:w="10546" w:h="1680" w:wrap="none" w:vAnchor="page" w:hAnchor="page" w:x="826" w:y="2386"/>
              <w:shd w:val="clear" w:color="auto" w:fill="auto"/>
              <w:spacing w:after="0"/>
              <w:rPr>
                <w:sz w:val="16"/>
                <w:szCs w:val="16"/>
              </w:rPr>
            </w:pPr>
            <w:r>
              <w:rPr>
                <w:rStyle w:val="CharStyle8"/>
                <w:color w:val="000000"/>
                <w:sz w:val="16"/>
                <w:szCs w:val="16"/>
              </w:rPr>
              <w:t>Na straně jedné:</w:t>
            </w:r>
          </w:p>
        </w:tc>
        <w:tc>
          <w:tcPr>
            <w:tcW w:w="8150" w:type="dxa"/>
            <w:tcBorders>
              <w:top w:val="nil"/>
              <w:left w:val="nil"/>
              <w:bottom w:val="nil"/>
              <w:right w:val="nil"/>
            </w:tcBorders>
            <w:shd w:val="clear" w:color="auto" w:fill="FFFFFF"/>
            <w:vAlign w:val="bottom"/>
          </w:tcPr>
          <w:p w14:paraId="516962CC" w14:textId="77777777" w:rsidR="0077036C" w:rsidRDefault="0077036C">
            <w:pPr>
              <w:pStyle w:val="Style7"/>
              <w:framePr w:w="10546" w:h="1680" w:wrap="none" w:vAnchor="page" w:hAnchor="page" w:x="826" w:y="2386"/>
              <w:shd w:val="clear" w:color="auto" w:fill="auto"/>
              <w:spacing w:after="0"/>
              <w:ind w:left="1100"/>
              <w:rPr>
                <w:sz w:val="16"/>
                <w:szCs w:val="16"/>
              </w:rPr>
            </w:pPr>
            <w:r>
              <w:rPr>
                <w:rStyle w:val="CharStyle8"/>
                <w:color w:val="000000"/>
                <w:sz w:val="16"/>
                <w:szCs w:val="16"/>
              </w:rPr>
              <w:t>Linde Gas a.s.</w:t>
            </w:r>
          </w:p>
          <w:p w14:paraId="530012FC" w14:textId="77777777" w:rsidR="0077036C" w:rsidRDefault="0077036C">
            <w:pPr>
              <w:pStyle w:val="Style7"/>
              <w:framePr w:w="10546" w:h="1680" w:wrap="none" w:vAnchor="page" w:hAnchor="page" w:x="826" w:y="2386"/>
              <w:shd w:val="clear" w:color="auto" w:fill="auto"/>
              <w:spacing w:after="0"/>
              <w:ind w:left="1100"/>
              <w:rPr>
                <w:sz w:val="16"/>
                <w:szCs w:val="16"/>
              </w:rPr>
            </w:pPr>
            <w:r>
              <w:rPr>
                <w:rStyle w:val="CharStyle8"/>
                <w:color w:val="000000"/>
                <w:sz w:val="16"/>
                <w:szCs w:val="16"/>
              </w:rPr>
              <w:t>U Technoplynu 1324</w:t>
            </w:r>
          </w:p>
          <w:p w14:paraId="44E53672" w14:textId="77777777" w:rsidR="0077036C" w:rsidRDefault="0077036C">
            <w:pPr>
              <w:pStyle w:val="Style7"/>
              <w:framePr w:w="10546" w:h="1680" w:wrap="none" w:vAnchor="page" w:hAnchor="page" w:x="826" w:y="2386"/>
              <w:shd w:val="clear" w:color="auto" w:fill="auto"/>
              <w:spacing w:after="0"/>
              <w:ind w:left="1100"/>
              <w:rPr>
                <w:sz w:val="16"/>
                <w:szCs w:val="16"/>
              </w:rPr>
            </w:pPr>
            <w:r>
              <w:rPr>
                <w:rStyle w:val="CharStyle8"/>
                <w:color w:val="000000"/>
                <w:sz w:val="16"/>
                <w:szCs w:val="16"/>
              </w:rPr>
              <w:t>198 00 Praha 9</w:t>
            </w:r>
          </w:p>
        </w:tc>
      </w:tr>
      <w:tr w:rsidR="00000000" w14:paraId="2C6B64B2" w14:textId="77777777">
        <w:tblPrEx>
          <w:tblCellMar>
            <w:top w:w="0" w:type="dxa"/>
            <w:left w:w="0" w:type="dxa"/>
            <w:bottom w:w="0" w:type="dxa"/>
            <w:right w:w="0" w:type="dxa"/>
          </w:tblCellMar>
        </w:tblPrEx>
        <w:trPr>
          <w:trHeight w:hRule="exact" w:val="370"/>
        </w:trPr>
        <w:tc>
          <w:tcPr>
            <w:tcW w:w="2395" w:type="dxa"/>
            <w:tcBorders>
              <w:top w:val="nil"/>
              <w:left w:val="nil"/>
              <w:bottom w:val="nil"/>
              <w:right w:val="nil"/>
            </w:tcBorders>
            <w:shd w:val="clear" w:color="auto" w:fill="FFFFFF"/>
          </w:tcPr>
          <w:p w14:paraId="02FAB4A2" w14:textId="77777777" w:rsidR="0077036C" w:rsidRDefault="0077036C">
            <w:pPr>
              <w:pStyle w:val="Style7"/>
              <w:framePr w:w="10546" w:h="1680" w:wrap="none" w:vAnchor="page" w:hAnchor="page" w:x="826" w:y="2386"/>
              <w:shd w:val="clear" w:color="auto" w:fill="auto"/>
              <w:spacing w:after="0"/>
              <w:rPr>
                <w:sz w:val="16"/>
                <w:szCs w:val="16"/>
              </w:rPr>
            </w:pPr>
            <w:r>
              <w:rPr>
                <w:rStyle w:val="CharStyle8"/>
                <w:color w:val="000000"/>
                <w:sz w:val="16"/>
                <w:szCs w:val="16"/>
              </w:rPr>
              <w:t>Zastoupená:</w:t>
            </w:r>
          </w:p>
        </w:tc>
        <w:tc>
          <w:tcPr>
            <w:tcW w:w="8150" w:type="dxa"/>
            <w:tcBorders>
              <w:top w:val="nil"/>
              <w:left w:val="nil"/>
              <w:bottom w:val="nil"/>
              <w:right w:val="nil"/>
            </w:tcBorders>
            <w:shd w:val="clear" w:color="auto" w:fill="FFFFFF"/>
            <w:vAlign w:val="bottom"/>
          </w:tcPr>
          <w:p w14:paraId="66F0514A" w14:textId="77777777" w:rsidR="0077036C" w:rsidRDefault="0077036C">
            <w:pPr>
              <w:pStyle w:val="Style7"/>
              <w:framePr w:w="10546" w:h="1680" w:wrap="none" w:vAnchor="page" w:hAnchor="page" w:x="826" w:y="2386"/>
              <w:shd w:val="clear" w:color="auto" w:fill="auto"/>
              <w:spacing w:after="0"/>
              <w:ind w:left="1100"/>
              <w:rPr>
                <w:sz w:val="16"/>
                <w:szCs w:val="16"/>
              </w:rPr>
            </w:pPr>
            <w:r>
              <w:rPr>
                <w:rStyle w:val="CharStyle8"/>
                <w:color w:val="000000"/>
                <w:sz w:val="16"/>
                <w:szCs w:val="16"/>
              </w:rPr>
              <w:t>Janem Kratochvílem – vedoucím prodeje Region Čechy –</w:t>
            </w:r>
            <w:r>
              <w:rPr>
                <w:rStyle w:val="CharStyle8"/>
                <w:color w:val="000000"/>
                <w:sz w:val="16"/>
                <w:szCs w:val="16"/>
              </w:rPr>
              <w:t xml:space="preserve"> sever Radimem Kantorem – obchodním zástupcem region Čechy - sever</w:t>
            </w:r>
          </w:p>
        </w:tc>
      </w:tr>
      <w:tr w:rsidR="00000000" w14:paraId="64C169D3" w14:textId="77777777">
        <w:tblPrEx>
          <w:tblCellMar>
            <w:top w:w="0" w:type="dxa"/>
            <w:left w:w="0" w:type="dxa"/>
            <w:bottom w:w="0" w:type="dxa"/>
            <w:right w:w="0" w:type="dxa"/>
          </w:tblCellMar>
        </w:tblPrEx>
        <w:trPr>
          <w:trHeight w:hRule="exact" w:val="763"/>
        </w:trPr>
        <w:tc>
          <w:tcPr>
            <w:tcW w:w="2395" w:type="dxa"/>
            <w:tcBorders>
              <w:top w:val="nil"/>
              <w:left w:val="nil"/>
              <w:bottom w:val="nil"/>
              <w:right w:val="nil"/>
            </w:tcBorders>
            <w:shd w:val="clear" w:color="auto" w:fill="FFFFFF"/>
          </w:tcPr>
          <w:p w14:paraId="2F02BEDB" w14:textId="77777777" w:rsidR="0077036C" w:rsidRDefault="0077036C">
            <w:pPr>
              <w:pStyle w:val="Style7"/>
              <w:framePr w:w="10546" w:h="1680" w:wrap="none" w:vAnchor="page" w:hAnchor="page" w:x="826" w:y="2386"/>
              <w:shd w:val="clear" w:color="auto" w:fill="auto"/>
              <w:spacing w:after="0"/>
              <w:rPr>
                <w:sz w:val="16"/>
                <w:szCs w:val="16"/>
              </w:rPr>
            </w:pPr>
            <w:r>
              <w:rPr>
                <w:rStyle w:val="CharStyle8"/>
                <w:color w:val="000000"/>
                <w:sz w:val="16"/>
                <w:szCs w:val="16"/>
              </w:rPr>
              <w:t>Bankovní spojení:</w:t>
            </w:r>
          </w:p>
          <w:p w14:paraId="1760A842" w14:textId="77777777" w:rsidR="0077036C" w:rsidRDefault="0077036C">
            <w:pPr>
              <w:pStyle w:val="Style7"/>
              <w:framePr w:w="10546" w:h="1680" w:wrap="none" w:vAnchor="page" w:hAnchor="page" w:x="826" w:y="2386"/>
              <w:shd w:val="clear" w:color="auto" w:fill="auto"/>
              <w:spacing w:after="0"/>
              <w:rPr>
                <w:sz w:val="16"/>
                <w:szCs w:val="16"/>
              </w:rPr>
            </w:pPr>
            <w:r>
              <w:rPr>
                <w:rStyle w:val="CharStyle8"/>
                <w:color w:val="000000"/>
                <w:sz w:val="16"/>
                <w:szCs w:val="16"/>
              </w:rPr>
              <w:t>IČ:</w:t>
            </w:r>
          </w:p>
          <w:p w14:paraId="7223B780" w14:textId="77777777" w:rsidR="0077036C" w:rsidRDefault="0077036C">
            <w:pPr>
              <w:pStyle w:val="Style7"/>
              <w:framePr w:w="10546" w:h="1680" w:wrap="none" w:vAnchor="page" w:hAnchor="page" w:x="826" w:y="2386"/>
              <w:shd w:val="clear" w:color="auto" w:fill="auto"/>
              <w:spacing w:after="0"/>
              <w:rPr>
                <w:sz w:val="16"/>
                <w:szCs w:val="16"/>
              </w:rPr>
            </w:pPr>
            <w:r>
              <w:rPr>
                <w:rStyle w:val="CharStyle8"/>
                <w:color w:val="000000"/>
                <w:sz w:val="16"/>
                <w:szCs w:val="16"/>
              </w:rPr>
              <w:t>DIČ:</w:t>
            </w:r>
          </w:p>
        </w:tc>
        <w:tc>
          <w:tcPr>
            <w:tcW w:w="8150" w:type="dxa"/>
            <w:tcBorders>
              <w:top w:val="nil"/>
              <w:left w:val="nil"/>
              <w:bottom w:val="nil"/>
              <w:right w:val="nil"/>
            </w:tcBorders>
            <w:shd w:val="clear" w:color="auto" w:fill="FFFFFF"/>
            <w:vAlign w:val="bottom"/>
          </w:tcPr>
          <w:p w14:paraId="5F43AD4C" w14:textId="77777777" w:rsidR="0077036C" w:rsidRDefault="0077036C">
            <w:pPr>
              <w:pStyle w:val="Style7"/>
              <w:framePr w:w="10546" w:h="1680" w:wrap="none" w:vAnchor="page" w:hAnchor="page" w:x="826" w:y="2386"/>
              <w:shd w:val="clear" w:color="auto" w:fill="auto"/>
              <w:spacing w:after="0"/>
              <w:ind w:left="1100"/>
              <w:rPr>
                <w:sz w:val="16"/>
                <w:szCs w:val="16"/>
              </w:rPr>
            </w:pPr>
            <w:r>
              <w:rPr>
                <w:rStyle w:val="CharStyle8"/>
                <w:color w:val="000000"/>
                <w:sz w:val="16"/>
                <w:szCs w:val="16"/>
              </w:rPr>
              <w:t>UniCredit Bank Czech Republic and Slovakia, a.s. 00011754 CZ00011754</w:t>
            </w:r>
          </w:p>
          <w:p w14:paraId="425C29EE" w14:textId="77777777" w:rsidR="0077036C" w:rsidRDefault="0077036C">
            <w:pPr>
              <w:pStyle w:val="Style7"/>
              <w:framePr w:w="10546" w:h="1680" w:wrap="none" w:vAnchor="page" w:hAnchor="page" w:x="826" w:y="2386"/>
              <w:shd w:val="clear" w:color="auto" w:fill="auto"/>
              <w:spacing w:after="0"/>
              <w:ind w:left="1100"/>
              <w:rPr>
                <w:sz w:val="16"/>
                <w:szCs w:val="16"/>
              </w:rPr>
            </w:pPr>
            <w:r>
              <w:rPr>
                <w:rStyle w:val="CharStyle8"/>
                <w:color w:val="000000"/>
                <w:sz w:val="16"/>
                <w:szCs w:val="16"/>
              </w:rPr>
              <w:t>Společnost je zapsána u Městského soudu v Praze v Obchodním rejstříku oddíl B, vlož</w:t>
            </w:r>
            <w:r>
              <w:rPr>
                <w:rStyle w:val="CharStyle8"/>
                <w:color w:val="000000"/>
                <w:sz w:val="16"/>
                <w:szCs w:val="16"/>
              </w:rPr>
              <w:t>ka 411</w:t>
            </w:r>
          </w:p>
        </w:tc>
      </w:tr>
    </w:tbl>
    <w:p w14:paraId="6B059FBD" w14:textId="77777777" w:rsidR="0077036C" w:rsidRDefault="0077036C">
      <w:pPr>
        <w:pStyle w:val="Style10"/>
        <w:framePr w:wrap="none" w:vAnchor="page" w:hAnchor="page" w:x="869" w:y="4038"/>
        <w:shd w:val="clear" w:color="auto" w:fill="auto"/>
      </w:pPr>
      <w:r>
        <w:rPr>
          <w:rStyle w:val="CharStyle11"/>
          <w:color w:val="000000"/>
        </w:rPr>
        <w:t>(dále jen Linde)</w:t>
      </w:r>
    </w:p>
    <w:tbl>
      <w:tblPr>
        <w:tblW w:w="0" w:type="auto"/>
        <w:tblLayout w:type="fixed"/>
        <w:tblCellMar>
          <w:left w:w="0" w:type="dxa"/>
          <w:right w:w="0" w:type="dxa"/>
        </w:tblCellMar>
        <w:tblLook w:val="0000" w:firstRow="0" w:lastRow="0" w:firstColumn="0" w:lastColumn="0" w:noHBand="0" w:noVBand="0"/>
      </w:tblPr>
      <w:tblGrid>
        <w:gridCol w:w="2395"/>
        <w:gridCol w:w="8131"/>
      </w:tblGrid>
      <w:tr w:rsidR="00000000" w14:paraId="16D721D9" w14:textId="77777777">
        <w:tblPrEx>
          <w:tblCellMar>
            <w:top w:w="0" w:type="dxa"/>
            <w:left w:w="0" w:type="dxa"/>
            <w:bottom w:w="0" w:type="dxa"/>
            <w:right w:w="0" w:type="dxa"/>
          </w:tblCellMar>
        </w:tblPrEx>
        <w:trPr>
          <w:trHeight w:hRule="exact" w:val="835"/>
        </w:trPr>
        <w:tc>
          <w:tcPr>
            <w:tcW w:w="2395" w:type="dxa"/>
            <w:tcBorders>
              <w:top w:val="nil"/>
              <w:left w:val="nil"/>
              <w:bottom w:val="nil"/>
              <w:right w:val="nil"/>
            </w:tcBorders>
            <w:shd w:val="clear" w:color="auto" w:fill="FFFFFF"/>
          </w:tcPr>
          <w:p w14:paraId="51CDF891" w14:textId="77777777" w:rsidR="0077036C" w:rsidRDefault="0077036C">
            <w:pPr>
              <w:pStyle w:val="Style7"/>
              <w:framePr w:w="10526" w:h="1070" w:wrap="none" w:vAnchor="page" w:hAnchor="page" w:x="826" w:y="4282"/>
              <w:shd w:val="clear" w:color="auto" w:fill="auto"/>
              <w:spacing w:before="120" w:after="0"/>
              <w:rPr>
                <w:sz w:val="16"/>
                <w:szCs w:val="16"/>
              </w:rPr>
            </w:pPr>
            <w:r>
              <w:rPr>
                <w:rStyle w:val="CharStyle8"/>
                <w:color w:val="000000"/>
                <w:sz w:val="16"/>
                <w:szCs w:val="16"/>
              </w:rPr>
              <w:t>Na straně druhé:</w:t>
            </w:r>
          </w:p>
        </w:tc>
        <w:tc>
          <w:tcPr>
            <w:tcW w:w="8131" w:type="dxa"/>
            <w:tcBorders>
              <w:top w:val="nil"/>
              <w:left w:val="nil"/>
              <w:bottom w:val="nil"/>
              <w:right w:val="single" w:sz="4" w:space="0" w:color="auto"/>
            </w:tcBorders>
            <w:shd w:val="clear" w:color="auto" w:fill="FFFFFF"/>
            <w:vAlign w:val="bottom"/>
          </w:tcPr>
          <w:p w14:paraId="65C5A385" w14:textId="77777777" w:rsidR="0077036C" w:rsidRDefault="0077036C">
            <w:pPr>
              <w:pStyle w:val="Style7"/>
              <w:framePr w:w="10526" w:h="1070" w:wrap="none" w:vAnchor="page" w:hAnchor="page" w:x="826" w:y="4282"/>
              <w:shd w:val="clear" w:color="auto" w:fill="auto"/>
              <w:tabs>
                <w:tab w:val="left" w:pos="6122"/>
              </w:tabs>
              <w:spacing w:after="60"/>
              <w:ind w:left="1140"/>
              <w:rPr>
                <w:sz w:val="16"/>
                <w:szCs w:val="16"/>
              </w:rPr>
            </w:pPr>
            <w:r>
              <w:rPr>
                <w:rStyle w:val="CharStyle8"/>
                <w:color w:val="000000"/>
                <w:sz w:val="16"/>
                <w:szCs w:val="16"/>
              </w:rPr>
              <w:t>Ústav chemických procesů AV ČR, v.v.i.</w:t>
            </w:r>
            <w:r>
              <w:rPr>
                <w:rStyle w:val="CharStyle8"/>
                <w:color w:val="000000"/>
                <w:sz w:val="16"/>
                <w:szCs w:val="16"/>
              </w:rPr>
              <w:tab/>
            </w:r>
            <w:r>
              <w:rPr>
                <w:rStyle w:val="CharStyle8"/>
                <w:b/>
                <w:bCs/>
                <w:color w:val="000000"/>
                <w:sz w:val="16"/>
                <w:szCs w:val="16"/>
              </w:rPr>
              <w:t>Číslo zákazníka:</w:t>
            </w:r>
          </w:p>
          <w:p w14:paraId="6A1F2524" w14:textId="77777777" w:rsidR="0077036C" w:rsidRDefault="0077036C">
            <w:pPr>
              <w:pStyle w:val="Style7"/>
              <w:framePr w:w="10526" w:h="1070" w:wrap="none" w:vAnchor="page" w:hAnchor="page" w:x="826" w:y="4282"/>
              <w:shd w:val="clear" w:color="auto" w:fill="auto"/>
              <w:tabs>
                <w:tab w:val="left" w:pos="6338"/>
              </w:tabs>
              <w:spacing w:after="60"/>
              <w:ind w:left="1140"/>
              <w:rPr>
                <w:sz w:val="16"/>
                <w:szCs w:val="16"/>
              </w:rPr>
            </w:pPr>
            <w:r>
              <w:rPr>
                <w:rStyle w:val="CharStyle8"/>
                <w:color w:val="000000"/>
                <w:sz w:val="16"/>
                <w:szCs w:val="16"/>
              </w:rPr>
              <w:t>Rozvojová 135</w:t>
            </w:r>
            <w:r>
              <w:rPr>
                <w:rStyle w:val="CharStyle8"/>
                <w:color w:val="000000"/>
                <w:sz w:val="16"/>
                <w:szCs w:val="16"/>
              </w:rPr>
              <w:tab/>
            </w:r>
            <w:r>
              <w:rPr>
                <w:rStyle w:val="CharStyle8"/>
                <w:b/>
                <w:bCs/>
                <w:color w:val="000000"/>
                <w:sz w:val="16"/>
                <w:szCs w:val="16"/>
              </w:rPr>
              <w:t>511001320</w:t>
            </w:r>
          </w:p>
          <w:p w14:paraId="47E0D1A2" w14:textId="77777777" w:rsidR="0077036C" w:rsidRDefault="0077036C">
            <w:pPr>
              <w:pStyle w:val="Style7"/>
              <w:framePr w:w="10526" w:h="1070" w:wrap="none" w:vAnchor="page" w:hAnchor="page" w:x="826" w:y="4282"/>
              <w:shd w:val="clear" w:color="auto" w:fill="auto"/>
              <w:spacing w:after="60"/>
              <w:ind w:left="1140"/>
              <w:rPr>
                <w:sz w:val="16"/>
                <w:szCs w:val="16"/>
              </w:rPr>
            </w:pPr>
            <w:r>
              <w:rPr>
                <w:rStyle w:val="CharStyle8"/>
                <w:color w:val="000000"/>
                <w:sz w:val="16"/>
                <w:szCs w:val="16"/>
              </w:rPr>
              <w:t>165 02 Praha 6</w:t>
            </w:r>
          </w:p>
        </w:tc>
      </w:tr>
      <w:tr w:rsidR="00000000" w14:paraId="57260E9A" w14:textId="77777777">
        <w:tblPrEx>
          <w:tblCellMar>
            <w:top w:w="0" w:type="dxa"/>
            <w:left w:w="0" w:type="dxa"/>
            <w:bottom w:w="0" w:type="dxa"/>
            <w:right w:w="0" w:type="dxa"/>
          </w:tblCellMar>
        </w:tblPrEx>
        <w:trPr>
          <w:trHeight w:hRule="exact" w:val="235"/>
        </w:trPr>
        <w:tc>
          <w:tcPr>
            <w:tcW w:w="2395" w:type="dxa"/>
            <w:tcBorders>
              <w:top w:val="nil"/>
              <w:left w:val="nil"/>
              <w:bottom w:val="nil"/>
              <w:right w:val="nil"/>
            </w:tcBorders>
            <w:shd w:val="clear" w:color="auto" w:fill="FFFFFF"/>
            <w:vAlign w:val="bottom"/>
          </w:tcPr>
          <w:p w14:paraId="563A4E2F" w14:textId="77777777" w:rsidR="0077036C" w:rsidRDefault="0077036C">
            <w:pPr>
              <w:pStyle w:val="Style7"/>
              <w:framePr w:w="10526" w:h="1070" w:wrap="none" w:vAnchor="page" w:hAnchor="page" w:x="826" w:y="4282"/>
              <w:shd w:val="clear" w:color="auto" w:fill="auto"/>
              <w:spacing w:after="0"/>
              <w:rPr>
                <w:sz w:val="16"/>
                <w:szCs w:val="16"/>
              </w:rPr>
            </w:pPr>
            <w:r>
              <w:rPr>
                <w:rStyle w:val="CharStyle8"/>
                <w:color w:val="000000"/>
                <w:sz w:val="16"/>
                <w:szCs w:val="16"/>
              </w:rPr>
              <w:t>Zastoupená:</w:t>
            </w:r>
          </w:p>
        </w:tc>
        <w:tc>
          <w:tcPr>
            <w:tcW w:w="8131" w:type="dxa"/>
            <w:tcBorders>
              <w:top w:val="nil"/>
              <w:left w:val="nil"/>
              <w:bottom w:val="nil"/>
              <w:right w:val="nil"/>
            </w:tcBorders>
            <w:shd w:val="clear" w:color="auto" w:fill="FFFFFF"/>
            <w:vAlign w:val="bottom"/>
          </w:tcPr>
          <w:p w14:paraId="15D63E70" w14:textId="77777777" w:rsidR="0077036C" w:rsidRDefault="0077036C">
            <w:pPr>
              <w:pStyle w:val="Style7"/>
              <w:framePr w:w="10526" w:h="1070" w:wrap="none" w:vAnchor="page" w:hAnchor="page" w:x="826" w:y="4282"/>
              <w:shd w:val="clear" w:color="auto" w:fill="auto"/>
              <w:spacing w:after="0"/>
              <w:ind w:left="1140"/>
              <w:rPr>
                <w:sz w:val="16"/>
                <w:szCs w:val="16"/>
              </w:rPr>
            </w:pPr>
            <w:r>
              <w:rPr>
                <w:rStyle w:val="CharStyle8"/>
                <w:color w:val="000000"/>
                <w:sz w:val="16"/>
                <w:szCs w:val="16"/>
              </w:rPr>
              <w:t>ing. Michal Šyc, Ph.D.</w:t>
            </w:r>
          </w:p>
        </w:tc>
      </w:tr>
    </w:tbl>
    <w:p w14:paraId="6A0B0176" w14:textId="77777777" w:rsidR="0077036C" w:rsidRDefault="0077036C">
      <w:pPr>
        <w:pStyle w:val="Style13"/>
        <w:framePr w:w="374" w:h="437" w:hRule="exact" w:wrap="none" w:vAnchor="page" w:hAnchor="page" w:x="826" w:y="5814"/>
        <w:shd w:val="clear" w:color="auto" w:fill="auto"/>
        <w:spacing w:after="40"/>
      </w:pPr>
      <w:r>
        <w:rPr>
          <w:rStyle w:val="CharStyle14"/>
          <w:color w:val="000000"/>
        </w:rPr>
        <w:t>IČ:</w:t>
      </w:r>
    </w:p>
    <w:p w14:paraId="4343EBB3" w14:textId="77777777" w:rsidR="0077036C" w:rsidRDefault="0077036C">
      <w:pPr>
        <w:pStyle w:val="Style13"/>
        <w:framePr w:w="374" w:h="437" w:hRule="exact" w:wrap="none" w:vAnchor="page" w:hAnchor="page" w:x="826" w:y="5814"/>
        <w:shd w:val="clear" w:color="auto" w:fill="auto"/>
        <w:spacing w:after="0"/>
      </w:pPr>
      <w:r>
        <w:rPr>
          <w:rStyle w:val="CharStyle14"/>
          <w:color w:val="000000"/>
        </w:rPr>
        <w:t>DIČ:</w:t>
      </w:r>
    </w:p>
    <w:p w14:paraId="1FB61815" w14:textId="77777777" w:rsidR="0077036C" w:rsidRDefault="0077036C">
      <w:pPr>
        <w:pStyle w:val="Style13"/>
        <w:framePr w:wrap="none" w:vAnchor="page" w:hAnchor="page" w:x="826" w:y="6452"/>
        <w:shd w:val="clear" w:color="auto" w:fill="auto"/>
        <w:spacing w:after="0"/>
      </w:pPr>
      <w:r>
        <w:rPr>
          <w:rStyle w:val="CharStyle14"/>
          <w:color w:val="000000"/>
        </w:rPr>
        <w:t>(dále jen zákazník)</w:t>
      </w:r>
    </w:p>
    <w:p w14:paraId="27C6A03E" w14:textId="77777777" w:rsidR="0077036C" w:rsidRDefault="0077036C">
      <w:pPr>
        <w:pStyle w:val="Style13"/>
        <w:framePr w:w="1776" w:h="667" w:hRule="exact" w:wrap="none" w:vAnchor="page" w:hAnchor="page" w:x="4344" w:y="5814"/>
        <w:shd w:val="clear" w:color="auto" w:fill="auto"/>
        <w:spacing w:after="40"/>
      </w:pPr>
      <w:r>
        <w:rPr>
          <w:rStyle w:val="CharStyle14"/>
          <w:color w:val="000000"/>
        </w:rPr>
        <w:t>67985858</w:t>
      </w:r>
    </w:p>
    <w:p w14:paraId="09FE305C" w14:textId="77777777" w:rsidR="0077036C" w:rsidRDefault="0077036C">
      <w:pPr>
        <w:pStyle w:val="Style13"/>
        <w:framePr w:w="1776" w:h="667" w:hRule="exact" w:wrap="none" w:vAnchor="page" w:hAnchor="page" w:x="4344" w:y="5814"/>
        <w:shd w:val="clear" w:color="auto" w:fill="auto"/>
        <w:spacing w:after="40"/>
      </w:pPr>
      <w:r>
        <w:rPr>
          <w:rStyle w:val="CharStyle14"/>
          <w:color w:val="000000"/>
        </w:rPr>
        <w:t>CZ67985858</w:t>
      </w:r>
    </w:p>
    <w:p w14:paraId="7791F7FC" w14:textId="77777777" w:rsidR="0077036C" w:rsidRDefault="0077036C">
      <w:pPr>
        <w:pStyle w:val="Style13"/>
        <w:framePr w:w="1776" w:h="667" w:hRule="exact" w:wrap="none" w:vAnchor="page" w:hAnchor="page" w:x="4344" w:y="5814"/>
        <w:shd w:val="clear" w:color="auto" w:fill="auto"/>
        <w:spacing w:after="0"/>
      </w:pPr>
      <w:r>
        <w:rPr>
          <w:rStyle w:val="CharStyle14"/>
          <w:color w:val="000000"/>
        </w:rPr>
        <w:t>Instituce je zapsána v</w:t>
      </w:r>
    </w:p>
    <w:p w14:paraId="35E37216" w14:textId="77777777" w:rsidR="0077036C" w:rsidRDefault="0077036C">
      <w:pPr>
        <w:pStyle w:val="Style13"/>
        <w:framePr w:w="2400" w:h="394" w:hRule="exact" w:wrap="none" w:vAnchor="page" w:hAnchor="page" w:x="6168" w:y="6270"/>
        <w:shd w:val="clear" w:color="auto" w:fill="auto"/>
        <w:spacing w:after="0"/>
      </w:pPr>
      <w:r>
        <w:rPr>
          <w:rStyle w:val="CharStyle14"/>
          <w:color w:val="000000"/>
        </w:rPr>
        <w:t>rejstříku veřejných výzkumných institucí MŠMT</w:t>
      </w:r>
    </w:p>
    <w:p w14:paraId="719C936D" w14:textId="77777777" w:rsidR="0077036C" w:rsidRDefault="0077036C">
      <w:pPr>
        <w:pStyle w:val="Style13"/>
        <w:framePr w:w="10546" w:h="4469" w:hRule="exact" w:wrap="none" w:vAnchor="page" w:hAnchor="page" w:x="826" w:y="7105"/>
        <w:shd w:val="clear" w:color="auto" w:fill="auto"/>
        <w:spacing w:after="0"/>
        <w:jc w:val="center"/>
      </w:pPr>
      <w:r>
        <w:rPr>
          <w:rStyle w:val="CharStyle14"/>
          <w:color w:val="000000"/>
        </w:rPr>
        <w:t>tuto</w:t>
      </w:r>
    </w:p>
    <w:p w14:paraId="1ED0A9D8" w14:textId="77777777" w:rsidR="0077036C" w:rsidRDefault="0077036C">
      <w:pPr>
        <w:pStyle w:val="Style13"/>
        <w:framePr w:w="10546" w:h="4469" w:hRule="exact" w:wrap="none" w:vAnchor="page" w:hAnchor="page" w:x="826" w:y="7105"/>
        <w:shd w:val="clear" w:color="auto" w:fill="auto"/>
        <w:spacing w:after="0"/>
        <w:jc w:val="center"/>
      </w:pPr>
      <w:r>
        <w:rPr>
          <w:rStyle w:val="CharStyle14"/>
          <w:b/>
          <w:bCs/>
          <w:color w:val="000000"/>
        </w:rPr>
        <w:t>Smlouvu o dlouhodobém pronájmu lahví na stlačené plyny</w:t>
      </w:r>
    </w:p>
    <w:p w14:paraId="46109704" w14:textId="77777777" w:rsidR="0077036C" w:rsidRDefault="0077036C">
      <w:pPr>
        <w:pStyle w:val="Style13"/>
        <w:framePr w:w="10546" w:h="4469" w:hRule="exact" w:wrap="none" w:vAnchor="page" w:hAnchor="page" w:x="826" w:y="7105"/>
        <w:shd w:val="clear" w:color="auto" w:fill="auto"/>
        <w:jc w:val="center"/>
      </w:pPr>
      <w:r>
        <w:rPr>
          <w:rStyle w:val="CharStyle14"/>
          <w:b/>
          <w:bCs/>
          <w:color w:val="000000"/>
        </w:rPr>
        <w:t>Číslo: 363796114</w:t>
      </w:r>
    </w:p>
    <w:p w14:paraId="057E3C3D" w14:textId="77777777" w:rsidR="0077036C" w:rsidRDefault="0077036C">
      <w:pPr>
        <w:pStyle w:val="Style13"/>
        <w:framePr w:w="10546" w:h="4469" w:hRule="exact" w:wrap="none" w:vAnchor="page" w:hAnchor="page" w:x="826" w:y="7105"/>
        <w:numPr>
          <w:ilvl w:val="0"/>
          <w:numId w:val="1"/>
        </w:numPr>
        <w:shd w:val="clear" w:color="auto" w:fill="auto"/>
        <w:tabs>
          <w:tab w:val="left" w:pos="360"/>
        </w:tabs>
        <w:spacing w:after="0"/>
        <w:jc w:val="both"/>
      </w:pPr>
      <w:bookmarkStart w:id="0" w:name="bookmark0"/>
      <w:bookmarkEnd w:id="0"/>
      <w:r>
        <w:rPr>
          <w:rStyle w:val="CharStyle14"/>
          <w:color w:val="000000"/>
        </w:rPr>
        <w:t>Zákazník získává jednorázovým zaplacením dlouhodobého nájmu 213.550,- Kč</w:t>
      </w:r>
      <w:r>
        <w:rPr>
          <w:rStyle w:val="CharStyle14"/>
          <w:color w:val="000000"/>
        </w:rPr>
        <w:t xml:space="preserve"> + DPH právo používat lahve na stlačené plyny Linde Gas</w:t>
      </w:r>
    </w:p>
    <w:p w14:paraId="56D9A416" w14:textId="77777777" w:rsidR="0077036C" w:rsidRDefault="0077036C">
      <w:pPr>
        <w:pStyle w:val="Style13"/>
        <w:framePr w:w="10546" w:h="4469" w:hRule="exact" w:wrap="none" w:vAnchor="page" w:hAnchor="page" w:x="826" w:y="7105"/>
        <w:shd w:val="clear" w:color="auto" w:fill="auto"/>
        <w:ind w:firstLine="380"/>
        <w:jc w:val="both"/>
      </w:pPr>
      <w:r>
        <w:rPr>
          <w:rStyle w:val="CharStyle14"/>
          <w:color w:val="000000"/>
        </w:rPr>
        <w:t>a.s. (dále jen Linde) v počtu a po dobu uvedenou v příloze číslo 1 této smlouvy.</w:t>
      </w:r>
    </w:p>
    <w:p w14:paraId="7678B51C" w14:textId="77777777" w:rsidR="0077036C" w:rsidRDefault="0077036C">
      <w:pPr>
        <w:pStyle w:val="Style13"/>
        <w:framePr w:w="10546" w:h="4469" w:hRule="exact" w:wrap="none" w:vAnchor="page" w:hAnchor="page" w:x="826" w:y="7105"/>
        <w:numPr>
          <w:ilvl w:val="0"/>
          <w:numId w:val="1"/>
        </w:numPr>
        <w:shd w:val="clear" w:color="auto" w:fill="auto"/>
        <w:tabs>
          <w:tab w:val="left" w:pos="360"/>
        </w:tabs>
        <w:jc w:val="both"/>
      </w:pPr>
      <w:bookmarkStart w:id="1" w:name="bookmark1"/>
      <w:bookmarkEnd w:id="1"/>
      <w:r>
        <w:rPr>
          <w:rStyle w:val="CharStyle14"/>
          <w:color w:val="000000"/>
        </w:rPr>
        <w:t>Nájemné je zákazníkem hrazeno v den splatnosti uvedeném na účetním dokladu předem na celou dobu pronájmu.</w:t>
      </w:r>
    </w:p>
    <w:p w14:paraId="0FC8DA34" w14:textId="77777777" w:rsidR="0077036C" w:rsidRDefault="0077036C">
      <w:pPr>
        <w:pStyle w:val="Style13"/>
        <w:framePr w:w="10546" w:h="4469" w:hRule="exact" w:wrap="none" w:vAnchor="page" w:hAnchor="page" w:x="826" w:y="7105"/>
        <w:numPr>
          <w:ilvl w:val="0"/>
          <w:numId w:val="1"/>
        </w:numPr>
        <w:shd w:val="clear" w:color="auto" w:fill="auto"/>
        <w:tabs>
          <w:tab w:val="left" w:pos="360"/>
        </w:tabs>
        <w:ind w:left="380" w:hanging="380"/>
        <w:jc w:val="both"/>
      </w:pPr>
      <w:bookmarkStart w:id="2" w:name="bookmark2"/>
      <w:bookmarkEnd w:id="2"/>
      <w:r>
        <w:rPr>
          <w:rStyle w:val="CharStyle14"/>
          <w:color w:val="000000"/>
        </w:rPr>
        <w:t>Lahve a distribuční prostředky na stlačené plyny poskytnuté k používání mohou být použity jen k odběru plynů od Linde, popřípadě od dodavatele pověřeného společností Linde.</w:t>
      </w:r>
    </w:p>
    <w:p w14:paraId="2767A714" w14:textId="77777777" w:rsidR="0077036C" w:rsidRDefault="0077036C">
      <w:pPr>
        <w:pStyle w:val="Style13"/>
        <w:framePr w:w="10546" w:h="4469" w:hRule="exact" w:wrap="none" w:vAnchor="page" w:hAnchor="page" w:x="826" w:y="7105"/>
        <w:numPr>
          <w:ilvl w:val="0"/>
          <w:numId w:val="1"/>
        </w:numPr>
        <w:shd w:val="clear" w:color="auto" w:fill="auto"/>
        <w:tabs>
          <w:tab w:val="left" w:pos="360"/>
        </w:tabs>
        <w:spacing w:after="0"/>
        <w:jc w:val="both"/>
      </w:pPr>
      <w:bookmarkStart w:id="3" w:name="bookmark3"/>
      <w:bookmarkEnd w:id="3"/>
      <w:r>
        <w:rPr>
          <w:rStyle w:val="CharStyle14"/>
          <w:color w:val="000000"/>
        </w:rPr>
        <w:t>Ná</w:t>
      </w:r>
      <w:r>
        <w:rPr>
          <w:rStyle w:val="CharStyle14"/>
          <w:color w:val="000000"/>
        </w:rPr>
        <w:t>klady na obsluhu, údržbu, předepsané tlakové zkoušky a náklady spojené s běžným opotřebením nese Linde.</w:t>
      </w:r>
    </w:p>
    <w:p w14:paraId="4E8167DB" w14:textId="77777777" w:rsidR="0077036C" w:rsidRDefault="0077036C">
      <w:pPr>
        <w:pStyle w:val="Style13"/>
        <w:framePr w:w="10546" w:h="4469" w:hRule="exact" w:wrap="none" w:vAnchor="page" w:hAnchor="page" w:x="826" w:y="7105"/>
        <w:shd w:val="clear" w:color="auto" w:fill="auto"/>
        <w:ind w:firstLine="380"/>
        <w:jc w:val="both"/>
      </w:pPr>
      <w:r>
        <w:rPr>
          <w:rStyle w:val="CharStyle14"/>
          <w:color w:val="000000"/>
        </w:rPr>
        <w:t>Za zcizení, ztrátu, poškození nebo zničení přenechaných lahví a distribučních prostředků na stlačené plyny odpovídá zákazník.</w:t>
      </w:r>
    </w:p>
    <w:p w14:paraId="557A223C" w14:textId="77777777" w:rsidR="0077036C" w:rsidRDefault="0077036C">
      <w:pPr>
        <w:pStyle w:val="Style13"/>
        <w:framePr w:w="10546" w:h="4469" w:hRule="exact" w:wrap="none" w:vAnchor="page" w:hAnchor="page" w:x="826" w:y="7105"/>
        <w:numPr>
          <w:ilvl w:val="0"/>
          <w:numId w:val="1"/>
        </w:numPr>
        <w:shd w:val="clear" w:color="auto" w:fill="auto"/>
        <w:tabs>
          <w:tab w:val="left" w:pos="360"/>
        </w:tabs>
        <w:ind w:left="380" w:hanging="380"/>
      </w:pPr>
      <w:bookmarkStart w:id="4" w:name="bookmark4"/>
      <w:bookmarkEnd w:id="4"/>
      <w:r>
        <w:rPr>
          <w:rStyle w:val="CharStyle14"/>
          <w:color w:val="000000"/>
        </w:rPr>
        <w:t>Po skončení smlouvy (nebude-li uzavřena smlouva nová) bude účtováno nájemné a dodatkové nájemné podle právě platných sazeb,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smlouvy.</w:t>
      </w:r>
    </w:p>
    <w:p w14:paraId="4980444B" w14:textId="77777777" w:rsidR="0077036C" w:rsidRDefault="0077036C">
      <w:pPr>
        <w:pStyle w:val="Style13"/>
        <w:framePr w:w="10546" w:h="4469" w:hRule="exact" w:wrap="none" w:vAnchor="page" w:hAnchor="page" w:x="826" w:y="7105"/>
        <w:numPr>
          <w:ilvl w:val="0"/>
          <w:numId w:val="1"/>
        </w:numPr>
        <w:shd w:val="clear" w:color="auto" w:fill="auto"/>
        <w:tabs>
          <w:tab w:val="left" w:pos="360"/>
        </w:tabs>
        <w:ind w:left="380" w:hanging="380"/>
      </w:pPr>
      <w:bookmarkStart w:id="5" w:name="bookmark5"/>
      <w:bookmarkEnd w:id="5"/>
      <w:r>
        <w:rPr>
          <w:rStyle w:val="CharStyle14"/>
          <w:color w:val="000000"/>
        </w:rPr>
        <w:t>V případě ukončení výše uvedené smlouvy mezi Linde a zákazníkem během doby, za kterou je uhrazeno dlouhodobé nájemné, Linde není povinna uhradit zákazníkovi jakoukoliv částku ze zaplaceného dlouhodobého pronájmu.</w:t>
      </w:r>
    </w:p>
    <w:p w14:paraId="58C8CBAF" w14:textId="77777777" w:rsidR="0077036C" w:rsidRDefault="0077036C">
      <w:pPr>
        <w:pStyle w:val="Style13"/>
        <w:framePr w:w="10546" w:h="4469" w:hRule="exact" w:wrap="none" w:vAnchor="page" w:hAnchor="page" w:x="826" w:y="7105"/>
        <w:numPr>
          <w:ilvl w:val="0"/>
          <w:numId w:val="1"/>
        </w:numPr>
        <w:shd w:val="clear" w:color="auto" w:fill="auto"/>
        <w:tabs>
          <w:tab w:val="left" w:pos="360"/>
        </w:tabs>
        <w:spacing w:after="0"/>
        <w:ind w:left="380" w:hanging="380"/>
      </w:pPr>
      <w:bookmarkStart w:id="6" w:name="bookmark6"/>
      <w:bookmarkEnd w:id="6"/>
      <w:r>
        <w:rPr>
          <w:rStyle w:val="CharStyle14"/>
          <w:color w:val="000000"/>
        </w:rPr>
        <w:t>Součástí této smlouvy jsou na druhé straně uvedené „Všeobecné obchodní podmínky společnosti Linde Gas a.s. pro dodávky kapalných plynů, plynů v lahvích, paletách, pevných svazcích, kontejnerech a trajlerech a ostatních produktů a služeb“.</w:t>
      </w:r>
    </w:p>
    <w:p w14:paraId="2A3ADBA2" w14:textId="77777777" w:rsidR="0077036C" w:rsidRDefault="0077036C">
      <w:pPr>
        <w:pStyle w:val="Style13"/>
        <w:framePr w:wrap="none" w:vAnchor="page" w:hAnchor="page" w:x="826" w:y="12279"/>
        <w:shd w:val="clear" w:color="auto" w:fill="auto"/>
        <w:spacing w:after="0"/>
        <w:jc w:val="both"/>
      </w:pPr>
      <w:r>
        <w:rPr>
          <w:rStyle w:val="CharStyle14"/>
          <w:color w:val="000000"/>
        </w:rPr>
        <w:t>V Praze dne 13.2.2024</w:t>
      </w:r>
    </w:p>
    <w:p w14:paraId="2F088E46" w14:textId="77777777" w:rsidR="0077036C" w:rsidRDefault="0077036C">
      <w:pPr>
        <w:pStyle w:val="Style13"/>
        <w:framePr w:w="10546" w:h="394" w:hRule="exact" w:wrap="none" w:vAnchor="page" w:hAnchor="page" w:x="826" w:y="14122"/>
        <w:shd w:val="clear" w:color="auto" w:fill="auto"/>
        <w:spacing w:after="0"/>
        <w:ind w:left="1593" w:right="7133"/>
        <w:jc w:val="center"/>
      </w:pPr>
      <w:r>
        <w:rPr>
          <w:rStyle w:val="CharStyle14"/>
          <w:color w:val="000000"/>
        </w:rPr>
        <w:t>za Linde Gas a.s.</w:t>
      </w:r>
      <w:r>
        <w:rPr>
          <w:rStyle w:val="CharStyle14"/>
          <w:color w:val="000000"/>
        </w:rPr>
        <w:br/>
        <w:t>(jméno / podpis / razítko)</w:t>
      </w:r>
    </w:p>
    <w:p w14:paraId="7646E4A6" w14:textId="77777777" w:rsidR="0077036C" w:rsidRDefault="0077036C">
      <w:pPr>
        <w:pStyle w:val="Style13"/>
        <w:framePr w:w="1819" w:h="394" w:hRule="exact" w:wrap="none" w:vAnchor="page" w:hAnchor="page" w:x="7594" w:y="14122"/>
        <w:shd w:val="clear" w:color="auto" w:fill="auto"/>
        <w:spacing w:after="0"/>
        <w:jc w:val="center"/>
      </w:pPr>
      <w:r>
        <w:rPr>
          <w:rStyle w:val="CharStyle14"/>
          <w:color w:val="000000"/>
        </w:rPr>
        <w:t>za zákazníka</w:t>
      </w:r>
      <w:r>
        <w:rPr>
          <w:rStyle w:val="CharStyle14"/>
          <w:color w:val="000000"/>
        </w:rPr>
        <w:br/>
        <w:t>(jméno / podpis / razítko)</w:t>
      </w:r>
    </w:p>
    <w:p w14:paraId="18BEB09D" w14:textId="77777777" w:rsidR="0077036C" w:rsidRDefault="0077036C">
      <w:pPr>
        <w:pStyle w:val="Style16"/>
        <w:framePr w:wrap="none" w:vAnchor="page" w:hAnchor="page" w:x="826" w:y="15918"/>
        <w:shd w:val="clear" w:color="auto" w:fill="auto"/>
        <w:spacing w:after="0"/>
      </w:pPr>
      <w:r>
        <w:rPr>
          <w:rStyle w:val="CharStyle17"/>
          <w:color w:val="000000"/>
        </w:rPr>
        <w:t>Společnost je zapsaná u Městské</w:t>
      </w:r>
      <w:r>
        <w:rPr>
          <w:rStyle w:val="CharStyle17"/>
          <w:color w:val="000000"/>
        </w:rPr>
        <w:t>ho soudu v Praze v Obchodním rejstříku oddíl B, vložka 411. Společnost je certifikovaná dle ISO 9001, ISO 14001 a je držitelem osvědčení Responsible Care.</w:t>
      </w:r>
    </w:p>
    <w:p w14:paraId="668A37B2" w14:textId="77777777" w:rsidR="0077036C" w:rsidRDefault="0077036C">
      <w:pPr>
        <w:pStyle w:val="Style18"/>
        <w:framePr w:wrap="none" w:vAnchor="page" w:hAnchor="page" w:x="826" w:y="16191"/>
        <w:shd w:val="clear" w:color="auto" w:fill="auto"/>
      </w:pPr>
      <w:r>
        <w:rPr>
          <w:rStyle w:val="CharStyle19"/>
          <w:color w:val="000000"/>
        </w:rPr>
        <w:t>Form 1203/32 2016.12</w:t>
      </w:r>
    </w:p>
    <w:p w14:paraId="5F879E80" w14:textId="77777777" w:rsidR="0077036C" w:rsidRDefault="0077036C">
      <w:pPr>
        <w:spacing w:line="1" w:lineRule="exact"/>
        <w:rPr>
          <w:color w:val="auto"/>
        </w:rPr>
        <w:sectPr w:rsidR="00000000">
          <w:pgSz w:w="11909" w:h="16838"/>
          <w:pgMar w:top="360" w:right="360" w:bottom="360" w:left="360" w:header="0" w:footer="3" w:gutter="0"/>
          <w:cols w:space="720"/>
          <w:noEndnote/>
          <w:docGrid w:linePitch="360"/>
        </w:sectPr>
      </w:pPr>
    </w:p>
    <w:p w14:paraId="70D8717C" w14:textId="77777777" w:rsidR="0077036C" w:rsidRDefault="0077036C">
      <w:pPr>
        <w:pStyle w:val="Style20"/>
        <w:framePr w:w="10546" w:h="394" w:hRule="exact" w:wrap="none" w:vAnchor="page" w:hAnchor="page" w:x="826" w:y="474"/>
        <w:shd w:val="clear" w:color="auto" w:fill="auto"/>
        <w:spacing w:after="0"/>
        <w:jc w:val="both"/>
      </w:pPr>
      <w:bookmarkStart w:id="7" w:name="bookmark7"/>
      <w:bookmarkStart w:id="8" w:name="bookmark8"/>
      <w:bookmarkStart w:id="9" w:name="bookmark9"/>
      <w:r>
        <w:rPr>
          <w:rStyle w:val="CharStyle21"/>
          <w:b/>
          <w:bCs/>
          <w:color w:val="000000"/>
        </w:rPr>
        <w:lastRenderedPageBreak/>
        <w:t>Všeobecné obchodní podmínky společnosti Linde Gas a.s. pro dodávky kapalných plynů, plynů v lahvích, paletách, pevných svazcích, kontejnerech a trajlerech a ostatních produktů a služeb</w:t>
      </w:r>
      <w:bookmarkEnd w:id="7"/>
      <w:bookmarkEnd w:id="8"/>
      <w:bookmarkEnd w:id="9"/>
    </w:p>
    <w:p w14:paraId="3A868BD9" w14:textId="77777777" w:rsidR="0077036C" w:rsidRDefault="0077036C">
      <w:pPr>
        <w:pStyle w:val="Style22"/>
        <w:framePr w:w="10546" w:h="14674" w:hRule="exact" w:wrap="none" w:vAnchor="page" w:hAnchor="page" w:x="826" w:y="973"/>
        <w:numPr>
          <w:ilvl w:val="0"/>
          <w:numId w:val="2"/>
        </w:numPr>
        <w:shd w:val="clear" w:color="auto" w:fill="auto"/>
        <w:tabs>
          <w:tab w:val="left" w:pos="236"/>
        </w:tabs>
        <w:jc w:val="both"/>
      </w:pPr>
      <w:bookmarkStart w:id="10" w:name="bookmark12"/>
      <w:bookmarkStart w:id="11" w:name="bookmark10"/>
      <w:bookmarkStart w:id="12" w:name="bookmark11"/>
      <w:bookmarkStart w:id="13" w:name="bookmark13"/>
      <w:bookmarkEnd w:id="10"/>
      <w:r>
        <w:rPr>
          <w:rStyle w:val="CharStyle23"/>
          <w:b/>
          <w:bCs/>
          <w:color w:val="000000"/>
        </w:rPr>
        <w:t>Platnost</w:t>
      </w:r>
      <w:bookmarkEnd w:id="11"/>
      <w:bookmarkEnd w:id="12"/>
      <w:bookmarkEnd w:id="13"/>
    </w:p>
    <w:p w14:paraId="56AFC997" w14:textId="77777777" w:rsidR="0077036C" w:rsidRDefault="0077036C">
      <w:pPr>
        <w:pStyle w:val="Style16"/>
        <w:framePr w:w="10546" w:h="14674" w:hRule="exact" w:wrap="none" w:vAnchor="page" w:hAnchor="page" w:x="826" w:y="973"/>
        <w:shd w:val="clear" w:color="auto" w:fill="auto"/>
        <w:spacing w:after="0"/>
        <w:jc w:val="both"/>
      </w:pPr>
      <w:r>
        <w:rPr>
          <w:rStyle w:val="CharStyle17"/>
          <w:color w:val="000000"/>
        </w:rPr>
        <w:t>Všechny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zvláštní písemné smlouvy jinak.</w:t>
      </w:r>
    </w:p>
    <w:p w14:paraId="30D583D1" w14:textId="77777777" w:rsidR="0077036C" w:rsidRDefault="0077036C">
      <w:pPr>
        <w:pStyle w:val="Style16"/>
        <w:framePr w:w="10546" w:h="14674" w:hRule="exact" w:wrap="none" w:vAnchor="page" w:hAnchor="page" w:x="826" w:y="973"/>
        <w:shd w:val="clear" w:color="auto" w:fill="auto"/>
        <w:jc w:val="both"/>
      </w:pPr>
      <w:r>
        <w:rPr>
          <w:rStyle w:val="CharStyle17"/>
          <w:color w:val="000000"/>
        </w:rPr>
        <w:t>Pod pojmem lahev se rozumí kovová tlaková nádoba pro přepravu plynů do 90 l vodního objemu. Paletou se rozumí přepravní zařízení, uzpůsobené pro př</w:t>
      </w:r>
      <w:r>
        <w:rPr>
          <w:rStyle w:val="CharStyle17"/>
          <w:color w:val="000000"/>
        </w:rPr>
        <w:t>epravu jednotlivých lahví. 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odběru zboží, a pod nímž je veden ak</w:t>
      </w:r>
      <w:r>
        <w:rPr>
          <w:rStyle w:val="CharStyle17"/>
          <w:color w:val="000000"/>
        </w:rPr>
        <w:t>tuální stav zákazníkem pronajatých lahví, palet, pevných svazků, kontejnerů a jeho závazků.</w:t>
      </w:r>
    </w:p>
    <w:p w14:paraId="0A2EBA3A" w14:textId="77777777" w:rsidR="0077036C" w:rsidRDefault="0077036C">
      <w:pPr>
        <w:pStyle w:val="Style22"/>
        <w:framePr w:w="10546" w:h="14674" w:hRule="exact" w:wrap="none" w:vAnchor="page" w:hAnchor="page" w:x="826" w:y="973"/>
        <w:numPr>
          <w:ilvl w:val="0"/>
          <w:numId w:val="2"/>
        </w:numPr>
        <w:shd w:val="clear" w:color="auto" w:fill="auto"/>
        <w:tabs>
          <w:tab w:val="left" w:pos="236"/>
        </w:tabs>
        <w:jc w:val="both"/>
      </w:pPr>
      <w:bookmarkStart w:id="14" w:name="bookmark16"/>
      <w:bookmarkStart w:id="15" w:name="bookmark14"/>
      <w:bookmarkStart w:id="16" w:name="bookmark15"/>
      <w:bookmarkStart w:id="17" w:name="bookmark17"/>
      <w:bookmarkEnd w:id="14"/>
      <w:r>
        <w:rPr>
          <w:rStyle w:val="CharStyle23"/>
          <w:b/>
          <w:bCs/>
          <w:color w:val="000000"/>
        </w:rPr>
        <w:t>Doprava a zacházení s plyny, lahvemi, paletami, pevnými svazky a kontejnery</w:t>
      </w:r>
      <w:bookmarkEnd w:id="15"/>
      <w:bookmarkEnd w:id="16"/>
      <w:bookmarkEnd w:id="17"/>
    </w:p>
    <w:p w14:paraId="3DAAF99E" w14:textId="77777777" w:rsidR="0077036C" w:rsidRDefault="0077036C">
      <w:pPr>
        <w:pStyle w:val="Style16"/>
        <w:framePr w:w="10546" w:h="14674" w:hRule="exact" w:wrap="none" w:vAnchor="page" w:hAnchor="page" w:x="826" w:y="973"/>
        <w:shd w:val="clear" w:color="auto" w:fill="auto"/>
        <w:jc w:val="both"/>
      </w:pPr>
      <w:r>
        <w:rPr>
          <w:rStyle w:val="CharStyle17"/>
          <w:color w:val="000000"/>
        </w:rPr>
        <w:t>Doprava plynů včetně lahví, palet, pevných svazků a kontejnerů se provádí z rampy prodejního místa Linde Gas a.s. (dále jen „Linde“). Při vlastním vyzvednutí nebo převzetí dopravcem, který je pověřen zákazníkem, je za provozně a přepravně bezpečnou nakládku a vykládku odpovědný zákazník, eventuálně pověřený dopravce. Zákazník musí dodržovat při zacházení a přepravě technických plynů stanovené předpisy, obzvláště ustanovení o bezpečnosti práce a předcházení úrazům, jakož i obecně uznávaná pravidla technolog</w:t>
      </w:r>
      <w:r>
        <w:rPr>
          <w:rStyle w:val="CharStyle17"/>
          <w:color w:val="000000"/>
        </w:rPr>
        <w:t>ie včetně ČSN 078304 v jejich vždy platné podobě.</w:t>
      </w:r>
    </w:p>
    <w:p w14:paraId="6337053A" w14:textId="77777777" w:rsidR="0077036C" w:rsidRDefault="0077036C">
      <w:pPr>
        <w:pStyle w:val="Style22"/>
        <w:framePr w:w="10546" w:h="14674" w:hRule="exact" w:wrap="none" w:vAnchor="page" w:hAnchor="page" w:x="826" w:y="973"/>
        <w:numPr>
          <w:ilvl w:val="0"/>
          <w:numId w:val="2"/>
        </w:numPr>
        <w:shd w:val="clear" w:color="auto" w:fill="auto"/>
        <w:tabs>
          <w:tab w:val="left" w:pos="236"/>
        </w:tabs>
        <w:jc w:val="both"/>
      </w:pPr>
      <w:bookmarkStart w:id="18" w:name="bookmark20"/>
      <w:bookmarkStart w:id="19" w:name="bookmark18"/>
      <w:bookmarkStart w:id="20" w:name="bookmark19"/>
      <w:bookmarkStart w:id="21" w:name="bookmark21"/>
      <w:bookmarkEnd w:id="18"/>
      <w:r>
        <w:rPr>
          <w:rStyle w:val="CharStyle23"/>
          <w:b/>
          <w:bCs/>
          <w:color w:val="000000"/>
        </w:rPr>
        <w:t>Dodávky plynů</w:t>
      </w:r>
      <w:bookmarkEnd w:id="19"/>
      <w:bookmarkEnd w:id="20"/>
      <w:bookmarkEnd w:id="21"/>
    </w:p>
    <w:p w14:paraId="50D07250" w14:textId="77777777" w:rsidR="0077036C" w:rsidRDefault="0077036C">
      <w:pPr>
        <w:pStyle w:val="Style16"/>
        <w:framePr w:w="10546" w:h="14674" w:hRule="exact" w:wrap="none" w:vAnchor="page" w:hAnchor="page" w:x="826" w:y="973"/>
        <w:shd w:val="clear" w:color="auto" w:fill="auto"/>
        <w:spacing w:after="0"/>
        <w:jc w:val="both"/>
      </w:pPr>
      <w:r>
        <w:rPr>
          <w:rStyle w:val="CharStyle17"/>
          <w:color w:val="000000"/>
        </w:rPr>
        <w:t>Zásobovací zařízení Linde, do kterého zákazník odebírá kapalné technické plyny, je standardně vybaveno zařízením na dálkové sledování stavu zásoby technických plynů (služba Accura Liquid Management). Zákazník neobjednává jednotlivé dílčí dodávky, Linde dodává zákazníkovi technické plyny na základě stavu zjištěného prostřednictvím tohoto zařízení tak, aby měl zákazník v zásobovacím zařízení dostatečnou zásobu, s přihlédnutím k jeho obvyklé spotřebě.</w:t>
      </w:r>
    </w:p>
    <w:p w14:paraId="67BE44A5" w14:textId="77777777" w:rsidR="0077036C" w:rsidRDefault="0077036C">
      <w:pPr>
        <w:pStyle w:val="Style16"/>
        <w:framePr w:w="10546" w:h="14674" w:hRule="exact" w:wrap="none" w:vAnchor="page" w:hAnchor="page" w:x="826" w:y="973"/>
        <w:shd w:val="clear" w:color="auto" w:fill="auto"/>
        <w:spacing w:after="0"/>
        <w:jc w:val="both"/>
      </w:pPr>
      <w:r>
        <w:rPr>
          <w:rStyle w:val="CharStyle17"/>
          <w:color w:val="000000"/>
        </w:rPr>
        <w:t>Zákazník je povinen umožnit Linde dodávku technických plynů do zásobovacího zařízení kdykoliv 24 hodin denně a současně zajistit potvrzení převzetí dodávky odpovědným zástupcem.</w:t>
      </w:r>
    </w:p>
    <w:p w14:paraId="095C6921" w14:textId="77777777" w:rsidR="0077036C" w:rsidRDefault="0077036C">
      <w:pPr>
        <w:pStyle w:val="Style16"/>
        <w:framePr w:w="10546" w:h="14674" w:hRule="exact" w:wrap="none" w:vAnchor="page" w:hAnchor="page" w:x="826" w:y="973"/>
        <w:shd w:val="clear" w:color="auto" w:fill="auto"/>
        <w:spacing w:after="0"/>
        <w:jc w:val="both"/>
      </w:pPr>
      <w:r>
        <w:rPr>
          <w:rStyle w:val="CharStyle17"/>
          <w:color w:val="000000"/>
        </w:rPr>
        <w:t>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e-mailem nebo faxem. V případě porušení této povinnosti ze strany zákazníka, Linde negarantuje zajištění dost</w:t>
      </w:r>
      <w:r>
        <w:rPr>
          <w:rStyle w:val="CharStyle17"/>
          <w:color w:val="000000"/>
        </w:rPr>
        <w:t>atečné zásoby kapalných technických plynů v zásobovacím zařízení Linde.</w:t>
      </w:r>
    </w:p>
    <w:p w14:paraId="3939BBC7" w14:textId="77777777" w:rsidR="0077036C" w:rsidRDefault="0077036C">
      <w:pPr>
        <w:pStyle w:val="Style16"/>
        <w:framePr w:w="10546" w:h="14674" w:hRule="exact" w:wrap="none" w:vAnchor="page" w:hAnchor="page" w:x="826" w:y="973"/>
        <w:numPr>
          <w:ilvl w:val="0"/>
          <w:numId w:val="3"/>
        </w:numPr>
        <w:shd w:val="clear" w:color="auto" w:fill="auto"/>
        <w:tabs>
          <w:tab w:val="left" w:pos="217"/>
        </w:tabs>
        <w:spacing w:after="0"/>
        <w:jc w:val="both"/>
      </w:pPr>
      <w:bookmarkStart w:id="22" w:name="bookmark22"/>
      <w:bookmarkEnd w:id="22"/>
      <w:r>
        <w:rPr>
          <w:rStyle w:val="CharStyle17"/>
          <w:color w:val="000000"/>
        </w:rPr>
        <w:t>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cisternách a trajlerech nejméně 3 pracovní dny před dnem dodání, v případě ostatních plynů nejpozději do 11. hodin pracovního dne předcházej</w:t>
      </w:r>
      <w:r>
        <w:rPr>
          <w:rStyle w:val="CharStyle17"/>
          <w:color w:val="000000"/>
        </w:rPr>
        <w:t>ícímu dni dodání. Splnění pozdějších objednávek nemůže Linde v krajních případech, zejména z přepravně kapacitních důvodů, garantovat. V případě dodávky zboží podléhající spotřební dani je zákazník povinen při objednání sdělit účel použití dle zákona o spotřebních daních.</w:t>
      </w:r>
    </w:p>
    <w:p w14:paraId="76E5A23F" w14:textId="77777777" w:rsidR="0077036C" w:rsidRDefault="0077036C">
      <w:pPr>
        <w:pStyle w:val="Style16"/>
        <w:framePr w:w="10546" w:h="14674" w:hRule="exact" w:wrap="none" w:vAnchor="page" w:hAnchor="page" w:x="826" w:y="973"/>
        <w:shd w:val="clear" w:color="auto" w:fill="auto"/>
        <w:jc w:val="both"/>
      </w:pPr>
      <w:r>
        <w:rPr>
          <w:rStyle w:val="CharStyle17"/>
          <w:color w:val="000000"/>
        </w:rPr>
        <w:t>Cena plynů, ostatních produktů a služeb se řídí dle aktuálního ceníku společnosti Linde.</w:t>
      </w:r>
    </w:p>
    <w:p w14:paraId="628E4CBC" w14:textId="77777777" w:rsidR="0077036C" w:rsidRDefault="0077036C">
      <w:pPr>
        <w:pStyle w:val="Style22"/>
        <w:framePr w:w="10546" w:h="14674" w:hRule="exact" w:wrap="none" w:vAnchor="page" w:hAnchor="page" w:x="826" w:y="973"/>
        <w:numPr>
          <w:ilvl w:val="0"/>
          <w:numId w:val="2"/>
        </w:numPr>
        <w:shd w:val="clear" w:color="auto" w:fill="auto"/>
        <w:tabs>
          <w:tab w:val="left" w:pos="236"/>
        </w:tabs>
        <w:jc w:val="both"/>
      </w:pPr>
      <w:bookmarkStart w:id="23" w:name="bookmark25"/>
      <w:bookmarkStart w:id="24" w:name="bookmark23"/>
      <w:bookmarkStart w:id="25" w:name="bookmark24"/>
      <w:bookmarkStart w:id="26" w:name="bookmark26"/>
      <w:bookmarkEnd w:id="23"/>
      <w:r>
        <w:rPr>
          <w:rStyle w:val="CharStyle23"/>
          <w:b/>
          <w:bCs/>
          <w:color w:val="000000"/>
        </w:rPr>
        <w:t>Pronájem lahví, palet, pevných svazků a kontejnerů (dále i „distribuční prostředky“)</w:t>
      </w:r>
      <w:bookmarkEnd w:id="24"/>
      <w:bookmarkEnd w:id="25"/>
      <w:bookmarkEnd w:id="26"/>
    </w:p>
    <w:p w14:paraId="0822C043" w14:textId="77777777" w:rsidR="0077036C" w:rsidRDefault="0077036C">
      <w:pPr>
        <w:pStyle w:val="Style16"/>
        <w:framePr w:w="10546" w:h="14674" w:hRule="exact" w:wrap="none" w:vAnchor="page" w:hAnchor="page" w:x="826" w:y="973"/>
        <w:shd w:val="clear" w:color="auto" w:fill="auto"/>
        <w:spacing w:after="0"/>
        <w:jc w:val="both"/>
      </w:pPr>
      <w:r>
        <w:rPr>
          <w:rStyle w:val="CharStyle17"/>
          <w:color w:val="000000"/>
        </w:rPr>
        <w:t>Za pronajaté distribuční prostředky je zákazník povinen platit nájemné. Podpisem dodacího listu zákazníkem vzniká nájemní vztah. Výše denního nájemného a dodatkového nájemného se řídí podle platných sazeb tak, jak jsou tyto zveřejněny na prodejních místech Linde, která je oprávněna tyto sazby upravovat i v průběhu nájemního vztahu.</w:t>
      </w:r>
    </w:p>
    <w:p w14:paraId="38367666" w14:textId="77777777" w:rsidR="0077036C" w:rsidRDefault="0077036C">
      <w:pPr>
        <w:pStyle w:val="Style16"/>
        <w:framePr w:w="10546" w:h="14674" w:hRule="exact" w:wrap="none" w:vAnchor="page" w:hAnchor="page" w:x="826" w:y="973"/>
        <w:shd w:val="clear" w:color="auto" w:fill="auto"/>
        <w:spacing w:after="0"/>
        <w:jc w:val="both"/>
      </w:pPr>
      <w:r>
        <w:rPr>
          <w:rStyle w:val="CharStyle17"/>
          <w:color w:val="000000"/>
        </w:rPr>
        <w:t>U distribučních prostředků Linde, které má zákazník v pronájmu déle než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nájmu na dobu</w:t>
      </w:r>
      <w:r>
        <w:rPr>
          <w:rStyle w:val="CharStyle17"/>
          <w:color w:val="000000"/>
        </w:rPr>
        <w:t xml:space="preserve">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zákazník převzal.</w:t>
      </w:r>
    </w:p>
    <w:p w14:paraId="1C68F967" w14:textId="77777777" w:rsidR="0077036C" w:rsidRDefault="0077036C">
      <w:pPr>
        <w:pStyle w:val="Style16"/>
        <w:framePr w:w="10546" w:h="14674" w:hRule="exact" w:wrap="none" w:vAnchor="page" w:hAnchor="page" w:x="826" w:y="973"/>
        <w:shd w:val="clear" w:color="auto" w:fill="auto"/>
        <w:spacing w:after="0"/>
      </w:pPr>
      <w:r>
        <w:rPr>
          <w:rStyle w:val="CharStyle17"/>
          <w:color w:val="000000"/>
        </w:rPr>
        <w:t>Zákazník odpovídá za zcizení, ztrátu, odcizení, poš</w:t>
      </w:r>
      <w:r>
        <w:rPr>
          <w:rStyle w:val="CharStyle17"/>
          <w:color w:val="000000"/>
        </w:rPr>
        <w:t>kození, zničení nebo nevrácení jemu pronajatých distribučních prostředků. Přenechání distribučních prostředků třetí osobě není dovoleno. Je zakázáno, aby zákazník měnil na jemu přiděleném čísle zákazníka větší počet distribučních prostředků, než má na tomto čísle od Linde pronajatých.</w:t>
      </w:r>
    </w:p>
    <w:p w14:paraId="0234AFCD" w14:textId="77777777" w:rsidR="0077036C" w:rsidRDefault="0077036C">
      <w:pPr>
        <w:pStyle w:val="Style16"/>
        <w:framePr w:w="10546" w:h="14674" w:hRule="exact" w:wrap="none" w:vAnchor="page" w:hAnchor="page" w:x="826" w:y="973"/>
        <w:shd w:val="clear" w:color="auto" w:fill="auto"/>
        <w:spacing w:after="0"/>
      </w:pPr>
      <w:r>
        <w:rPr>
          <w:rStyle w:val="CharStyle17"/>
          <w:color w:val="000000"/>
        </w:rPr>
        <w:t>Distribuční prostředky může zákazník kdykoli vrátit na své náklady prodejnímu místu Linde v jeho prodejní době. O vrácení musí být zákazníkovi vydáno písemné potvrzení prodejního místa Linde. Správnost vý</w:t>
      </w:r>
      <w:r>
        <w:rPr>
          <w:rStyle w:val="CharStyle17"/>
          <w:color w:val="000000"/>
        </w:rPr>
        <w:t>pisu z konta stavu pronajatých distribučních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14:paraId="3A48F49C" w14:textId="77777777" w:rsidR="0077036C" w:rsidRDefault="0077036C">
      <w:pPr>
        <w:pStyle w:val="Style16"/>
        <w:framePr w:w="10546" w:h="14674" w:hRule="exact" w:wrap="none" w:vAnchor="page" w:hAnchor="page" w:x="826" w:y="973"/>
        <w:shd w:val="clear" w:color="auto" w:fill="auto"/>
        <w:spacing w:after="0"/>
        <w:jc w:val="both"/>
      </w:pPr>
      <w:r>
        <w:rPr>
          <w:rStyle w:val="CharStyle17"/>
          <w:color w:val="000000"/>
        </w:rPr>
        <w:t>Zákazní</w:t>
      </w:r>
      <w:r>
        <w:rPr>
          <w:rStyle w:val="CharStyle17"/>
          <w:color w:val="000000"/>
        </w:rPr>
        <w:t>k je povinen neprodleně oznámit Linde veškeré změny týkající se jeho osoby, které by mohly mít vliv na obchodní vztah mezi ním a Linde, zejména změny jména, firmy, sídla (bydliště), provozovny, či změnu registrace k DPH. Zadržovací právo na pronajaté distribuční prostředky se po dobu trvání nájemní smlouvy vylučuje.</w:t>
      </w:r>
    </w:p>
    <w:p w14:paraId="1BDCD3CD" w14:textId="77777777" w:rsidR="0077036C" w:rsidRDefault="0077036C">
      <w:pPr>
        <w:pStyle w:val="Style16"/>
        <w:framePr w:w="10546" w:h="14674" w:hRule="exact" w:wrap="none" w:vAnchor="page" w:hAnchor="page" w:x="826" w:y="973"/>
        <w:shd w:val="clear" w:color="auto" w:fill="auto"/>
      </w:pPr>
      <w:r>
        <w:rPr>
          <w:rStyle w:val="CharStyle17"/>
          <w:color w:val="000000"/>
        </w:rPr>
        <w:t>Nájemné je splatné a je účtováno nejméně jednou měsíčně.</w:t>
      </w:r>
    </w:p>
    <w:p w14:paraId="01B622C3" w14:textId="77777777" w:rsidR="0077036C" w:rsidRDefault="0077036C">
      <w:pPr>
        <w:pStyle w:val="Style22"/>
        <w:framePr w:w="10546" w:h="14674" w:hRule="exact" w:wrap="none" w:vAnchor="page" w:hAnchor="page" w:x="826" w:y="973"/>
        <w:numPr>
          <w:ilvl w:val="0"/>
          <w:numId w:val="2"/>
        </w:numPr>
        <w:shd w:val="clear" w:color="auto" w:fill="auto"/>
        <w:tabs>
          <w:tab w:val="left" w:pos="236"/>
        </w:tabs>
        <w:jc w:val="both"/>
      </w:pPr>
      <w:bookmarkStart w:id="27" w:name="bookmark29"/>
      <w:bookmarkStart w:id="28" w:name="bookmark27"/>
      <w:bookmarkStart w:id="29" w:name="bookmark28"/>
      <w:bookmarkStart w:id="30" w:name="bookmark30"/>
      <w:bookmarkEnd w:id="27"/>
      <w:r>
        <w:rPr>
          <w:rStyle w:val="CharStyle23"/>
          <w:b/>
          <w:bCs/>
          <w:color w:val="000000"/>
        </w:rPr>
        <w:t>Kauce (finanční jistina za vrácení majetku Linde)</w:t>
      </w:r>
      <w:bookmarkEnd w:id="28"/>
      <w:bookmarkEnd w:id="29"/>
      <w:bookmarkEnd w:id="30"/>
    </w:p>
    <w:p w14:paraId="43604AA9" w14:textId="77777777" w:rsidR="0077036C" w:rsidRDefault="0077036C">
      <w:pPr>
        <w:pStyle w:val="Style16"/>
        <w:framePr w:w="10546" w:h="14674" w:hRule="exact" w:wrap="none" w:vAnchor="page" w:hAnchor="page" w:x="826" w:y="973"/>
        <w:shd w:val="clear" w:color="auto" w:fill="auto"/>
        <w:spacing w:after="0"/>
        <w:jc w:val="both"/>
      </w:pPr>
      <w:r>
        <w:rPr>
          <w:rStyle w:val="CharStyle17"/>
          <w:color w:val="000000"/>
        </w:rPr>
        <w:t>Linde je oprávněna požadovat a zákazník je povinen platit za distribuční prostředky pronajaté zákazníkovi nezúročitelnou kauci až do výše pořizovací ceny distribučního prostředku. Vrácení kauce se provede po odevzdání distribučních prostředků prodejnímu místu Linde, po zápočtu nákladů vzniklých Linde za náhradní opatření, odstranění škod nebo nečistot a dalších závazků.</w:t>
      </w:r>
    </w:p>
    <w:p w14:paraId="601D1B99" w14:textId="77777777" w:rsidR="0077036C" w:rsidRDefault="0077036C">
      <w:pPr>
        <w:pStyle w:val="Style16"/>
        <w:framePr w:w="10546" w:h="14674" w:hRule="exact" w:wrap="none" w:vAnchor="page" w:hAnchor="page" w:x="826" w:y="973"/>
        <w:shd w:val="clear" w:color="auto" w:fill="auto"/>
      </w:pPr>
      <w:r>
        <w:rPr>
          <w:rStyle w:val="CharStyle17"/>
          <w:color w:val="000000"/>
        </w:rPr>
        <w:t>Za den úhrady závazků zápočtem je považován den vyhotovení zápočtu.</w:t>
      </w:r>
    </w:p>
    <w:p w14:paraId="57B8A422" w14:textId="77777777" w:rsidR="0077036C" w:rsidRDefault="0077036C">
      <w:pPr>
        <w:pStyle w:val="Style22"/>
        <w:framePr w:w="10546" w:h="14674" w:hRule="exact" w:wrap="none" w:vAnchor="page" w:hAnchor="page" w:x="826" w:y="973"/>
        <w:numPr>
          <w:ilvl w:val="0"/>
          <w:numId w:val="2"/>
        </w:numPr>
        <w:shd w:val="clear" w:color="auto" w:fill="auto"/>
        <w:tabs>
          <w:tab w:val="left" w:pos="236"/>
        </w:tabs>
        <w:jc w:val="both"/>
      </w:pPr>
      <w:bookmarkStart w:id="31" w:name="bookmark33"/>
      <w:bookmarkStart w:id="32" w:name="bookmark31"/>
      <w:bookmarkStart w:id="33" w:name="bookmark32"/>
      <w:bookmarkStart w:id="34" w:name="bookmark34"/>
      <w:bookmarkEnd w:id="31"/>
      <w:r>
        <w:rPr>
          <w:rStyle w:val="CharStyle23"/>
          <w:b/>
          <w:bCs/>
          <w:color w:val="000000"/>
        </w:rPr>
        <w:t>Smluvní pokuta</w:t>
      </w:r>
      <w:bookmarkEnd w:id="32"/>
      <w:bookmarkEnd w:id="33"/>
      <w:bookmarkEnd w:id="34"/>
    </w:p>
    <w:p w14:paraId="617D873D" w14:textId="77777777" w:rsidR="0077036C" w:rsidRDefault="0077036C">
      <w:pPr>
        <w:pStyle w:val="Style16"/>
        <w:framePr w:w="10546" w:h="14674" w:hRule="exact" w:wrap="none" w:vAnchor="page" w:hAnchor="page" w:x="826" w:y="973"/>
        <w:shd w:val="clear" w:color="auto" w:fill="auto"/>
        <w:jc w:val="both"/>
      </w:pPr>
      <w:r>
        <w:rPr>
          <w:rStyle w:val="CharStyle17"/>
          <w:color w:val="000000"/>
        </w:rPr>
        <w:t>Při zcizení, odcizení, poškození, zničení nebo nevrácení distribučních prostředků je zákazník povinen zaplatit Linde smluvní pokutu za každou tlakovou lahev 4.000,- Kč, za každou přepravní paletu 5.000,- Kč, za každý pevný svazek 80.000,- Kč (včetně lahví ve svazku) a za každý kontejner 100.000,- Kč. Smluvní pokutou není dotčeno právo Linde na náhradu škody, kterou je oprávněna vymáhat samostatně.</w:t>
      </w:r>
    </w:p>
    <w:p w14:paraId="27BA15AA" w14:textId="77777777" w:rsidR="0077036C" w:rsidRDefault="0077036C">
      <w:pPr>
        <w:pStyle w:val="Style22"/>
        <w:framePr w:w="10546" w:h="14674" w:hRule="exact" w:wrap="none" w:vAnchor="page" w:hAnchor="page" w:x="826" w:y="973"/>
        <w:numPr>
          <w:ilvl w:val="0"/>
          <w:numId w:val="2"/>
        </w:numPr>
        <w:shd w:val="clear" w:color="auto" w:fill="auto"/>
        <w:tabs>
          <w:tab w:val="left" w:pos="236"/>
        </w:tabs>
      </w:pPr>
      <w:bookmarkStart w:id="35" w:name="bookmark37"/>
      <w:bookmarkStart w:id="36" w:name="bookmark35"/>
      <w:bookmarkStart w:id="37" w:name="bookmark36"/>
      <w:bookmarkStart w:id="38" w:name="bookmark38"/>
      <w:bookmarkEnd w:id="35"/>
      <w:r>
        <w:rPr>
          <w:rStyle w:val="CharStyle23"/>
          <w:b/>
          <w:bCs/>
          <w:color w:val="000000"/>
        </w:rPr>
        <w:t>Lahve zákazníků</w:t>
      </w:r>
      <w:bookmarkEnd w:id="36"/>
      <w:bookmarkEnd w:id="37"/>
      <w:bookmarkEnd w:id="38"/>
    </w:p>
    <w:p w14:paraId="28DDE0D1" w14:textId="77777777" w:rsidR="0077036C" w:rsidRDefault="0077036C">
      <w:pPr>
        <w:pStyle w:val="Style16"/>
        <w:framePr w:w="10546" w:h="14674" w:hRule="exact" w:wrap="none" w:vAnchor="page" w:hAnchor="page" w:x="826" w:y="973"/>
        <w:shd w:val="clear" w:color="auto" w:fill="auto"/>
        <w:jc w:val="both"/>
      </w:pPr>
      <w:r>
        <w:rPr>
          <w:rStyle w:val="CharStyle17"/>
          <w:color w:val="000000"/>
        </w:rPr>
        <w:t>Lahve zákazníků, které jsou jako takové označeny, jsou plněny podle objednávky zákazníků. Objednávka 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14:paraId="63068565" w14:textId="77777777" w:rsidR="0077036C" w:rsidRDefault="0077036C">
      <w:pPr>
        <w:pStyle w:val="Style22"/>
        <w:framePr w:w="10546" w:h="14674" w:hRule="exact" w:wrap="none" w:vAnchor="page" w:hAnchor="page" w:x="826" w:y="973"/>
        <w:numPr>
          <w:ilvl w:val="0"/>
          <w:numId w:val="2"/>
        </w:numPr>
        <w:shd w:val="clear" w:color="auto" w:fill="auto"/>
        <w:tabs>
          <w:tab w:val="left" w:pos="236"/>
        </w:tabs>
        <w:jc w:val="both"/>
      </w:pPr>
      <w:bookmarkStart w:id="39" w:name="bookmark41"/>
      <w:bookmarkStart w:id="40" w:name="bookmark39"/>
      <w:bookmarkStart w:id="41" w:name="bookmark40"/>
      <w:bookmarkStart w:id="42" w:name="bookmark42"/>
      <w:bookmarkEnd w:id="39"/>
      <w:r>
        <w:rPr>
          <w:rStyle w:val="CharStyle23"/>
          <w:b/>
          <w:bCs/>
          <w:color w:val="000000"/>
        </w:rPr>
        <w:t>Platební podmínky</w:t>
      </w:r>
      <w:bookmarkEnd w:id="40"/>
      <w:bookmarkEnd w:id="41"/>
      <w:bookmarkEnd w:id="42"/>
    </w:p>
    <w:p w14:paraId="0C385ADF" w14:textId="77777777" w:rsidR="0077036C" w:rsidRDefault="0077036C">
      <w:pPr>
        <w:pStyle w:val="Style16"/>
        <w:framePr w:w="10546" w:h="14674" w:hRule="exact" w:wrap="none" w:vAnchor="page" w:hAnchor="page" w:x="826" w:y="973"/>
        <w:shd w:val="clear" w:color="auto" w:fill="auto"/>
        <w:jc w:val="both"/>
      </w:pPr>
      <w:r>
        <w:rPr>
          <w:rStyle w:val="CharStyle17"/>
          <w:color w:val="000000"/>
        </w:rPr>
        <w:t>Linde je oprávněna požadovat</w:t>
      </w:r>
      <w:r>
        <w:rPr>
          <w:rStyle w:val="CharStyle17"/>
          <w:color w:val="000000"/>
        </w:rPr>
        <w:t xml:space="preserve"> platbu v hotovosti maximálně do hodnoty stanovené zákonem.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 na daňovém dokladu uvedena lhůta delší. V případě prodlení zákazníka se zaplacením kteréhokoliv daňového dokladu, je zákazník povinen </w:t>
      </w:r>
      <w:r>
        <w:rPr>
          <w:rStyle w:val="CharStyle17"/>
          <w:color w:val="000000"/>
        </w:rPr>
        <w:t>zaplatit Linde úrok z prodlení ve výši 0,02 % z dlužné částky za každý den prodlení. Kromě toho, je Linde v takovém případě oprávněna přerušit dodávky do doby úplného zaplacení nebo odstoupit od smlouvy a požadovat okamžité vrácení distribučních prostředků.</w:t>
      </w:r>
    </w:p>
    <w:p w14:paraId="6902D50E" w14:textId="77777777" w:rsidR="0077036C" w:rsidRDefault="0077036C">
      <w:pPr>
        <w:pStyle w:val="Style22"/>
        <w:framePr w:w="10546" w:h="14674" w:hRule="exact" w:wrap="none" w:vAnchor="page" w:hAnchor="page" w:x="826" w:y="973"/>
        <w:numPr>
          <w:ilvl w:val="0"/>
          <w:numId w:val="2"/>
        </w:numPr>
        <w:shd w:val="clear" w:color="auto" w:fill="auto"/>
        <w:tabs>
          <w:tab w:val="left" w:pos="236"/>
        </w:tabs>
        <w:jc w:val="both"/>
      </w:pPr>
      <w:bookmarkStart w:id="43" w:name="bookmark45"/>
      <w:bookmarkStart w:id="44" w:name="bookmark43"/>
      <w:bookmarkStart w:id="45" w:name="bookmark44"/>
      <w:bookmarkStart w:id="46" w:name="bookmark46"/>
      <w:bookmarkEnd w:id="43"/>
      <w:r>
        <w:rPr>
          <w:rStyle w:val="CharStyle23"/>
          <w:b/>
          <w:bCs/>
          <w:color w:val="000000"/>
        </w:rPr>
        <w:t>Výhrada vlastnictví</w:t>
      </w:r>
      <w:bookmarkEnd w:id="44"/>
      <w:bookmarkEnd w:id="45"/>
      <w:bookmarkEnd w:id="46"/>
    </w:p>
    <w:p w14:paraId="2CB47532" w14:textId="77777777" w:rsidR="0077036C" w:rsidRDefault="0077036C">
      <w:pPr>
        <w:pStyle w:val="Style16"/>
        <w:framePr w:w="10546" w:h="14674" w:hRule="exact" w:wrap="none" w:vAnchor="page" w:hAnchor="page" w:x="826" w:y="973"/>
        <w:shd w:val="clear" w:color="auto" w:fill="auto"/>
        <w:jc w:val="both"/>
      </w:pPr>
      <w:r>
        <w:rPr>
          <w:rStyle w:val="CharStyle17"/>
          <w:color w:val="000000"/>
        </w:rPr>
        <w:t>Až do úplného vyrovnání závazků zákazníkem zůstává dodané zboží vlastnictvím Linde.</w:t>
      </w:r>
    </w:p>
    <w:p w14:paraId="2200C35A"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47" w:name="bookmark49"/>
      <w:bookmarkStart w:id="48" w:name="bookmark47"/>
      <w:bookmarkStart w:id="49" w:name="bookmark48"/>
      <w:bookmarkStart w:id="50" w:name="bookmark50"/>
      <w:bookmarkEnd w:id="47"/>
      <w:r>
        <w:rPr>
          <w:rStyle w:val="CharStyle23"/>
          <w:b/>
          <w:bCs/>
          <w:color w:val="000000"/>
        </w:rPr>
        <w:t>Prodlení</w:t>
      </w:r>
      <w:bookmarkEnd w:id="48"/>
      <w:bookmarkEnd w:id="49"/>
      <w:bookmarkEnd w:id="50"/>
    </w:p>
    <w:p w14:paraId="1253126A" w14:textId="77777777" w:rsidR="0077036C" w:rsidRDefault="0077036C">
      <w:pPr>
        <w:pStyle w:val="Style16"/>
        <w:framePr w:w="10546" w:h="14674" w:hRule="exact" w:wrap="none" w:vAnchor="page" w:hAnchor="page" w:x="826" w:y="973"/>
        <w:numPr>
          <w:ilvl w:val="0"/>
          <w:numId w:val="3"/>
        </w:numPr>
        <w:shd w:val="clear" w:color="auto" w:fill="auto"/>
        <w:tabs>
          <w:tab w:val="left" w:pos="217"/>
        </w:tabs>
      </w:pPr>
      <w:bookmarkStart w:id="51" w:name="bookmark51"/>
      <w:bookmarkEnd w:id="51"/>
      <w:r>
        <w:rPr>
          <w:rStyle w:val="CharStyle17"/>
          <w:color w:val="000000"/>
        </w:rPr>
        <w:t>případě opožděných dodávek nebo výpadku v dodávkách může zákazník, pokud Linde nesplní dodávku v náhradní lhůtě, odstoupit od smlouvy. Škody takto vzniklé jsou hrazeny podle zákona a těchto podmínek.</w:t>
      </w:r>
    </w:p>
    <w:p w14:paraId="17F62143"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52" w:name="bookmark54"/>
      <w:bookmarkStart w:id="53" w:name="bookmark52"/>
      <w:bookmarkStart w:id="54" w:name="bookmark53"/>
      <w:bookmarkStart w:id="55" w:name="bookmark55"/>
      <w:bookmarkEnd w:id="52"/>
      <w:r>
        <w:rPr>
          <w:rStyle w:val="CharStyle23"/>
          <w:b/>
          <w:bCs/>
          <w:color w:val="000000"/>
        </w:rPr>
        <w:t>Odpovědnost za škodu</w:t>
      </w:r>
      <w:bookmarkEnd w:id="53"/>
      <w:bookmarkEnd w:id="54"/>
      <w:bookmarkEnd w:id="55"/>
    </w:p>
    <w:p w14:paraId="5866B605" w14:textId="77777777" w:rsidR="0077036C" w:rsidRDefault="0077036C">
      <w:pPr>
        <w:pStyle w:val="Style16"/>
        <w:framePr w:w="10546" w:h="14674" w:hRule="exact" w:wrap="none" w:vAnchor="page" w:hAnchor="page" w:x="826" w:y="973"/>
        <w:numPr>
          <w:ilvl w:val="0"/>
          <w:numId w:val="3"/>
        </w:numPr>
        <w:shd w:val="clear" w:color="auto" w:fill="auto"/>
        <w:tabs>
          <w:tab w:val="left" w:pos="217"/>
        </w:tabs>
        <w:jc w:val="both"/>
      </w:pPr>
      <w:bookmarkStart w:id="56" w:name="bookmark56"/>
      <w:bookmarkEnd w:id="56"/>
      <w:r>
        <w:rPr>
          <w:rStyle w:val="CharStyle17"/>
          <w:color w:val="000000"/>
        </w:rPr>
        <w:t>případě, že je Linde za podmínek daných zákonem povinna nahradit zákazníkovi způsobenou škodu, dohodly si smluvní strany rozsah náhrady škody tak, že Linde uhradí zákazníkovi škodu v prokázané výši, nejvýše však částku 20 000 000,- Kč. Právo na náhradu škody a vydání bezdůvodného obohacení se promlčují v tříleté promlčecí době.</w:t>
      </w:r>
    </w:p>
    <w:p w14:paraId="7761BDDF"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57" w:name="bookmark59"/>
      <w:bookmarkStart w:id="58" w:name="bookmark57"/>
      <w:bookmarkStart w:id="59" w:name="bookmark58"/>
      <w:bookmarkStart w:id="60" w:name="bookmark60"/>
      <w:bookmarkEnd w:id="57"/>
      <w:r>
        <w:rPr>
          <w:rStyle w:val="CharStyle23"/>
          <w:b/>
          <w:bCs/>
          <w:color w:val="000000"/>
        </w:rPr>
        <w:t>Záruka za vadné plnění</w:t>
      </w:r>
      <w:bookmarkEnd w:id="58"/>
      <w:bookmarkEnd w:id="59"/>
      <w:bookmarkEnd w:id="60"/>
    </w:p>
    <w:p w14:paraId="7BBE0EF7" w14:textId="77777777" w:rsidR="0077036C" w:rsidRDefault="0077036C">
      <w:pPr>
        <w:pStyle w:val="Style16"/>
        <w:framePr w:w="10546" w:h="14674" w:hRule="exact" w:wrap="none" w:vAnchor="page" w:hAnchor="page" w:x="826" w:y="973"/>
        <w:shd w:val="clear" w:color="auto" w:fill="auto"/>
        <w:jc w:val="both"/>
      </w:pPr>
      <w:r>
        <w:rPr>
          <w:rStyle w:val="CharStyle17"/>
          <w:color w:val="000000"/>
        </w:rPr>
        <w:t>Pokud je dodávka vadná nebo neodpovídá množství dodaného plynu, má zákazník právo uplatnit reklamaci, která se řídí platnou legislativou a vnitřními předpisy Linde. Při reklamaci kvality plynů nesmí být spotřebováno více než 50 % uvedeného množství náplně, a to z důvodu možného řádného provedení kontrolních analýz. Distribuční prostředky s vadným zbožím nesmějí být dále používány a po nápadném označení musí být vráceny prodejnímu místu. V tomto případě může zákazník při vyloučení dalších nároků požadovat b</w:t>
      </w:r>
      <w:r>
        <w:rPr>
          <w:rStyle w:val="CharStyle17"/>
          <w:color w:val="000000"/>
        </w:rPr>
        <w:t>ezplatně opakovanou dodávku. Nepodaří-li se toto dodatečné plnění, může zákazník podle svého výběru požadovat snížení kupní ceny vadné dodávky a nebo požadovat zrušení dodávky.</w:t>
      </w:r>
    </w:p>
    <w:p w14:paraId="45511CC8"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61" w:name="bookmark63"/>
      <w:bookmarkStart w:id="62" w:name="bookmark61"/>
      <w:bookmarkStart w:id="63" w:name="bookmark62"/>
      <w:bookmarkStart w:id="64" w:name="bookmark64"/>
      <w:bookmarkEnd w:id="61"/>
      <w:r>
        <w:rPr>
          <w:rStyle w:val="CharStyle23"/>
          <w:b/>
          <w:bCs/>
          <w:color w:val="000000"/>
        </w:rPr>
        <w:t>Vyšší moc</w:t>
      </w:r>
      <w:bookmarkEnd w:id="62"/>
      <w:bookmarkEnd w:id="63"/>
      <w:bookmarkEnd w:id="64"/>
    </w:p>
    <w:p w14:paraId="53C9F2A8" w14:textId="77777777" w:rsidR="0077036C" w:rsidRDefault="0077036C">
      <w:pPr>
        <w:pStyle w:val="Style16"/>
        <w:framePr w:w="10546" w:h="14674" w:hRule="exact" w:wrap="none" w:vAnchor="page" w:hAnchor="page" w:x="826" w:y="973"/>
        <w:shd w:val="clear" w:color="auto" w:fill="auto"/>
        <w:jc w:val="both"/>
      </w:pPr>
      <w:r>
        <w:rPr>
          <w:rStyle w:val="CharStyle17"/>
          <w:color w:val="000000"/>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w:t>
      </w:r>
    </w:p>
    <w:p w14:paraId="056EF43F"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65" w:name="bookmark67"/>
      <w:bookmarkStart w:id="66" w:name="bookmark65"/>
      <w:bookmarkStart w:id="67" w:name="bookmark66"/>
      <w:bookmarkStart w:id="68" w:name="bookmark68"/>
      <w:bookmarkEnd w:id="65"/>
      <w:r>
        <w:rPr>
          <w:rStyle w:val="CharStyle23"/>
          <w:b/>
          <w:bCs/>
          <w:color w:val="000000"/>
        </w:rPr>
        <w:t>Zajištění množství</w:t>
      </w:r>
      <w:bookmarkEnd w:id="66"/>
      <w:bookmarkEnd w:id="67"/>
      <w:bookmarkEnd w:id="68"/>
    </w:p>
    <w:p w14:paraId="0C9CC6DE" w14:textId="77777777" w:rsidR="0077036C" w:rsidRDefault="0077036C">
      <w:pPr>
        <w:pStyle w:val="Style16"/>
        <w:framePr w:w="10546" w:h="14674" w:hRule="exact" w:wrap="none" w:vAnchor="page" w:hAnchor="page" w:x="826" w:y="973"/>
        <w:shd w:val="clear" w:color="auto" w:fill="auto"/>
      </w:pPr>
      <w:r>
        <w:rPr>
          <w:rStyle w:val="CharStyle17"/>
          <w:color w:val="000000"/>
        </w:rPr>
        <w:t>Pokud je údaj o množství v lahvích v ”m</w:t>
      </w:r>
      <w:r>
        <w:rPr>
          <w:rStyle w:val="CharStyle17"/>
          <w:color w:val="000000"/>
          <w:vertAlign w:val="superscript"/>
        </w:rPr>
        <w:t>3</w:t>
      </w:r>
      <w:r>
        <w:rPr>
          <w:rStyle w:val="CharStyle17"/>
          <w:color w:val="000000"/>
        </w:rPr>
        <w:t>”</w:t>
      </w:r>
      <w:r>
        <w:rPr>
          <w:rStyle w:val="CharStyle17"/>
          <w:color w:val="000000"/>
        </w:rPr>
        <w:t>, pak se vztahuje na stav plynu při 15°C a tlaku 0,1 MPa. Zbytkové obsahy u vrácených distribučních prostředků nepodléhají náhradě.</w:t>
      </w:r>
    </w:p>
    <w:p w14:paraId="7585EC0A" w14:textId="77777777" w:rsidR="0077036C" w:rsidRDefault="0077036C">
      <w:pPr>
        <w:pStyle w:val="Style22"/>
        <w:framePr w:w="10546" w:h="14674" w:hRule="exact" w:wrap="none" w:vAnchor="page" w:hAnchor="page" w:x="826" w:y="973"/>
        <w:numPr>
          <w:ilvl w:val="0"/>
          <w:numId w:val="2"/>
        </w:numPr>
        <w:shd w:val="clear" w:color="auto" w:fill="auto"/>
        <w:tabs>
          <w:tab w:val="left" w:pos="303"/>
        </w:tabs>
      </w:pPr>
      <w:bookmarkStart w:id="69" w:name="bookmark71"/>
      <w:bookmarkStart w:id="70" w:name="bookmark69"/>
      <w:bookmarkStart w:id="71" w:name="bookmark70"/>
      <w:bookmarkStart w:id="72" w:name="bookmark72"/>
      <w:bookmarkEnd w:id="69"/>
      <w:r>
        <w:rPr>
          <w:rStyle w:val="CharStyle23"/>
          <w:b/>
          <w:bCs/>
          <w:color w:val="000000"/>
        </w:rPr>
        <w:t>Dodávky prostřednictvím třetí osoby</w:t>
      </w:r>
      <w:bookmarkEnd w:id="70"/>
      <w:bookmarkEnd w:id="71"/>
      <w:bookmarkEnd w:id="72"/>
    </w:p>
    <w:p w14:paraId="2DBD4115" w14:textId="77777777" w:rsidR="0077036C" w:rsidRDefault="0077036C">
      <w:pPr>
        <w:pStyle w:val="Style16"/>
        <w:framePr w:w="10546" w:h="14674" w:hRule="exact" w:wrap="none" w:vAnchor="page" w:hAnchor="page" w:x="826" w:y="973"/>
        <w:shd w:val="clear" w:color="auto" w:fill="auto"/>
      </w:pPr>
      <w:r>
        <w:rPr>
          <w:rStyle w:val="CharStyle17"/>
          <w:color w:val="000000"/>
        </w:rPr>
        <w:t>Linde je oprávněna splnit své dodavatelské povinnosti prostřednictvím třetí osoby.</w:t>
      </w:r>
    </w:p>
    <w:p w14:paraId="5076896F"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73" w:name="bookmark75"/>
      <w:bookmarkStart w:id="74" w:name="bookmark73"/>
      <w:bookmarkStart w:id="75" w:name="bookmark74"/>
      <w:bookmarkStart w:id="76" w:name="bookmark76"/>
      <w:bookmarkEnd w:id="73"/>
      <w:r>
        <w:rPr>
          <w:rStyle w:val="CharStyle23"/>
          <w:b/>
          <w:bCs/>
          <w:color w:val="000000"/>
        </w:rPr>
        <w:t>Poplatky</w:t>
      </w:r>
      <w:bookmarkEnd w:id="74"/>
      <w:bookmarkEnd w:id="75"/>
      <w:bookmarkEnd w:id="76"/>
    </w:p>
    <w:p w14:paraId="6E835A1D" w14:textId="77777777" w:rsidR="0077036C" w:rsidRDefault="0077036C">
      <w:pPr>
        <w:pStyle w:val="Style16"/>
        <w:framePr w:w="10546" w:h="14674" w:hRule="exact" w:wrap="none" w:vAnchor="page" w:hAnchor="page" w:x="826" w:y="973"/>
        <w:shd w:val="clear" w:color="auto" w:fill="auto"/>
        <w:jc w:val="both"/>
      </w:pPr>
      <w:r>
        <w:rPr>
          <w:rStyle w:val="CharStyle17"/>
          <w:color w:val="000000"/>
        </w:rPr>
        <w:t>Společně s cenou dodaného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dodávkou jednotlivého druhu plynu a další poplatky stanovené ceníkem Linde. Výše poplatků se řídí podle aktuálně platných sazeb tak, jak jsou tyto zveřejněny na prodejních místech Linde, není-li smlouvou stanoveno jinak.</w:t>
      </w:r>
    </w:p>
    <w:p w14:paraId="4024EEDD"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77" w:name="bookmark79"/>
      <w:bookmarkStart w:id="78" w:name="bookmark77"/>
      <w:bookmarkStart w:id="79" w:name="bookmark78"/>
      <w:bookmarkStart w:id="80" w:name="bookmark80"/>
      <w:bookmarkEnd w:id="77"/>
      <w:r>
        <w:rPr>
          <w:rStyle w:val="CharStyle23"/>
          <w:b/>
          <w:bCs/>
          <w:color w:val="000000"/>
        </w:rPr>
        <w:t>Změny smlouvy</w:t>
      </w:r>
      <w:bookmarkEnd w:id="78"/>
      <w:bookmarkEnd w:id="79"/>
      <w:bookmarkEnd w:id="80"/>
    </w:p>
    <w:p w14:paraId="63EC7684" w14:textId="77777777" w:rsidR="0077036C" w:rsidRDefault="0077036C">
      <w:pPr>
        <w:pStyle w:val="Style16"/>
        <w:framePr w:w="10546" w:h="14674" w:hRule="exact" w:wrap="none" w:vAnchor="page" w:hAnchor="page" w:x="826" w:y="973"/>
        <w:shd w:val="clear" w:color="auto" w:fill="auto"/>
        <w:jc w:val="both"/>
      </w:pPr>
      <w:r>
        <w:rPr>
          <w:rStyle w:val="CharStyle17"/>
          <w:color w:val="000000"/>
        </w:rPr>
        <w:t>Změny a doplňky sjednaných podmínek se vyžadují písemnou formou. Písemnou formou se nerozumí forma elektronické komunikace.</w:t>
      </w:r>
    </w:p>
    <w:p w14:paraId="018B84D1"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81" w:name="bookmark83"/>
      <w:bookmarkStart w:id="82" w:name="bookmark81"/>
      <w:bookmarkStart w:id="83" w:name="bookmark82"/>
      <w:bookmarkStart w:id="84" w:name="bookmark84"/>
      <w:bookmarkEnd w:id="81"/>
      <w:r>
        <w:rPr>
          <w:rStyle w:val="CharStyle23"/>
          <w:b/>
          <w:bCs/>
          <w:color w:val="000000"/>
        </w:rPr>
        <w:t>Řešení sporů</w:t>
      </w:r>
      <w:bookmarkEnd w:id="82"/>
      <w:bookmarkEnd w:id="83"/>
      <w:bookmarkEnd w:id="84"/>
    </w:p>
    <w:p w14:paraId="6072F7C0" w14:textId="77777777" w:rsidR="0077036C" w:rsidRDefault="0077036C">
      <w:pPr>
        <w:pStyle w:val="Style16"/>
        <w:framePr w:w="10546" w:h="14674" w:hRule="exact" w:wrap="none" w:vAnchor="page" w:hAnchor="page" w:x="826" w:y="973"/>
        <w:shd w:val="clear" w:color="auto" w:fill="auto"/>
        <w:spacing w:after="0"/>
      </w:pPr>
      <w:r>
        <w:rPr>
          <w:rStyle w:val="CharStyle17"/>
          <w:color w:val="000000"/>
        </w:rPr>
        <w:t>Pro řešení všech sporů mezi zákazníkem a Linde je, za dodržení příslušnosti věcné, místně příslušný soud, v jehož obvodu je sídlo Linde.</w:t>
      </w:r>
    </w:p>
    <w:p w14:paraId="359778F0" w14:textId="77777777" w:rsidR="0077036C" w:rsidRDefault="0077036C">
      <w:pPr>
        <w:pStyle w:val="Style16"/>
        <w:framePr w:w="10546" w:h="14674" w:hRule="exact" w:wrap="none" w:vAnchor="page" w:hAnchor="page" w:x="826" w:y="973"/>
        <w:numPr>
          <w:ilvl w:val="0"/>
          <w:numId w:val="3"/>
        </w:numPr>
        <w:shd w:val="clear" w:color="auto" w:fill="auto"/>
        <w:tabs>
          <w:tab w:val="left" w:pos="217"/>
        </w:tabs>
        <w:jc w:val="both"/>
      </w:pPr>
      <w:bookmarkStart w:id="85" w:name="bookmark85"/>
      <w:bookmarkEnd w:id="85"/>
      <w:r>
        <w:rPr>
          <w:rStyle w:val="CharStyle17"/>
          <w:color w:val="000000"/>
        </w:rPr>
        <w:t xml:space="preserve">případě, že je zákazník spotřebitelem, je subjektem řešení mimosoudních sporů Česká obchodní inspekce, bližší informace na </w:t>
      </w:r>
      <w:hyperlink r:id="rId6" w:history="1">
        <w:r>
          <w:rPr>
            <w:rStyle w:val="CharStyle17"/>
            <w:color w:val="000000"/>
          </w:rPr>
          <w:t>www.coi.cz</w:t>
        </w:r>
      </w:hyperlink>
      <w:r>
        <w:rPr>
          <w:rStyle w:val="CharStyle17"/>
          <w:color w:val="000000"/>
        </w:rPr>
        <w:t>.</w:t>
      </w:r>
    </w:p>
    <w:p w14:paraId="0F075B9E" w14:textId="77777777" w:rsidR="0077036C" w:rsidRDefault="0077036C">
      <w:pPr>
        <w:pStyle w:val="Style22"/>
        <w:framePr w:w="10546" w:h="14674" w:hRule="exact" w:wrap="none" w:vAnchor="page" w:hAnchor="page" w:x="826" w:y="973"/>
        <w:numPr>
          <w:ilvl w:val="0"/>
          <w:numId w:val="2"/>
        </w:numPr>
        <w:shd w:val="clear" w:color="auto" w:fill="auto"/>
        <w:tabs>
          <w:tab w:val="left" w:pos="303"/>
        </w:tabs>
        <w:jc w:val="both"/>
      </w:pPr>
      <w:bookmarkStart w:id="86" w:name="bookmark88"/>
      <w:bookmarkStart w:id="87" w:name="bookmark86"/>
      <w:bookmarkStart w:id="88" w:name="bookmark87"/>
      <w:bookmarkStart w:id="89" w:name="bookmark89"/>
      <w:bookmarkEnd w:id="86"/>
      <w:r>
        <w:rPr>
          <w:rStyle w:val="CharStyle23"/>
          <w:b/>
          <w:bCs/>
          <w:color w:val="000000"/>
        </w:rPr>
        <w:t>Prohlášení o shodě</w:t>
      </w:r>
      <w:bookmarkEnd w:id="87"/>
      <w:bookmarkEnd w:id="88"/>
      <w:bookmarkEnd w:id="89"/>
    </w:p>
    <w:p w14:paraId="28527A5E" w14:textId="77777777" w:rsidR="0077036C" w:rsidRDefault="0077036C">
      <w:pPr>
        <w:pStyle w:val="Style16"/>
        <w:framePr w:w="10546" w:h="14674" w:hRule="exact" w:wrap="none" w:vAnchor="page" w:hAnchor="page" w:x="826" w:y="973"/>
        <w:shd w:val="clear" w:color="auto" w:fill="auto"/>
      </w:pPr>
      <w:r>
        <w:rPr>
          <w:rStyle w:val="CharStyle17"/>
          <w:color w:val="000000"/>
        </w:rPr>
        <w:t>Linde vlastní ”Prohlášení o shodě” na ocelové tlakové lahve včetně svařovaných, které</w:t>
      </w:r>
      <w:r>
        <w:rPr>
          <w:rStyle w:val="CharStyle17"/>
          <w:color w:val="000000"/>
        </w:rPr>
        <w:t xml:space="preserve"> mu dodavatel lahví poskytuje na lahve vyrobené po 1.9.1997, používané k distribuci plynů.</w:t>
      </w:r>
    </w:p>
    <w:p w14:paraId="7F2D23F0" w14:textId="77777777" w:rsidR="0077036C" w:rsidRDefault="0077036C">
      <w:pPr>
        <w:pStyle w:val="Style16"/>
        <w:framePr w:w="10546" w:h="14674" w:hRule="exact" w:wrap="none" w:vAnchor="page" w:hAnchor="page" w:x="826" w:y="973"/>
        <w:numPr>
          <w:ilvl w:val="0"/>
          <w:numId w:val="2"/>
        </w:numPr>
        <w:shd w:val="clear" w:color="auto" w:fill="auto"/>
        <w:tabs>
          <w:tab w:val="left" w:pos="303"/>
        </w:tabs>
        <w:spacing w:after="0"/>
        <w:jc w:val="both"/>
      </w:pPr>
      <w:bookmarkStart w:id="90" w:name="bookmark90"/>
      <w:bookmarkEnd w:id="90"/>
      <w:r>
        <w:rPr>
          <w:rStyle w:val="CharStyle17"/>
          <w:b/>
          <w:bCs/>
          <w:color w:val="000000"/>
        </w:rPr>
        <w:t>Výrobky vyhovují ČSN nebo specifikaci Linde.</w:t>
      </w:r>
    </w:p>
    <w:p w14:paraId="01C8AC72" w14:textId="77777777" w:rsidR="0077036C" w:rsidRDefault="0077036C">
      <w:pPr>
        <w:pStyle w:val="Style16"/>
        <w:framePr w:w="10546" w:h="14674" w:hRule="exact" w:wrap="none" w:vAnchor="page" w:hAnchor="page" w:x="826" w:y="973"/>
        <w:numPr>
          <w:ilvl w:val="0"/>
          <w:numId w:val="2"/>
        </w:numPr>
        <w:shd w:val="clear" w:color="auto" w:fill="auto"/>
        <w:tabs>
          <w:tab w:val="left" w:pos="303"/>
        </w:tabs>
        <w:spacing w:after="0"/>
        <w:jc w:val="both"/>
      </w:pPr>
      <w:bookmarkStart w:id="91" w:name="bookmark91"/>
      <w:bookmarkEnd w:id="91"/>
      <w:r>
        <w:rPr>
          <w:rStyle w:val="CharStyle17"/>
          <w:b/>
          <w:bCs/>
          <w:color w:val="000000"/>
        </w:rPr>
        <w:t>Tyto Všeobecné podmínky (Form 1211/22) jsou platné od 1.2.2016.</w:t>
      </w:r>
    </w:p>
    <w:p w14:paraId="0A8C4771" w14:textId="77777777" w:rsidR="0077036C" w:rsidRDefault="0077036C">
      <w:pPr>
        <w:pStyle w:val="Style18"/>
        <w:framePr w:wrap="none" w:vAnchor="page" w:hAnchor="page" w:x="826" w:y="16333"/>
        <w:shd w:val="clear" w:color="auto" w:fill="auto"/>
      </w:pPr>
      <w:r>
        <w:rPr>
          <w:rStyle w:val="CharStyle19"/>
          <w:color w:val="000000"/>
        </w:rPr>
        <w:t>Form 1203/32 2016.12</w:t>
      </w:r>
    </w:p>
    <w:p w14:paraId="429D6C1B" w14:textId="77777777" w:rsidR="0077036C" w:rsidRDefault="0077036C">
      <w:pPr>
        <w:spacing w:line="1" w:lineRule="exact"/>
        <w:rPr>
          <w:color w:val="auto"/>
        </w:rPr>
        <w:sectPr w:rsidR="00000000">
          <w:pgSz w:w="11909" w:h="16838"/>
          <w:pgMar w:top="360" w:right="360" w:bottom="360" w:left="360" w:header="0" w:footer="3" w:gutter="0"/>
          <w:cols w:space="720"/>
          <w:noEndnote/>
          <w:docGrid w:linePitch="360"/>
        </w:sectPr>
      </w:pPr>
    </w:p>
    <w:p w14:paraId="2C491F2B" w14:textId="7BDC2F37" w:rsidR="0077036C" w:rsidRDefault="0077036C">
      <w:pPr>
        <w:framePr w:wrap="none" w:vAnchor="page" w:hAnchor="page" w:x="567" w:y="301"/>
        <w:rPr>
          <w:color w:val="auto"/>
          <w:sz w:val="2"/>
          <w:szCs w:val="2"/>
        </w:rPr>
      </w:pPr>
      <w:r>
        <w:rPr>
          <w:noProof/>
          <w:color w:val="auto"/>
          <w:sz w:val="2"/>
          <w:szCs w:val="2"/>
        </w:rPr>
        <w:lastRenderedPageBreak/>
        <w:drawing>
          <wp:inline distT="0" distB="0" distL="0" distR="0" wp14:anchorId="457B78BA" wp14:editId="3B3BB003">
            <wp:extent cx="689610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6100" cy="838200"/>
                    </a:xfrm>
                    <a:prstGeom prst="rect">
                      <a:avLst/>
                    </a:prstGeom>
                    <a:noFill/>
                    <a:ln>
                      <a:noFill/>
                    </a:ln>
                  </pic:spPr>
                </pic:pic>
              </a:graphicData>
            </a:graphic>
          </wp:inline>
        </w:drawing>
      </w:r>
    </w:p>
    <w:p w14:paraId="0C3D773C" w14:textId="77777777" w:rsidR="0077036C" w:rsidRDefault="0077036C">
      <w:pPr>
        <w:pStyle w:val="Style26"/>
        <w:framePr w:wrap="none" w:vAnchor="page" w:hAnchor="page" w:x="826" w:y="1621"/>
        <w:shd w:val="clear" w:color="auto" w:fill="auto"/>
        <w:spacing w:after="0"/>
      </w:pPr>
      <w:bookmarkStart w:id="92" w:name="bookmark92"/>
      <w:bookmarkStart w:id="93" w:name="bookmark93"/>
      <w:bookmarkStart w:id="94" w:name="bookmark94"/>
      <w:r>
        <w:rPr>
          <w:rStyle w:val="CharStyle27"/>
          <w:color w:val="000000"/>
        </w:rPr>
        <w:t>Příloha číslo 1.</w:t>
      </w:r>
      <w:bookmarkEnd w:id="92"/>
      <w:bookmarkEnd w:id="93"/>
      <w:bookmarkEnd w:id="94"/>
    </w:p>
    <w:tbl>
      <w:tblPr>
        <w:tblW w:w="0" w:type="auto"/>
        <w:tblInd w:w="5" w:type="dxa"/>
        <w:tblLayout w:type="fixed"/>
        <w:tblCellMar>
          <w:left w:w="0" w:type="dxa"/>
          <w:right w:w="0" w:type="dxa"/>
        </w:tblCellMar>
        <w:tblLook w:val="0000" w:firstRow="0" w:lastRow="0" w:firstColumn="0" w:lastColumn="0" w:noHBand="0" w:noVBand="0"/>
      </w:tblPr>
      <w:tblGrid>
        <w:gridCol w:w="1992"/>
        <w:gridCol w:w="1982"/>
        <w:gridCol w:w="1987"/>
        <w:gridCol w:w="1982"/>
        <w:gridCol w:w="1997"/>
      </w:tblGrid>
      <w:tr w:rsidR="00000000" w14:paraId="1C964113" w14:textId="77777777">
        <w:tblPrEx>
          <w:tblCellMar>
            <w:top w:w="0" w:type="dxa"/>
            <w:left w:w="0" w:type="dxa"/>
            <w:bottom w:w="0" w:type="dxa"/>
            <w:right w:w="0" w:type="dxa"/>
          </w:tblCellMar>
        </w:tblPrEx>
        <w:trPr>
          <w:trHeight w:hRule="exact" w:val="605"/>
        </w:trPr>
        <w:tc>
          <w:tcPr>
            <w:tcW w:w="1992" w:type="dxa"/>
            <w:tcBorders>
              <w:top w:val="single" w:sz="4" w:space="0" w:color="auto"/>
              <w:left w:val="single" w:sz="4" w:space="0" w:color="auto"/>
              <w:bottom w:val="nil"/>
              <w:right w:val="nil"/>
            </w:tcBorders>
            <w:shd w:val="clear" w:color="auto" w:fill="CCCCCC"/>
            <w:vAlign w:val="center"/>
          </w:tcPr>
          <w:p w14:paraId="2D13FEA2" w14:textId="77777777" w:rsidR="0077036C" w:rsidRDefault="0077036C">
            <w:pPr>
              <w:pStyle w:val="Style7"/>
              <w:framePr w:w="9941" w:h="2107" w:wrap="none" w:vAnchor="page" w:hAnchor="page" w:x="845" w:y="2322"/>
              <w:shd w:val="clear" w:color="auto" w:fill="auto"/>
              <w:spacing w:after="0"/>
              <w:ind w:firstLine="320"/>
              <w:rPr>
                <w:sz w:val="16"/>
                <w:szCs w:val="16"/>
              </w:rPr>
            </w:pPr>
            <w:r>
              <w:rPr>
                <w:rStyle w:val="CharStyle8"/>
                <w:b/>
                <w:bCs/>
                <w:color w:val="000000"/>
                <w:sz w:val="16"/>
                <w:szCs w:val="16"/>
              </w:rPr>
              <w:t>Skupina lahví /</w:t>
            </w:r>
          </w:p>
          <w:p w14:paraId="731C4B6A"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b/>
                <w:bCs/>
                <w:color w:val="000000"/>
                <w:sz w:val="16"/>
                <w:szCs w:val="16"/>
              </w:rPr>
              <w:t>Distr. prostředek</w:t>
            </w:r>
          </w:p>
        </w:tc>
        <w:tc>
          <w:tcPr>
            <w:tcW w:w="1982" w:type="dxa"/>
            <w:tcBorders>
              <w:top w:val="single" w:sz="4" w:space="0" w:color="auto"/>
              <w:left w:val="single" w:sz="4" w:space="0" w:color="auto"/>
              <w:bottom w:val="nil"/>
              <w:right w:val="nil"/>
            </w:tcBorders>
            <w:shd w:val="clear" w:color="auto" w:fill="CCCCCC"/>
            <w:vAlign w:val="center"/>
          </w:tcPr>
          <w:p w14:paraId="1F86150D"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b/>
                <w:bCs/>
                <w:color w:val="000000"/>
                <w:sz w:val="16"/>
                <w:szCs w:val="16"/>
              </w:rPr>
              <w:t>Počet pronajatých kusů</w:t>
            </w:r>
          </w:p>
        </w:tc>
        <w:tc>
          <w:tcPr>
            <w:tcW w:w="1987" w:type="dxa"/>
            <w:tcBorders>
              <w:top w:val="single" w:sz="4" w:space="0" w:color="auto"/>
              <w:left w:val="single" w:sz="4" w:space="0" w:color="auto"/>
              <w:bottom w:val="nil"/>
              <w:right w:val="nil"/>
            </w:tcBorders>
            <w:shd w:val="clear" w:color="auto" w:fill="CCCCCC"/>
            <w:vAlign w:val="center"/>
          </w:tcPr>
          <w:p w14:paraId="75E24ACB"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b/>
                <w:bCs/>
                <w:color w:val="000000"/>
                <w:sz w:val="16"/>
                <w:szCs w:val="16"/>
              </w:rPr>
              <w:t>Počátek smlouvy</w:t>
            </w:r>
          </w:p>
        </w:tc>
        <w:tc>
          <w:tcPr>
            <w:tcW w:w="1982" w:type="dxa"/>
            <w:tcBorders>
              <w:top w:val="single" w:sz="4" w:space="0" w:color="auto"/>
              <w:left w:val="single" w:sz="4" w:space="0" w:color="auto"/>
              <w:bottom w:val="nil"/>
              <w:right w:val="nil"/>
            </w:tcBorders>
            <w:shd w:val="clear" w:color="auto" w:fill="CCCCCC"/>
            <w:vAlign w:val="center"/>
          </w:tcPr>
          <w:p w14:paraId="055C3AFF"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b/>
                <w:bCs/>
                <w:color w:val="000000"/>
                <w:sz w:val="16"/>
                <w:szCs w:val="16"/>
              </w:rPr>
              <w:t>Konec smlouvy</w:t>
            </w:r>
          </w:p>
        </w:tc>
        <w:tc>
          <w:tcPr>
            <w:tcW w:w="1997" w:type="dxa"/>
            <w:tcBorders>
              <w:top w:val="single" w:sz="4" w:space="0" w:color="auto"/>
              <w:left w:val="single" w:sz="4" w:space="0" w:color="auto"/>
              <w:bottom w:val="nil"/>
              <w:right w:val="single" w:sz="4" w:space="0" w:color="auto"/>
            </w:tcBorders>
            <w:shd w:val="clear" w:color="auto" w:fill="CCCCCC"/>
            <w:vAlign w:val="center"/>
          </w:tcPr>
          <w:p w14:paraId="3E4FF5D2"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b/>
                <w:bCs/>
                <w:color w:val="000000"/>
                <w:sz w:val="16"/>
                <w:szCs w:val="16"/>
              </w:rPr>
              <w:t>Nájemné</w:t>
            </w:r>
            <w:r>
              <w:rPr>
                <w:rStyle w:val="CharStyle8"/>
                <w:b/>
                <w:bCs/>
                <w:color w:val="000000"/>
                <w:sz w:val="16"/>
                <w:szCs w:val="16"/>
              </w:rPr>
              <w:t>/kus (Kč)</w:t>
            </w:r>
          </w:p>
        </w:tc>
      </w:tr>
      <w:tr w:rsidR="00000000" w14:paraId="37A8113F" w14:textId="77777777">
        <w:tblPrEx>
          <w:tblCellMar>
            <w:top w:w="0" w:type="dxa"/>
            <w:left w:w="0" w:type="dxa"/>
            <w:bottom w:w="0" w:type="dxa"/>
            <w:right w:w="0" w:type="dxa"/>
          </w:tblCellMar>
        </w:tblPrEx>
        <w:trPr>
          <w:trHeight w:hRule="exact" w:val="293"/>
        </w:trPr>
        <w:tc>
          <w:tcPr>
            <w:tcW w:w="1992" w:type="dxa"/>
            <w:tcBorders>
              <w:top w:val="single" w:sz="4" w:space="0" w:color="auto"/>
              <w:left w:val="single" w:sz="4" w:space="0" w:color="auto"/>
              <w:bottom w:val="nil"/>
              <w:right w:val="nil"/>
            </w:tcBorders>
            <w:shd w:val="clear" w:color="auto" w:fill="FFFFFF"/>
            <w:vAlign w:val="center"/>
          </w:tcPr>
          <w:p w14:paraId="4B4B29D4"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Lahve – technické plyny</w:t>
            </w:r>
          </w:p>
        </w:tc>
        <w:tc>
          <w:tcPr>
            <w:tcW w:w="1982" w:type="dxa"/>
            <w:tcBorders>
              <w:top w:val="single" w:sz="4" w:space="0" w:color="auto"/>
              <w:left w:val="single" w:sz="4" w:space="0" w:color="auto"/>
              <w:bottom w:val="nil"/>
              <w:right w:val="nil"/>
            </w:tcBorders>
            <w:shd w:val="clear" w:color="auto" w:fill="FFFFFF"/>
            <w:vAlign w:val="center"/>
          </w:tcPr>
          <w:p w14:paraId="1D907F23"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90</w:t>
            </w:r>
          </w:p>
        </w:tc>
        <w:tc>
          <w:tcPr>
            <w:tcW w:w="1987" w:type="dxa"/>
            <w:tcBorders>
              <w:top w:val="single" w:sz="4" w:space="0" w:color="auto"/>
              <w:left w:val="single" w:sz="4" w:space="0" w:color="auto"/>
              <w:bottom w:val="nil"/>
              <w:right w:val="nil"/>
            </w:tcBorders>
            <w:shd w:val="clear" w:color="auto" w:fill="FFFFFF"/>
            <w:vAlign w:val="center"/>
          </w:tcPr>
          <w:p w14:paraId="4B6A2261"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1.1. 2024</w:t>
            </w:r>
          </w:p>
        </w:tc>
        <w:tc>
          <w:tcPr>
            <w:tcW w:w="1982" w:type="dxa"/>
            <w:tcBorders>
              <w:top w:val="single" w:sz="4" w:space="0" w:color="auto"/>
              <w:left w:val="single" w:sz="4" w:space="0" w:color="auto"/>
              <w:bottom w:val="nil"/>
              <w:right w:val="nil"/>
            </w:tcBorders>
            <w:shd w:val="clear" w:color="auto" w:fill="FFFFFF"/>
            <w:vAlign w:val="center"/>
          </w:tcPr>
          <w:p w14:paraId="41B5B3B6"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31.12. 2024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72BC2A1A"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1.000,-</w:t>
            </w:r>
          </w:p>
        </w:tc>
      </w:tr>
      <w:tr w:rsidR="00000000" w14:paraId="5B775946" w14:textId="77777777">
        <w:tblPrEx>
          <w:tblCellMar>
            <w:top w:w="0" w:type="dxa"/>
            <w:left w:w="0" w:type="dxa"/>
            <w:bottom w:w="0" w:type="dxa"/>
            <w:right w:w="0" w:type="dxa"/>
          </w:tblCellMar>
        </w:tblPrEx>
        <w:trPr>
          <w:trHeight w:hRule="exact" w:val="302"/>
        </w:trPr>
        <w:tc>
          <w:tcPr>
            <w:tcW w:w="1992" w:type="dxa"/>
            <w:tcBorders>
              <w:top w:val="single" w:sz="4" w:space="0" w:color="auto"/>
              <w:left w:val="single" w:sz="4" w:space="0" w:color="auto"/>
              <w:bottom w:val="nil"/>
              <w:right w:val="nil"/>
            </w:tcBorders>
            <w:shd w:val="clear" w:color="auto" w:fill="FFFFFF"/>
            <w:vAlign w:val="center"/>
          </w:tcPr>
          <w:p w14:paraId="45AA63A5" w14:textId="77777777" w:rsidR="0077036C" w:rsidRDefault="0077036C">
            <w:pPr>
              <w:pStyle w:val="Style7"/>
              <w:framePr w:w="9941" w:h="2107" w:wrap="none" w:vAnchor="page" w:hAnchor="page" w:x="845" w:y="2322"/>
              <w:shd w:val="clear" w:color="auto" w:fill="auto"/>
              <w:spacing w:after="0"/>
              <w:ind w:firstLine="380"/>
              <w:rPr>
                <w:sz w:val="16"/>
                <w:szCs w:val="16"/>
              </w:rPr>
            </w:pPr>
            <w:r>
              <w:rPr>
                <w:rStyle w:val="CharStyle8"/>
                <w:color w:val="000000"/>
                <w:sz w:val="16"/>
                <w:szCs w:val="16"/>
              </w:rPr>
              <w:t>Lahve – acetylen</w:t>
            </w:r>
          </w:p>
        </w:tc>
        <w:tc>
          <w:tcPr>
            <w:tcW w:w="1982" w:type="dxa"/>
            <w:tcBorders>
              <w:top w:val="single" w:sz="4" w:space="0" w:color="auto"/>
              <w:left w:val="single" w:sz="4" w:space="0" w:color="auto"/>
              <w:bottom w:val="nil"/>
              <w:right w:val="nil"/>
            </w:tcBorders>
            <w:shd w:val="clear" w:color="auto" w:fill="FFFFFF"/>
            <w:vAlign w:val="center"/>
          </w:tcPr>
          <w:p w14:paraId="34BD8EE7"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5</w:t>
            </w:r>
          </w:p>
        </w:tc>
        <w:tc>
          <w:tcPr>
            <w:tcW w:w="1987" w:type="dxa"/>
            <w:tcBorders>
              <w:top w:val="single" w:sz="4" w:space="0" w:color="auto"/>
              <w:left w:val="single" w:sz="4" w:space="0" w:color="auto"/>
              <w:bottom w:val="nil"/>
              <w:right w:val="nil"/>
            </w:tcBorders>
            <w:shd w:val="clear" w:color="auto" w:fill="FFFFFF"/>
            <w:vAlign w:val="center"/>
          </w:tcPr>
          <w:p w14:paraId="67200537"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1.1. 2024</w:t>
            </w:r>
          </w:p>
        </w:tc>
        <w:tc>
          <w:tcPr>
            <w:tcW w:w="1982" w:type="dxa"/>
            <w:tcBorders>
              <w:top w:val="single" w:sz="4" w:space="0" w:color="auto"/>
              <w:left w:val="single" w:sz="4" w:space="0" w:color="auto"/>
              <w:bottom w:val="nil"/>
              <w:right w:val="nil"/>
            </w:tcBorders>
            <w:shd w:val="clear" w:color="auto" w:fill="FFFFFF"/>
            <w:vAlign w:val="center"/>
          </w:tcPr>
          <w:p w14:paraId="5274EBE4"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31.12. 2024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6A8A6CA8"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1.000,-</w:t>
            </w:r>
          </w:p>
        </w:tc>
      </w:tr>
      <w:tr w:rsidR="00000000" w14:paraId="33E52E35" w14:textId="77777777">
        <w:tblPrEx>
          <w:tblCellMar>
            <w:top w:w="0" w:type="dxa"/>
            <w:left w:w="0" w:type="dxa"/>
            <w:bottom w:w="0" w:type="dxa"/>
            <w:right w:w="0" w:type="dxa"/>
          </w:tblCellMar>
        </w:tblPrEx>
        <w:trPr>
          <w:trHeight w:hRule="exact" w:val="298"/>
        </w:trPr>
        <w:tc>
          <w:tcPr>
            <w:tcW w:w="1992" w:type="dxa"/>
            <w:tcBorders>
              <w:top w:val="single" w:sz="4" w:space="0" w:color="auto"/>
              <w:left w:val="single" w:sz="4" w:space="0" w:color="auto"/>
              <w:bottom w:val="nil"/>
              <w:right w:val="nil"/>
            </w:tcBorders>
            <w:shd w:val="clear" w:color="auto" w:fill="FFFFFF"/>
            <w:vAlign w:val="center"/>
          </w:tcPr>
          <w:p w14:paraId="0CA8B005" w14:textId="77777777" w:rsidR="0077036C" w:rsidRDefault="0077036C">
            <w:pPr>
              <w:pStyle w:val="Style7"/>
              <w:framePr w:w="9941" w:h="2107" w:wrap="none" w:vAnchor="page" w:hAnchor="page" w:x="845" w:y="2322"/>
              <w:shd w:val="clear" w:color="auto" w:fill="auto"/>
              <w:spacing w:after="0"/>
              <w:ind w:firstLine="380"/>
              <w:rPr>
                <w:sz w:val="16"/>
                <w:szCs w:val="16"/>
              </w:rPr>
            </w:pPr>
            <w:r>
              <w:rPr>
                <w:rStyle w:val="CharStyle8"/>
                <w:color w:val="000000"/>
                <w:sz w:val="16"/>
                <w:szCs w:val="16"/>
              </w:rPr>
              <w:t>Lahve – chladiva</w:t>
            </w:r>
          </w:p>
        </w:tc>
        <w:tc>
          <w:tcPr>
            <w:tcW w:w="1982" w:type="dxa"/>
            <w:tcBorders>
              <w:top w:val="single" w:sz="4" w:space="0" w:color="auto"/>
              <w:left w:val="single" w:sz="4" w:space="0" w:color="auto"/>
              <w:bottom w:val="nil"/>
              <w:right w:val="nil"/>
            </w:tcBorders>
            <w:shd w:val="clear" w:color="auto" w:fill="FFFFFF"/>
            <w:vAlign w:val="center"/>
          </w:tcPr>
          <w:p w14:paraId="3E755E46"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3</w:t>
            </w:r>
          </w:p>
        </w:tc>
        <w:tc>
          <w:tcPr>
            <w:tcW w:w="1987" w:type="dxa"/>
            <w:tcBorders>
              <w:top w:val="single" w:sz="4" w:space="0" w:color="auto"/>
              <w:left w:val="single" w:sz="4" w:space="0" w:color="auto"/>
              <w:bottom w:val="nil"/>
              <w:right w:val="nil"/>
            </w:tcBorders>
            <w:shd w:val="clear" w:color="auto" w:fill="FFFFFF"/>
            <w:vAlign w:val="center"/>
          </w:tcPr>
          <w:p w14:paraId="37AE6E95"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1.1. 2024</w:t>
            </w:r>
          </w:p>
        </w:tc>
        <w:tc>
          <w:tcPr>
            <w:tcW w:w="1982" w:type="dxa"/>
            <w:tcBorders>
              <w:top w:val="single" w:sz="4" w:space="0" w:color="auto"/>
              <w:left w:val="single" w:sz="4" w:space="0" w:color="auto"/>
              <w:bottom w:val="nil"/>
              <w:right w:val="nil"/>
            </w:tcBorders>
            <w:shd w:val="clear" w:color="auto" w:fill="FFFFFF"/>
            <w:vAlign w:val="center"/>
          </w:tcPr>
          <w:p w14:paraId="39D52B16"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31.12. 2024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41E2C67B"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550,-</w:t>
            </w:r>
          </w:p>
        </w:tc>
      </w:tr>
      <w:tr w:rsidR="00000000" w14:paraId="3DB98AAB" w14:textId="77777777">
        <w:tblPrEx>
          <w:tblCellMar>
            <w:top w:w="0" w:type="dxa"/>
            <w:left w:w="0" w:type="dxa"/>
            <w:bottom w:w="0" w:type="dxa"/>
            <w:right w:w="0" w:type="dxa"/>
          </w:tblCellMar>
        </w:tblPrEx>
        <w:trPr>
          <w:trHeight w:hRule="exact" w:val="302"/>
        </w:trPr>
        <w:tc>
          <w:tcPr>
            <w:tcW w:w="1992" w:type="dxa"/>
            <w:tcBorders>
              <w:top w:val="single" w:sz="4" w:space="0" w:color="auto"/>
              <w:left w:val="single" w:sz="4" w:space="0" w:color="auto"/>
              <w:bottom w:val="nil"/>
              <w:right w:val="nil"/>
            </w:tcBorders>
            <w:shd w:val="clear" w:color="auto" w:fill="FFFFFF"/>
            <w:vAlign w:val="center"/>
          </w:tcPr>
          <w:p w14:paraId="7A2A72B4" w14:textId="77777777" w:rsidR="0077036C" w:rsidRDefault="0077036C">
            <w:pPr>
              <w:pStyle w:val="Style7"/>
              <w:framePr w:w="9941" w:h="2107" w:wrap="none" w:vAnchor="page" w:hAnchor="page" w:x="845" w:y="2322"/>
              <w:shd w:val="clear" w:color="auto" w:fill="auto"/>
              <w:spacing w:after="0"/>
              <w:ind w:firstLine="380"/>
              <w:rPr>
                <w:sz w:val="16"/>
                <w:szCs w:val="16"/>
              </w:rPr>
            </w:pPr>
            <w:r>
              <w:rPr>
                <w:rStyle w:val="CharStyle8"/>
                <w:color w:val="000000"/>
                <w:sz w:val="16"/>
                <w:szCs w:val="16"/>
              </w:rPr>
              <w:t>Lahve – amoniak</w:t>
            </w:r>
          </w:p>
        </w:tc>
        <w:tc>
          <w:tcPr>
            <w:tcW w:w="1982" w:type="dxa"/>
            <w:tcBorders>
              <w:top w:val="single" w:sz="4" w:space="0" w:color="auto"/>
              <w:left w:val="single" w:sz="4" w:space="0" w:color="auto"/>
              <w:bottom w:val="nil"/>
              <w:right w:val="nil"/>
            </w:tcBorders>
            <w:shd w:val="clear" w:color="auto" w:fill="FFFFFF"/>
            <w:vAlign w:val="center"/>
          </w:tcPr>
          <w:p w14:paraId="497F6039"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2</w:t>
            </w:r>
          </w:p>
        </w:tc>
        <w:tc>
          <w:tcPr>
            <w:tcW w:w="1987" w:type="dxa"/>
            <w:tcBorders>
              <w:top w:val="single" w:sz="4" w:space="0" w:color="auto"/>
              <w:left w:val="single" w:sz="4" w:space="0" w:color="auto"/>
              <w:bottom w:val="nil"/>
              <w:right w:val="nil"/>
            </w:tcBorders>
            <w:shd w:val="clear" w:color="auto" w:fill="FFFFFF"/>
            <w:vAlign w:val="center"/>
          </w:tcPr>
          <w:p w14:paraId="369B35DC"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1.1. 2024</w:t>
            </w:r>
          </w:p>
        </w:tc>
        <w:tc>
          <w:tcPr>
            <w:tcW w:w="1982" w:type="dxa"/>
            <w:tcBorders>
              <w:top w:val="single" w:sz="4" w:space="0" w:color="auto"/>
              <w:left w:val="single" w:sz="4" w:space="0" w:color="auto"/>
              <w:bottom w:val="nil"/>
              <w:right w:val="nil"/>
            </w:tcBorders>
            <w:shd w:val="clear" w:color="auto" w:fill="FFFFFF"/>
            <w:vAlign w:val="center"/>
          </w:tcPr>
          <w:p w14:paraId="7B6E19E0"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31.12. 2024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49E3A83A"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1.000,-</w:t>
            </w:r>
          </w:p>
        </w:tc>
      </w:tr>
      <w:tr w:rsidR="00000000" w14:paraId="16722003" w14:textId="77777777">
        <w:tblPrEx>
          <w:tblCellMar>
            <w:top w:w="0" w:type="dxa"/>
            <w:left w:w="0" w:type="dxa"/>
            <w:bottom w:w="0" w:type="dxa"/>
            <w:right w:w="0" w:type="dxa"/>
          </w:tblCellMar>
        </w:tblPrEx>
        <w:trPr>
          <w:trHeight w:hRule="exact" w:val="307"/>
        </w:trPr>
        <w:tc>
          <w:tcPr>
            <w:tcW w:w="1992" w:type="dxa"/>
            <w:tcBorders>
              <w:top w:val="single" w:sz="4" w:space="0" w:color="auto"/>
              <w:left w:val="single" w:sz="4" w:space="0" w:color="auto"/>
              <w:bottom w:val="single" w:sz="4" w:space="0" w:color="auto"/>
              <w:right w:val="nil"/>
            </w:tcBorders>
            <w:shd w:val="clear" w:color="auto" w:fill="FFFFFF"/>
            <w:vAlign w:val="center"/>
          </w:tcPr>
          <w:p w14:paraId="1209948C"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Lahve – speciální plyny</w:t>
            </w:r>
          </w:p>
        </w:tc>
        <w:tc>
          <w:tcPr>
            <w:tcW w:w="1982" w:type="dxa"/>
            <w:tcBorders>
              <w:top w:val="single" w:sz="4" w:space="0" w:color="auto"/>
              <w:left w:val="single" w:sz="4" w:space="0" w:color="auto"/>
              <w:bottom w:val="single" w:sz="4" w:space="0" w:color="auto"/>
              <w:right w:val="nil"/>
            </w:tcBorders>
            <w:shd w:val="clear" w:color="auto" w:fill="FFFFFF"/>
            <w:vAlign w:val="center"/>
          </w:tcPr>
          <w:p w14:paraId="14946AD8"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111</w:t>
            </w:r>
          </w:p>
        </w:tc>
        <w:tc>
          <w:tcPr>
            <w:tcW w:w="1987" w:type="dxa"/>
            <w:tcBorders>
              <w:top w:val="single" w:sz="4" w:space="0" w:color="auto"/>
              <w:left w:val="single" w:sz="4" w:space="0" w:color="auto"/>
              <w:bottom w:val="single" w:sz="4" w:space="0" w:color="auto"/>
              <w:right w:val="nil"/>
            </w:tcBorders>
            <w:shd w:val="clear" w:color="auto" w:fill="FFFFFF"/>
            <w:vAlign w:val="center"/>
          </w:tcPr>
          <w:p w14:paraId="1CD3ABD9"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1.1. 2024</w:t>
            </w:r>
          </w:p>
        </w:tc>
        <w:tc>
          <w:tcPr>
            <w:tcW w:w="1982" w:type="dxa"/>
            <w:tcBorders>
              <w:top w:val="single" w:sz="4" w:space="0" w:color="auto"/>
              <w:left w:val="single" w:sz="4" w:space="0" w:color="auto"/>
              <w:bottom w:val="single" w:sz="4" w:space="0" w:color="auto"/>
              <w:right w:val="nil"/>
            </w:tcBorders>
            <w:shd w:val="clear" w:color="auto" w:fill="FFFFFF"/>
            <w:vAlign w:val="center"/>
          </w:tcPr>
          <w:p w14:paraId="7F747354"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31.12. 2024</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31795301" w14:textId="77777777" w:rsidR="0077036C" w:rsidRDefault="0077036C">
            <w:pPr>
              <w:pStyle w:val="Style7"/>
              <w:framePr w:w="9941" w:h="2107" w:wrap="none" w:vAnchor="page" w:hAnchor="page" w:x="845" w:y="2322"/>
              <w:shd w:val="clear" w:color="auto" w:fill="auto"/>
              <w:spacing w:after="0"/>
              <w:jc w:val="center"/>
              <w:rPr>
                <w:sz w:val="16"/>
                <w:szCs w:val="16"/>
              </w:rPr>
            </w:pPr>
            <w:r>
              <w:rPr>
                <w:rStyle w:val="CharStyle8"/>
                <w:color w:val="000000"/>
                <w:sz w:val="16"/>
                <w:szCs w:val="16"/>
              </w:rPr>
              <w:t>1.050,-</w:t>
            </w:r>
          </w:p>
        </w:tc>
      </w:tr>
    </w:tbl>
    <w:p w14:paraId="3342D3FB" w14:textId="77777777" w:rsidR="0077036C" w:rsidRDefault="0077036C">
      <w:pPr>
        <w:pStyle w:val="Style18"/>
        <w:framePr w:wrap="none" w:vAnchor="page" w:hAnchor="page" w:x="826" w:y="16333"/>
        <w:shd w:val="clear" w:color="auto" w:fill="auto"/>
        <w:rPr>
          <w:sz w:val="14"/>
          <w:szCs w:val="14"/>
        </w:rPr>
      </w:pPr>
      <w:r>
        <w:rPr>
          <w:rStyle w:val="CharStyle19"/>
          <w:color w:val="000000"/>
          <w:sz w:val="14"/>
          <w:szCs w:val="14"/>
        </w:rPr>
        <w:t>Form 1211/15 2005.01</w:t>
      </w:r>
    </w:p>
    <w:p w14:paraId="25CB0333" w14:textId="77777777" w:rsidR="0077036C" w:rsidRDefault="0077036C">
      <w:pPr>
        <w:spacing w:line="1" w:lineRule="exact"/>
        <w:rPr>
          <w:color w:val="auto"/>
        </w:rPr>
      </w:pPr>
    </w:p>
    <w:sectPr w:rsidR="00000000">
      <w:pgSz w:w="11909" w:h="16838"/>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2"/>
        <w:szCs w:val="12"/>
        <w:u w:val="none"/>
      </w:rPr>
    </w:lvl>
    <w:lvl w:ilvl="1">
      <w:start w:val="1"/>
      <w:numFmt w:val="decimal"/>
      <w:lvlText w:val="%1."/>
      <w:lvlJc w:val="left"/>
      <w:rPr>
        <w:rFonts w:ascii="Arial" w:hAnsi="Arial" w:cs="Arial"/>
        <w:b/>
        <w:bCs/>
        <w:i w:val="0"/>
        <w:iCs w:val="0"/>
        <w:smallCaps w:val="0"/>
        <w:strike w:val="0"/>
        <w:color w:val="000000"/>
        <w:spacing w:val="0"/>
        <w:w w:val="100"/>
        <w:position w:val="0"/>
        <w:sz w:val="12"/>
        <w:szCs w:val="12"/>
        <w:u w:val="none"/>
      </w:rPr>
    </w:lvl>
    <w:lvl w:ilvl="2">
      <w:start w:val="1"/>
      <w:numFmt w:val="decimal"/>
      <w:lvlText w:val="%1."/>
      <w:lvlJc w:val="left"/>
      <w:rPr>
        <w:rFonts w:ascii="Arial" w:hAnsi="Arial" w:cs="Arial"/>
        <w:b/>
        <w:bCs/>
        <w:i w:val="0"/>
        <w:iCs w:val="0"/>
        <w:smallCaps w:val="0"/>
        <w:strike w:val="0"/>
        <w:color w:val="000000"/>
        <w:spacing w:val="0"/>
        <w:w w:val="100"/>
        <w:position w:val="0"/>
        <w:sz w:val="12"/>
        <w:szCs w:val="12"/>
        <w:u w:val="none"/>
      </w:rPr>
    </w:lvl>
    <w:lvl w:ilvl="3">
      <w:start w:val="1"/>
      <w:numFmt w:val="decimal"/>
      <w:lvlText w:val="%1."/>
      <w:lvlJc w:val="left"/>
      <w:rPr>
        <w:rFonts w:ascii="Arial" w:hAnsi="Arial" w:cs="Arial"/>
        <w:b/>
        <w:bCs/>
        <w:i w:val="0"/>
        <w:iCs w:val="0"/>
        <w:smallCaps w:val="0"/>
        <w:strike w:val="0"/>
        <w:color w:val="000000"/>
        <w:spacing w:val="0"/>
        <w:w w:val="100"/>
        <w:position w:val="0"/>
        <w:sz w:val="12"/>
        <w:szCs w:val="12"/>
        <w:u w:val="none"/>
      </w:rPr>
    </w:lvl>
    <w:lvl w:ilvl="4">
      <w:start w:val="1"/>
      <w:numFmt w:val="decimal"/>
      <w:lvlText w:val="%1."/>
      <w:lvlJc w:val="left"/>
      <w:rPr>
        <w:rFonts w:ascii="Arial" w:hAnsi="Arial" w:cs="Arial"/>
        <w:b/>
        <w:bCs/>
        <w:i w:val="0"/>
        <w:iCs w:val="0"/>
        <w:smallCaps w:val="0"/>
        <w:strike w:val="0"/>
        <w:color w:val="000000"/>
        <w:spacing w:val="0"/>
        <w:w w:val="100"/>
        <w:position w:val="0"/>
        <w:sz w:val="12"/>
        <w:szCs w:val="12"/>
        <w:u w:val="none"/>
      </w:rPr>
    </w:lvl>
    <w:lvl w:ilvl="5">
      <w:start w:val="1"/>
      <w:numFmt w:val="decimal"/>
      <w:lvlText w:val="%1."/>
      <w:lvlJc w:val="left"/>
      <w:rPr>
        <w:rFonts w:ascii="Arial" w:hAnsi="Arial" w:cs="Arial"/>
        <w:b/>
        <w:bCs/>
        <w:i w:val="0"/>
        <w:iCs w:val="0"/>
        <w:smallCaps w:val="0"/>
        <w:strike w:val="0"/>
        <w:color w:val="000000"/>
        <w:spacing w:val="0"/>
        <w:w w:val="100"/>
        <w:position w:val="0"/>
        <w:sz w:val="12"/>
        <w:szCs w:val="12"/>
        <w:u w:val="none"/>
      </w:rPr>
    </w:lvl>
    <w:lvl w:ilvl="6">
      <w:start w:val="1"/>
      <w:numFmt w:val="decimal"/>
      <w:lvlText w:val="%1."/>
      <w:lvlJc w:val="left"/>
      <w:rPr>
        <w:rFonts w:ascii="Arial" w:hAnsi="Arial" w:cs="Arial"/>
        <w:b/>
        <w:bCs/>
        <w:i w:val="0"/>
        <w:iCs w:val="0"/>
        <w:smallCaps w:val="0"/>
        <w:strike w:val="0"/>
        <w:color w:val="000000"/>
        <w:spacing w:val="0"/>
        <w:w w:val="100"/>
        <w:position w:val="0"/>
        <w:sz w:val="12"/>
        <w:szCs w:val="12"/>
        <w:u w:val="none"/>
      </w:rPr>
    </w:lvl>
    <w:lvl w:ilvl="7">
      <w:start w:val="1"/>
      <w:numFmt w:val="decimal"/>
      <w:lvlText w:val="%1."/>
      <w:lvlJc w:val="left"/>
      <w:rPr>
        <w:rFonts w:ascii="Arial" w:hAnsi="Arial" w:cs="Arial"/>
        <w:b/>
        <w:bCs/>
        <w:i w:val="0"/>
        <w:iCs w:val="0"/>
        <w:smallCaps w:val="0"/>
        <w:strike w:val="0"/>
        <w:color w:val="000000"/>
        <w:spacing w:val="0"/>
        <w:w w:val="100"/>
        <w:position w:val="0"/>
        <w:sz w:val="12"/>
        <w:szCs w:val="12"/>
        <w:u w:val="none"/>
      </w:rPr>
    </w:lvl>
    <w:lvl w:ilvl="8">
      <w:start w:val="1"/>
      <w:numFmt w:val="decimal"/>
      <w:lvlText w:val="%1."/>
      <w:lvlJc w:val="left"/>
      <w:rPr>
        <w:rFonts w:ascii="Arial" w:hAnsi="Arial" w:cs="Arial"/>
        <w:b/>
        <w:bCs/>
        <w:i w:val="0"/>
        <w:iCs w:val="0"/>
        <w:smallCaps w:val="0"/>
        <w:strike w:val="0"/>
        <w:color w:val="000000"/>
        <w:spacing w:val="0"/>
        <w:w w:val="100"/>
        <w:position w:val="0"/>
        <w:sz w:val="12"/>
        <w:szCs w:val="12"/>
        <w:u w:val="none"/>
      </w:rPr>
    </w:lvl>
  </w:abstractNum>
  <w:abstractNum w:abstractNumId="2" w15:restartNumberingAfterBreak="0">
    <w:nsid w:val="00000005"/>
    <w:multiLevelType w:val="multilevel"/>
    <w:tmpl w:val="FFFFFFFF"/>
    <w:lvl w:ilvl="0">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lvl w:ilvl="1">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lvl w:ilvl="2">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lvl w:ilvl="3">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lvl w:ilvl="4">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lvl w:ilvl="5">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lvl w:ilvl="6">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lvl w:ilvl="7">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lvl w:ilvl="8">
      <w:start w:val="1"/>
      <w:numFmt w:val="bullet"/>
      <w:lvlText w:val="V"/>
      <w:lvlJc w:val="left"/>
      <w:rPr>
        <w:rFonts w:ascii="Arial" w:hAnsi="Arial" w:cs="Arial"/>
        <w:b w:val="0"/>
        <w:bCs w:val="0"/>
        <w:i w:val="0"/>
        <w:iCs w:val="0"/>
        <w:smallCaps w:val="0"/>
        <w:strike w:val="0"/>
        <w:color w:val="000000"/>
        <w:spacing w:val="0"/>
        <w:w w:val="100"/>
        <w:position w:val="0"/>
        <w:sz w:val="12"/>
        <w:szCs w:val="12"/>
        <w:u w:val="none"/>
      </w:rPr>
    </w:lvl>
  </w:abstractNum>
  <w:num w:numId="1" w16cid:durableId="979576139">
    <w:abstractNumId w:val="0"/>
  </w:num>
  <w:num w:numId="2" w16cid:durableId="1471092039">
    <w:abstractNumId w:val="1"/>
  </w:num>
  <w:num w:numId="3" w16cid:durableId="2140803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6C"/>
    <w:rsid w:val="007703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C01F2"/>
  <w14:defaultImageDpi w14:val="0"/>
  <w15:docId w15:val="{803D5736-98EB-486D-B1F3-0F94319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uiPriority w:val="99"/>
    <w:rPr>
      <w:sz w:val="20"/>
      <w:szCs w:val="20"/>
      <w:u w:val="none"/>
    </w:rPr>
  </w:style>
  <w:style w:type="character" w:customStyle="1" w:styleId="CharStyle6">
    <w:name w:val="Char Style 6"/>
    <w:basedOn w:val="Standardnpsmoodstavce"/>
    <w:link w:val="Style5"/>
    <w:uiPriority w:val="99"/>
    <w:rPr>
      <w:rFonts w:ascii="Arial" w:hAnsi="Arial" w:cs="Arial"/>
      <w:sz w:val="16"/>
      <w:szCs w:val="16"/>
      <w:u w:val="none"/>
    </w:rPr>
  </w:style>
  <w:style w:type="character" w:customStyle="1" w:styleId="CharStyle8">
    <w:name w:val="Char Style 8"/>
    <w:basedOn w:val="Standardnpsmoodstavce"/>
    <w:link w:val="Style7"/>
    <w:uiPriority w:val="99"/>
    <w:rPr>
      <w:rFonts w:ascii="Arial" w:hAnsi="Arial" w:cs="Arial"/>
      <w:sz w:val="12"/>
      <w:szCs w:val="12"/>
      <w:u w:val="none"/>
    </w:rPr>
  </w:style>
  <w:style w:type="character" w:customStyle="1" w:styleId="CharStyle11">
    <w:name w:val="Char Style 11"/>
    <w:basedOn w:val="Standardnpsmoodstavce"/>
    <w:link w:val="Style10"/>
    <w:uiPriority w:val="99"/>
    <w:rPr>
      <w:rFonts w:ascii="Arial" w:hAnsi="Arial" w:cs="Arial"/>
      <w:sz w:val="16"/>
      <w:szCs w:val="16"/>
      <w:u w:val="none"/>
    </w:rPr>
  </w:style>
  <w:style w:type="character" w:customStyle="1" w:styleId="CharStyle14">
    <w:name w:val="Char Style 14"/>
    <w:basedOn w:val="Standardnpsmoodstavce"/>
    <w:link w:val="Style13"/>
    <w:uiPriority w:val="99"/>
    <w:rPr>
      <w:rFonts w:ascii="Arial" w:hAnsi="Arial" w:cs="Arial"/>
      <w:sz w:val="16"/>
      <w:szCs w:val="16"/>
      <w:u w:val="none"/>
    </w:rPr>
  </w:style>
  <w:style w:type="character" w:customStyle="1" w:styleId="CharStyle17">
    <w:name w:val="Char Style 17"/>
    <w:basedOn w:val="Standardnpsmoodstavce"/>
    <w:link w:val="Style16"/>
    <w:uiPriority w:val="99"/>
    <w:rPr>
      <w:rFonts w:ascii="Arial" w:hAnsi="Arial" w:cs="Arial"/>
      <w:sz w:val="12"/>
      <w:szCs w:val="12"/>
      <w:u w:val="none"/>
    </w:rPr>
  </w:style>
  <w:style w:type="character" w:customStyle="1" w:styleId="CharStyle19">
    <w:name w:val="Char Style 19"/>
    <w:basedOn w:val="Standardnpsmoodstavce"/>
    <w:link w:val="Style18"/>
    <w:uiPriority w:val="99"/>
    <w:rPr>
      <w:rFonts w:ascii="Arial" w:hAnsi="Arial" w:cs="Arial"/>
      <w:sz w:val="12"/>
      <w:szCs w:val="12"/>
      <w:u w:val="none"/>
    </w:rPr>
  </w:style>
  <w:style w:type="character" w:customStyle="1" w:styleId="CharStyle21">
    <w:name w:val="Char Style 21"/>
    <w:basedOn w:val="Standardnpsmoodstavce"/>
    <w:link w:val="Style20"/>
    <w:uiPriority w:val="99"/>
    <w:rPr>
      <w:rFonts w:ascii="Arial" w:hAnsi="Arial" w:cs="Arial"/>
      <w:b/>
      <w:bCs/>
      <w:sz w:val="16"/>
      <w:szCs w:val="16"/>
      <w:u w:val="none"/>
    </w:rPr>
  </w:style>
  <w:style w:type="character" w:customStyle="1" w:styleId="CharStyle23">
    <w:name w:val="Char Style 23"/>
    <w:basedOn w:val="Standardnpsmoodstavce"/>
    <w:link w:val="Style22"/>
    <w:uiPriority w:val="99"/>
    <w:rPr>
      <w:rFonts w:ascii="Arial" w:hAnsi="Arial" w:cs="Arial"/>
      <w:b/>
      <w:bCs/>
      <w:sz w:val="12"/>
      <w:szCs w:val="12"/>
      <w:u w:val="none"/>
    </w:rPr>
  </w:style>
  <w:style w:type="character" w:customStyle="1" w:styleId="CharStyle27">
    <w:name w:val="Char Style 27"/>
    <w:basedOn w:val="Standardnpsmoodstavce"/>
    <w:link w:val="Style26"/>
    <w:uiPriority w:val="99"/>
    <w:rPr>
      <w:rFonts w:ascii="Arial" w:hAnsi="Arial" w:cs="Arial"/>
      <w:sz w:val="22"/>
      <w:szCs w:val="22"/>
      <w:u w:val="none"/>
    </w:rPr>
  </w:style>
  <w:style w:type="paragraph" w:customStyle="1" w:styleId="Style2">
    <w:name w:val="Style 2"/>
    <w:basedOn w:val="Normln"/>
    <w:link w:val="CharStyle3"/>
    <w:uiPriority w:val="99"/>
    <w:rPr>
      <w:color w:val="auto"/>
      <w:sz w:val="20"/>
      <w:szCs w:val="20"/>
    </w:rPr>
  </w:style>
  <w:style w:type="paragraph" w:customStyle="1" w:styleId="Style5">
    <w:name w:val="Style 5"/>
    <w:basedOn w:val="Normln"/>
    <w:link w:val="CharStyle6"/>
    <w:uiPriority w:val="99"/>
    <w:pPr>
      <w:shd w:val="clear" w:color="auto" w:fill="FFFFFF"/>
    </w:pPr>
    <w:rPr>
      <w:rFonts w:ascii="Arial" w:hAnsi="Arial" w:cs="Arial"/>
      <w:color w:val="auto"/>
      <w:sz w:val="16"/>
      <w:szCs w:val="16"/>
    </w:rPr>
  </w:style>
  <w:style w:type="paragraph" w:customStyle="1" w:styleId="Style7">
    <w:name w:val="Style 7"/>
    <w:basedOn w:val="Normln"/>
    <w:link w:val="CharStyle8"/>
    <w:uiPriority w:val="99"/>
    <w:pPr>
      <w:shd w:val="clear" w:color="auto" w:fill="FFFFFF"/>
      <w:spacing w:after="80"/>
    </w:pPr>
    <w:rPr>
      <w:rFonts w:ascii="Arial" w:hAnsi="Arial" w:cs="Arial"/>
      <w:color w:val="auto"/>
      <w:sz w:val="12"/>
      <w:szCs w:val="12"/>
    </w:rPr>
  </w:style>
  <w:style w:type="paragraph" w:customStyle="1" w:styleId="Style10">
    <w:name w:val="Style 10"/>
    <w:basedOn w:val="Normln"/>
    <w:link w:val="CharStyle11"/>
    <w:uiPriority w:val="99"/>
    <w:pPr>
      <w:shd w:val="clear" w:color="auto" w:fill="FFFFFF"/>
    </w:pPr>
    <w:rPr>
      <w:rFonts w:ascii="Arial" w:hAnsi="Arial" w:cs="Arial"/>
      <w:color w:val="auto"/>
      <w:sz w:val="16"/>
      <w:szCs w:val="16"/>
    </w:rPr>
  </w:style>
  <w:style w:type="paragraph" w:customStyle="1" w:styleId="Style13">
    <w:name w:val="Style 13"/>
    <w:basedOn w:val="Normln"/>
    <w:link w:val="CharStyle14"/>
    <w:uiPriority w:val="99"/>
    <w:pPr>
      <w:shd w:val="clear" w:color="auto" w:fill="FFFFFF"/>
      <w:spacing w:after="180"/>
    </w:pPr>
    <w:rPr>
      <w:rFonts w:ascii="Arial" w:hAnsi="Arial" w:cs="Arial"/>
      <w:color w:val="auto"/>
      <w:sz w:val="16"/>
      <w:szCs w:val="16"/>
    </w:rPr>
  </w:style>
  <w:style w:type="paragraph" w:customStyle="1" w:styleId="Style16">
    <w:name w:val="Style 16"/>
    <w:basedOn w:val="Normln"/>
    <w:link w:val="CharStyle17"/>
    <w:uiPriority w:val="99"/>
    <w:pPr>
      <w:shd w:val="clear" w:color="auto" w:fill="FFFFFF"/>
      <w:spacing w:after="80"/>
    </w:pPr>
    <w:rPr>
      <w:rFonts w:ascii="Arial" w:hAnsi="Arial" w:cs="Arial"/>
      <w:color w:val="auto"/>
      <w:sz w:val="12"/>
      <w:szCs w:val="12"/>
    </w:rPr>
  </w:style>
  <w:style w:type="paragraph" w:customStyle="1" w:styleId="Style18">
    <w:name w:val="Style 18"/>
    <w:basedOn w:val="Normln"/>
    <w:link w:val="CharStyle19"/>
    <w:uiPriority w:val="99"/>
    <w:pPr>
      <w:shd w:val="clear" w:color="auto" w:fill="FFFFFF"/>
    </w:pPr>
    <w:rPr>
      <w:rFonts w:ascii="Arial" w:hAnsi="Arial" w:cs="Arial"/>
      <w:color w:val="auto"/>
      <w:sz w:val="12"/>
      <w:szCs w:val="12"/>
    </w:rPr>
  </w:style>
  <w:style w:type="paragraph" w:customStyle="1" w:styleId="Style20">
    <w:name w:val="Style 20"/>
    <w:basedOn w:val="Normln"/>
    <w:link w:val="CharStyle21"/>
    <w:uiPriority w:val="99"/>
    <w:pPr>
      <w:shd w:val="clear" w:color="auto" w:fill="FFFFFF"/>
      <w:spacing w:after="120"/>
      <w:outlineLvl w:val="1"/>
    </w:pPr>
    <w:rPr>
      <w:rFonts w:ascii="Arial" w:hAnsi="Arial" w:cs="Arial"/>
      <w:b/>
      <w:bCs/>
      <w:color w:val="auto"/>
      <w:sz w:val="16"/>
      <w:szCs w:val="16"/>
    </w:rPr>
  </w:style>
  <w:style w:type="paragraph" w:customStyle="1" w:styleId="Style22">
    <w:name w:val="Style 22"/>
    <w:basedOn w:val="Normln"/>
    <w:link w:val="CharStyle23"/>
    <w:uiPriority w:val="99"/>
    <w:pPr>
      <w:shd w:val="clear" w:color="auto" w:fill="FFFFFF"/>
      <w:outlineLvl w:val="2"/>
    </w:pPr>
    <w:rPr>
      <w:rFonts w:ascii="Arial" w:hAnsi="Arial" w:cs="Arial"/>
      <w:b/>
      <w:bCs/>
      <w:color w:val="auto"/>
      <w:sz w:val="12"/>
      <w:szCs w:val="12"/>
    </w:rPr>
  </w:style>
  <w:style w:type="paragraph" w:customStyle="1" w:styleId="Style26">
    <w:name w:val="Style 26"/>
    <w:basedOn w:val="Normln"/>
    <w:link w:val="CharStyle27"/>
    <w:uiPriority w:val="99"/>
    <w:pPr>
      <w:shd w:val="clear" w:color="auto" w:fill="FFFFFF"/>
      <w:spacing w:after="440"/>
      <w:outlineLvl w:val="0"/>
    </w:pPr>
    <w:rPr>
      <w:rFonts w:ascii="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2180</Words>
  <Characters>12866</Characters>
  <Application>Microsoft Office Word</Application>
  <DocSecurity>0</DocSecurity>
  <Lines>107</Lines>
  <Paragraphs>30</Paragraphs>
  <ScaleCrop>false</ScaleCrop>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Nováková</dc:creator>
  <cp:keywords/>
  <dc:description/>
  <cp:lastModifiedBy>Kende Petr UCHP</cp:lastModifiedBy>
  <cp:revision>2</cp:revision>
  <dcterms:created xsi:type="dcterms:W3CDTF">2024-02-23T09:35:00Z</dcterms:created>
  <dcterms:modified xsi:type="dcterms:W3CDTF">2024-02-23T09:35:00Z</dcterms:modified>
</cp:coreProperties>
</file>