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1A791E72" w:rsidR="00B07421" w:rsidRPr="00172650" w:rsidRDefault="006730D9" w:rsidP="00E962A1">
                            <w:r>
                              <w:t>č</w:t>
                            </w:r>
                            <w:r w:rsidR="00B07421">
                              <w:t>íslo sml</w:t>
                            </w:r>
                            <w:r w:rsidR="00205B32">
                              <w:t xml:space="preserve">ouvy </w:t>
                            </w:r>
                            <w:r w:rsidR="00DD0016">
                              <w:t>O</w:t>
                            </w:r>
                            <w:r w:rsidR="00205B32">
                              <w:t>bjednatele:</w:t>
                            </w:r>
                            <w:r w:rsidR="006B366F">
                              <w:t xml:space="preserve"> </w:t>
                            </w:r>
                            <w:r w:rsidR="006B366F" w:rsidRPr="006B366F">
                              <w:t>202</w:t>
                            </w:r>
                            <w:r w:rsidR="00AE7612">
                              <w:t>4</w:t>
                            </w:r>
                            <w:r w:rsidR="006B366F" w:rsidRPr="006B366F">
                              <w:t>/S/320/0023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1A791E72" w:rsidR="00B07421" w:rsidRPr="00172650" w:rsidRDefault="006730D9" w:rsidP="00E962A1">
                      <w:r>
                        <w:t>č</w:t>
                      </w:r>
                      <w:r w:rsidR="00B07421">
                        <w:t>íslo sml</w:t>
                      </w:r>
                      <w:r w:rsidR="00205B32">
                        <w:t xml:space="preserve">ouvy </w:t>
                      </w:r>
                      <w:r w:rsidR="00DD0016">
                        <w:t>O</w:t>
                      </w:r>
                      <w:r w:rsidR="00205B32">
                        <w:t>bjednatele:</w:t>
                      </w:r>
                      <w:r w:rsidR="006B366F">
                        <w:t xml:space="preserve"> </w:t>
                      </w:r>
                      <w:r w:rsidR="006B366F" w:rsidRPr="006B366F">
                        <w:t>202</w:t>
                      </w:r>
                      <w:r w:rsidR="00AE7612">
                        <w:t>4</w:t>
                      </w:r>
                      <w:r w:rsidR="006B366F" w:rsidRPr="006B366F">
                        <w:t>/S/320/0023</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1E44C225" w:rsidR="00287C16" w:rsidRPr="00520DFC" w:rsidRDefault="00373D67" w:rsidP="00373D67">
                            <w:pPr>
                              <w:jc w:val="center"/>
                              <w:rPr>
                                <w:b/>
                                <w:bCs/>
                                <w:sz w:val="28"/>
                                <w:szCs w:val="28"/>
                                <w:lang w:eastAsia="cs-CZ"/>
                              </w:rPr>
                            </w:pPr>
                            <w:r>
                              <w:rPr>
                                <w:b/>
                                <w:bCs/>
                                <w:sz w:val="28"/>
                                <w:szCs w:val="28"/>
                                <w:lang w:eastAsia="cs-CZ"/>
                              </w:rPr>
                              <w:t xml:space="preserve">Data </w:t>
                            </w:r>
                            <w:proofErr w:type="spellStart"/>
                            <w:r>
                              <w:rPr>
                                <w:b/>
                                <w:bCs/>
                                <w:sz w:val="28"/>
                                <w:szCs w:val="28"/>
                                <w:lang w:eastAsia="cs-CZ"/>
                              </w:rPr>
                              <w:t>Rhymes</w:t>
                            </w:r>
                            <w:proofErr w:type="spellEnd"/>
                            <w:r>
                              <w:rPr>
                                <w:b/>
                                <w:bCs/>
                                <w:sz w:val="28"/>
                                <w:szCs w:val="28"/>
                                <w:lang w:eastAsia="cs-CZ"/>
                              </w:rPr>
                              <w:t xml:space="preserve">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1E44C225" w:rsidR="00287C16" w:rsidRPr="00520DFC" w:rsidRDefault="00373D67" w:rsidP="00373D67">
                      <w:pPr>
                        <w:jc w:val="center"/>
                        <w:rPr>
                          <w:b/>
                          <w:bCs/>
                          <w:sz w:val="28"/>
                          <w:szCs w:val="28"/>
                          <w:lang w:eastAsia="cs-CZ"/>
                        </w:rPr>
                      </w:pPr>
                      <w:r>
                        <w:rPr>
                          <w:b/>
                          <w:bCs/>
                          <w:sz w:val="28"/>
                          <w:szCs w:val="28"/>
                          <w:lang w:eastAsia="cs-CZ"/>
                        </w:rPr>
                        <w:t xml:space="preserve">Data </w:t>
                      </w:r>
                      <w:proofErr w:type="spellStart"/>
                      <w:r>
                        <w:rPr>
                          <w:b/>
                          <w:bCs/>
                          <w:sz w:val="28"/>
                          <w:szCs w:val="28"/>
                          <w:lang w:eastAsia="cs-CZ"/>
                        </w:rPr>
                        <w:t>Rhymes</w:t>
                      </w:r>
                      <w:proofErr w:type="spellEnd"/>
                      <w:r>
                        <w:rPr>
                          <w:b/>
                          <w:bCs/>
                          <w:sz w:val="28"/>
                          <w:szCs w:val="28"/>
                          <w:lang w:eastAsia="cs-CZ"/>
                        </w:rPr>
                        <w:t xml:space="preserve"> s.r.o.</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4A1BF059" w:rsidR="009D54CF" w:rsidRPr="00291855" w:rsidRDefault="00373D67" w:rsidP="006E1BE5">
            <w:pPr>
              <w:pStyle w:val="TableTextCzechTourism"/>
              <w:keepNext/>
              <w:spacing w:line="260" w:lineRule="exact"/>
              <w:rPr>
                <w:rFonts w:ascii="Georgia" w:hAnsi="Georgia"/>
                <w:sz w:val="22"/>
                <w:szCs w:val="22"/>
              </w:rPr>
            </w:pPr>
            <w:r w:rsidRPr="00373D67">
              <w:rPr>
                <w:rFonts w:ascii="Georgia" w:hAnsi="Georgia"/>
                <w:sz w:val="22"/>
                <w:szCs w:val="22"/>
              </w:rPr>
              <w:t xml:space="preserve">František </w:t>
            </w:r>
            <w:proofErr w:type="spellStart"/>
            <w:r w:rsidRPr="00373D67">
              <w:rPr>
                <w:rFonts w:ascii="Georgia" w:hAnsi="Georgia"/>
                <w:sz w:val="22"/>
                <w:szCs w:val="22"/>
              </w:rPr>
              <w:t>Reismüller</w:t>
            </w:r>
            <w:proofErr w:type="spellEnd"/>
            <w:r w:rsidRPr="00373D67">
              <w:rPr>
                <w:rFonts w:ascii="Georgia" w:hAnsi="Georgia"/>
                <w:sz w:val="22"/>
                <w:szCs w:val="22"/>
              </w:rPr>
              <w:t>, Ph.D., ředitel</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00" w:type="pct"/>
          </w:tcPr>
          <w:p w14:paraId="45285082" w14:textId="0F8153B7" w:rsidR="00B07421" w:rsidRPr="006E4D4E" w:rsidRDefault="00FE76C0" w:rsidP="006E1BE5">
            <w:pPr>
              <w:pStyle w:val="TableTextCzechTourism"/>
              <w:keepNext/>
              <w:spacing w:line="260" w:lineRule="exact"/>
              <w:rPr>
                <w:rFonts w:ascii="Georgia" w:hAnsi="Georgia"/>
                <w:sz w:val="22"/>
                <w:szCs w:val="22"/>
              </w:rPr>
            </w:pPr>
            <w:r w:rsidRPr="00FE76C0">
              <w:rPr>
                <w:rFonts w:ascii="Georgia" w:hAnsi="Georgia"/>
                <w:sz w:val="22"/>
                <w:szCs w:val="22"/>
              </w:rPr>
              <w:t xml:space="preserve">Data </w:t>
            </w:r>
            <w:proofErr w:type="spellStart"/>
            <w:r w:rsidRPr="00FE76C0">
              <w:rPr>
                <w:rFonts w:ascii="Georgia" w:hAnsi="Georgia"/>
                <w:sz w:val="22"/>
                <w:szCs w:val="22"/>
              </w:rPr>
              <w:t>Rhymes</w:t>
            </w:r>
            <w:proofErr w:type="spellEnd"/>
            <w:r w:rsidRPr="00FE76C0">
              <w:rPr>
                <w:rFonts w:ascii="Georgia" w:hAnsi="Georgia"/>
                <w:sz w:val="22"/>
                <w:szCs w:val="22"/>
              </w:rPr>
              <w:t>, s.r.o.,</w:t>
            </w:r>
          </w:p>
        </w:tc>
      </w:tr>
      <w:tr w:rsidR="00D71102" w:rsidRPr="006E4D4E" w14:paraId="4159E303" w14:textId="77777777" w:rsidTr="00A465CC">
        <w:tc>
          <w:tcPr>
            <w:tcW w:w="2500" w:type="pct"/>
          </w:tcPr>
          <w:p w14:paraId="12B52AE6" w14:textId="52496F21"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4B3B69E2" w14:textId="34B8DDDF" w:rsidR="00D71102" w:rsidRPr="006E4D4E" w:rsidRDefault="00FE76C0" w:rsidP="00D71102">
            <w:pPr>
              <w:pStyle w:val="TableTextCzechTourism"/>
              <w:keepNext/>
              <w:spacing w:line="260" w:lineRule="exact"/>
              <w:rPr>
                <w:rFonts w:ascii="Georgia" w:hAnsi="Georgia"/>
                <w:sz w:val="22"/>
                <w:szCs w:val="22"/>
              </w:rPr>
            </w:pPr>
            <w:r w:rsidRPr="00FE76C0">
              <w:rPr>
                <w:rFonts w:ascii="Georgia" w:hAnsi="Georgia"/>
                <w:sz w:val="22"/>
                <w:szCs w:val="22"/>
              </w:rPr>
              <w:t>u Městského soudu v Praze, oddíl C, vložka 315544</w:t>
            </w:r>
          </w:p>
        </w:tc>
      </w:tr>
      <w:tr w:rsidR="00D71102" w:rsidRPr="006E4D4E" w14:paraId="2AFAACB2" w14:textId="77777777" w:rsidTr="00A465CC">
        <w:tc>
          <w:tcPr>
            <w:tcW w:w="2500" w:type="pct"/>
          </w:tcPr>
          <w:p w14:paraId="005A036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1841AF9C" w14:textId="5DE267BA" w:rsidR="00D71102" w:rsidRPr="006E4D4E" w:rsidRDefault="00FE76C0" w:rsidP="00D71102">
            <w:pPr>
              <w:pStyle w:val="TableTextCzechTourism"/>
              <w:keepNext/>
              <w:spacing w:line="260" w:lineRule="exact"/>
              <w:rPr>
                <w:rFonts w:ascii="Georgia" w:hAnsi="Georgia"/>
                <w:sz w:val="22"/>
                <w:szCs w:val="22"/>
              </w:rPr>
            </w:pPr>
            <w:r w:rsidRPr="00FE76C0">
              <w:rPr>
                <w:rFonts w:ascii="Georgia" w:hAnsi="Georgia"/>
                <w:sz w:val="22"/>
                <w:szCs w:val="22"/>
              </w:rPr>
              <w:t>Revoluční 8, Praha 1, 110 00,</w:t>
            </w:r>
          </w:p>
        </w:tc>
      </w:tr>
      <w:tr w:rsidR="00D71102" w:rsidRPr="006E4D4E" w14:paraId="1947E6DA" w14:textId="77777777" w:rsidTr="00A465CC">
        <w:tc>
          <w:tcPr>
            <w:tcW w:w="2500" w:type="pct"/>
          </w:tcPr>
          <w:p w14:paraId="6DBFF345"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77E4A2D6" w14:textId="58E5532C" w:rsidR="00D71102" w:rsidRPr="006E4D4E" w:rsidRDefault="00AE7612" w:rsidP="00D71102">
            <w:pPr>
              <w:pStyle w:val="TableTextCzechTourism"/>
              <w:keepNext/>
              <w:spacing w:line="260" w:lineRule="exact"/>
              <w:rPr>
                <w:rFonts w:ascii="Georgia" w:hAnsi="Georgia"/>
                <w:sz w:val="22"/>
                <w:szCs w:val="22"/>
              </w:rPr>
            </w:pPr>
            <w:r>
              <w:rPr>
                <w:rFonts w:ascii="Georgia" w:hAnsi="Georgia"/>
                <w:sz w:val="22"/>
                <w:szCs w:val="22"/>
              </w:rPr>
              <w:t>XXX</w:t>
            </w:r>
            <w:r w:rsidR="00FE76C0" w:rsidRPr="00FE76C0">
              <w:rPr>
                <w:rFonts w:ascii="Georgia" w:hAnsi="Georgia"/>
                <w:sz w:val="22"/>
                <w:szCs w:val="22"/>
              </w:rPr>
              <w:t>, jednatelem</w:t>
            </w:r>
          </w:p>
        </w:tc>
      </w:tr>
      <w:tr w:rsidR="00D71102" w:rsidRPr="006E4D4E" w14:paraId="1DC38BB1" w14:textId="77777777" w:rsidTr="00A465CC">
        <w:tc>
          <w:tcPr>
            <w:tcW w:w="2500" w:type="pct"/>
          </w:tcPr>
          <w:p w14:paraId="1BD3282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56681243" w:rsidR="00D71102" w:rsidRPr="006E4D4E" w:rsidRDefault="00FE76C0" w:rsidP="00D71102">
            <w:pPr>
              <w:pStyle w:val="TableTextCzechTourism"/>
              <w:keepNext/>
              <w:spacing w:line="260" w:lineRule="exact"/>
              <w:rPr>
                <w:rFonts w:ascii="Georgia" w:hAnsi="Georgia"/>
                <w:sz w:val="22"/>
                <w:szCs w:val="22"/>
              </w:rPr>
            </w:pPr>
            <w:r w:rsidRPr="00FE76C0">
              <w:rPr>
                <w:rFonts w:ascii="Georgia" w:hAnsi="Georgia"/>
                <w:sz w:val="22"/>
                <w:szCs w:val="22"/>
              </w:rPr>
              <w:t>08247919</w:t>
            </w:r>
          </w:p>
        </w:tc>
      </w:tr>
      <w:tr w:rsidR="00D71102" w:rsidRPr="006E4D4E" w14:paraId="3D5E4FC5" w14:textId="77777777" w:rsidTr="00A465CC">
        <w:tc>
          <w:tcPr>
            <w:tcW w:w="2500" w:type="pct"/>
          </w:tcPr>
          <w:p w14:paraId="71D2B660"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BAB801B" w14:textId="10B535BD" w:rsidR="00D71102" w:rsidRPr="006E4D4E" w:rsidRDefault="00FE76C0" w:rsidP="00D71102">
            <w:pPr>
              <w:pStyle w:val="TableTextCzechTourism"/>
              <w:keepNext/>
              <w:spacing w:line="260" w:lineRule="exact"/>
              <w:rPr>
                <w:rFonts w:ascii="Georgia" w:hAnsi="Georgia"/>
                <w:sz w:val="22"/>
                <w:szCs w:val="22"/>
              </w:rPr>
            </w:pPr>
            <w:r w:rsidRPr="00FE76C0">
              <w:rPr>
                <w:rFonts w:ascii="Georgia" w:hAnsi="Georgia"/>
                <w:sz w:val="22"/>
                <w:szCs w:val="22"/>
              </w:rPr>
              <w:t>CZ08247919</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1E5447AB" w:rsidR="00D71102" w:rsidRPr="006E4D4E" w:rsidRDefault="00D71102" w:rsidP="00D71102">
            <w:pPr>
              <w:pStyle w:val="TableTextCzechTourism"/>
              <w:keepNext/>
              <w:spacing w:line="260" w:lineRule="exact"/>
              <w:rPr>
                <w:rFonts w:ascii="Georgia" w:hAnsi="Georgia"/>
                <w:sz w:val="22"/>
                <w:szCs w:val="22"/>
              </w:rPr>
            </w:pPr>
            <w:r w:rsidRPr="00001981">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15675B19" w:rsidR="00D71102" w:rsidRPr="00840315" w:rsidRDefault="00551851" w:rsidP="00D71102">
            <w:pPr>
              <w:pStyle w:val="TableTextCzechTourism"/>
              <w:keepNext/>
              <w:spacing w:line="260" w:lineRule="exact"/>
              <w:rPr>
                <w:rFonts w:ascii="Georgia" w:hAnsi="Georgia"/>
                <w:sz w:val="22"/>
                <w:szCs w:val="22"/>
              </w:rPr>
            </w:pPr>
            <w:r w:rsidRPr="00551851">
              <w:rPr>
                <w:rFonts w:ascii="Georgia" w:hAnsi="Georgia"/>
                <w:sz w:val="22"/>
                <w:szCs w:val="22"/>
              </w:rPr>
              <w:t>115-9923850207 / 0100</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8854665" w:rsidR="00475715" w:rsidRPr="00797BA6" w:rsidRDefault="00857A0A" w:rsidP="00E832E9">
      <w:pPr>
        <w:pStyle w:val="Nzev"/>
        <w:tabs>
          <w:tab w:val="clear" w:pos="680"/>
        </w:tabs>
        <w:spacing w:after="240" w:line="240" w:lineRule="auto"/>
        <w:jc w:val="both"/>
        <w:rPr>
          <w:sz w:val="22"/>
          <w:szCs w:val="22"/>
        </w:rPr>
      </w:pPr>
      <w:r>
        <w:rPr>
          <w:sz w:val="22"/>
          <w:szCs w:val="22"/>
        </w:rPr>
        <w:t xml:space="preserve">Objednatel </w:t>
      </w:r>
      <w:r w:rsidR="00475715" w:rsidRPr="00D700DE">
        <w:rPr>
          <w:sz w:val="22"/>
          <w:szCs w:val="22"/>
        </w:rPr>
        <w:t>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02B63D28"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CD29C7">
        <w:rPr>
          <w:sz w:val="22"/>
          <w:szCs w:val="22"/>
        </w:rPr>
        <w:t>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537CB1FD" w14:textId="5AC05D18" w:rsidR="00FB1576" w:rsidRPr="00FB1576" w:rsidRDefault="00FB1576" w:rsidP="00FC55C3">
      <w:r w:rsidRPr="00FB1576">
        <w:t>Tato smlouva je uzavřena na základě 1. části</w:t>
      </w:r>
      <w:r>
        <w:t xml:space="preserve"> veřejné zakázky</w:t>
      </w:r>
      <w:r w:rsidRPr="00FB1576">
        <w:t xml:space="preserve"> s názvem „</w:t>
      </w:r>
      <w:r w:rsidR="00643293" w:rsidRPr="00643293">
        <w:t>Datové zdroje pro monitor spokojenosti, obsazenosti a jejich predikce (</w:t>
      </w:r>
      <w:proofErr w:type="spellStart"/>
      <w:r w:rsidR="00643293" w:rsidRPr="00643293">
        <w:t>TripAdvisor</w:t>
      </w:r>
      <w:proofErr w:type="spellEnd"/>
      <w:r w:rsidR="00643293" w:rsidRPr="00643293">
        <w:t xml:space="preserve"> &amp; Booking)</w:t>
      </w:r>
      <w:r w:rsidRPr="00FB1576">
        <w:t xml:space="preserve">“ veřejné zakázky s názvem "VZ 2" zadávané v režimu podlimitní veřejné zakázky. Tato část je zadávána v souladu s </w:t>
      </w:r>
      <w:proofErr w:type="spellStart"/>
      <w:r w:rsidRPr="00FB1576">
        <w:t>ust</w:t>
      </w:r>
      <w:proofErr w:type="spellEnd"/>
      <w:r w:rsidRPr="00FB1576">
        <w:t>. § 18 odst. 3 zákona č. 134/2016 Sb., o zadávání veřejných zakázek, ve znění pozdějších předpisů, postupem odpovídajícím veřejné zakázce malého rozsahu.</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78D5D127"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spojené </w:t>
      </w:r>
      <w:r w:rsidRPr="00F40EE4">
        <w:t>s</w:t>
      </w:r>
      <w:r w:rsidR="00F40EE4" w:rsidRPr="00F40EE4">
        <w:t> </w:t>
      </w:r>
      <w:r w:rsidR="00F40EE4">
        <w:t xml:space="preserve">poskytováním dat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6B8046BF" w:rsidR="00B07421" w:rsidRPr="00076700" w:rsidRDefault="008D1DDB" w:rsidP="00AB6E57">
      <w:pPr>
        <w:pStyle w:val="ListNumber-ContinueHeadingCzechTourism"/>
        <w:numPr>
          <w:ilvl w:val="1"/>
          <w:numId w:val="20"/>
        </w:numPr>
        <w:spacing w:after="240"/>
        <w:ind w:left="567" w:hanging="567"/>
        <w:jc w:val="both"/>
        <w:rPr>
          <w:b/>
        </w:rPr>
      </w:pPr>
      <w:r w:rsidRPr="008D1DDB">
        <w:t xml:space="preserve">Poskytovatel se zavazuje v po dobu trvání </w:t>
      </w:r>
      <w:r w:rsidR="00B20914" w:rsidRPr="008D1DDB">
        <w:t>této Smlouvy</w:t>
      </w:r>
      <w:r w:rsidRPr="008D1DDB">
        <w:t xml:space="preserve"> poskytovat Objednateli služby pro monitoring obsazenosti ubytovacích zařízení, jejich predikci a služby pro monitoring spokojenosti ubytovacích zařízení a jiných atraktivit, dále interaktivní report, za využití predikčního model  u Poskytovatele vytvořeného z dat z portálů www.tripadvisor.com (dále „</w:t>
      </w:r>
      <w:proofErr w:type="spellStart"/>
      <w:r w:rsidRPr="008D1DDB">
        <w:t>TripAdvisor</w:t>
      </w:r>
      <w:proofErr w:type="spellEnd"/>
      <w:r w:rsidRPr="008D1DDB">
        <w:t>“) a www.booking.com (dále také „Booking“) za podmínek uvedených níže</w:t>
      </w:r>
      <w:r>
        <w:t>.</w:t>
      </w:r>
    </w:p>
    <w:p w14:paraId="1F415C72" w14:textId="113F9847" w:rsidR="00076700" w:rsidRDefault="00076700" w:rsidP="00AB6E57">
      <w:pPr>
        <w:pStyle w:val="ListNumber-ContinueHeadingCzechTourism"/>
        <w:numPr>
          <w:ilvl w:val="1"/>
          <w:numId w:val="20"/>
        </w:numPr>
        <w:spacing w:after="240"/>
        <w:ind w:left="567" w:hanging="567"/>
        <w:jc w:val="both"/>
        <w:rPr>
          <w:bCs/>
        </w:rPr>
      </w:pPr>
      <w:r w:rsidRPr="00076700">
        <w:rPr>
          <w:bCs/>
        </w:rPr>
        <w:t>Datové zdroje budou Poskytovatel</w:t>
      </w:r>
      <w:r w:rsidR="00BF388C">
        <w:rPr>
          <w:bCs/>
        </w:rPr>
        <w:t>e</w:t>
      </w:r>
      <w:r w:rsidRPr="00076700">
        <w:rPr>
          <w:bCs/>
        </w:rPr>
        <w:t xml:space="preserve">m získávány pomocí web </w:t>
      </w:r>
      <w:proofErr w:type="spellStart"/>
      <w:r w:rsidRPr="00076700">
        <w:rPr>
          <w:bCs/>
        </w:rPr>
        <w:t>scrapingu</w:t>
      </w:r>
      <w:proofErr w:type="spellEnd"/>
      <w:r w:rsidRPr="00076700">
        <w:rPr>
          <w:bCs/>
        </w:rPr>
        <w:t xml:space="preserve">, který je zcela legální a nenarušuje práva provozovatelů daných portálů: web </w:t>
      </w:r>
      <w:proofErr w:type="spellStart"/>
      <w:r w:rsidRPr="00076700">
        <w:rPr>
          <w:bCs/>
        </w:rPr>
        <w:t>scraping</w:t>
      </w:r>
      <w:proofErr w:type="spellEnd"/>
      <w:r w:rsidRPr="00076700">
        <w:rPr>
          <w:bCs/>
        </w:rPr>
        <w:t xml:space="preserve">, web </w:t>
      </w:r>
      <w:proofErr w:type="spellStart"/>
      <w:r w:rsidRPr="00076700">
        <w:rPr>
          <w:bCs/>
        </w:rPr>
        <w:t>harvesting</w:t>
      </w:r>
      <w:proofErr w:type="spellEnd"/>
      <w:r w:rsidRPr="00076700">
        <w:rPr>
          <w:bCs/>
        </w:rPr>
        <w:t xml:space="preserve"> nebo extrakce dat z webu označující způsob získávání strukturovaných dat z webových stránek. Web </w:t>
      </w:r>
      <w:proofErr w:type="spellStart"/>
      <w:r w:rsidRPr="00076700">
        <w:rPr>
          <w:bCs/>
        </w:rPr>
        <w:t>scraping</w:t>
      </w:r>
      <w:proofErr w:type="spellEnd"/>
      <w:r w:rsidRPr="00076700">
        <w:rPr>
          <w:bCs/>
        </w:rPr>
        <w:t xml:space="preserve"> bude spočívat v extrahování dat umístěných na webových stránkách do formátu, který je možné snadno dále strojově zpracovávat.</w:t>
      </w:r>
    </w:p>
    <w:p w14:paraId="285D19FF" w14:textId="0AA9105E" w:rsidR="00076700" w:rsidRPr="00076700" w:rsidRDefault="00076700" w:rsidP="00076700">
      <w:pPr>
        <w:pStyle w:val="ListNumber-ContinueHeadingCzechTourism"/>
        <w:numPr>
          <w:ilvl w:val="1"/>
          <w:numId w:val="20"/>
        </w:numPr>
        <w:spacing w:after="240"/>
        <w:jc w:val="both"/>
        <w:rPr>
          <w:bCs/>
        </w:rPr>
      </w:pPr>
      <w:r w:rsidRPr="00076700">
        <w:rPr>
          <w:bCs/>
        </w:rPr>
        <w:lastRenderedPageBreak/>
        <w:t xml:space="preserve">Předmětem a účelem Smlouvy je získání dat pro hodnocení atraktivit a obsazenosti a ceny hromadných ubytovacích zařízení z portálů </w:t>
      </w:r>
      <w:proofErr w:type="spellStart"/>
      <w:r w:rsidRPr="00076700">
        <w:rPr>
          <w:bCs/>
        </w:rPr>
        <w:t>TripAdvisor</w:t>
      </w:r>
      <w:proofErr w:type="spellEnd"/>
      <w:r w:rsidRPr="00076700">
        <w:rPr>
          <w:bCs/>
        </w:rPr>
        <w:t xml:space="preserve"> a Booking pro https://tourdata.cz/data/predikce-obsazenosti-a-cen/ který pozůstává ze:</w:t>
      </w:r>
    </w:p>
    <w:p w14:paraId="16BB09D4" w14:textId="2F33C4CD" w:rsidR="00076700" w:rsidRPr="00076700" w:rsidRDefault="00076700" w:rsidP="00076700">
      <w:pPr>
        <w:pStyle w:val="ListNumber-ContinueHeadingCzechTourism"/>
        <w:numPr>
          <w:ilvl w:val="2"/>
          <w:numId w:val="20"/>
        </w:numPr>
        <w:spacing w:after="240"/>
        <w:jc w:val="both"/>
        <w:rPr>
          <w:bCs/>
        </w:rPr>
      </w:pPr>
      <w:r w:rsidRPr="00076700">
        <w:rPr>
          <w:bCs/>
        </w:rPr>
        <w:t>zpracování dat o obsazenosti hromadných ubytovacích zařízení</w:t>
      </w:r>
      <w:r w:rsidR="00FC55C3">
        <w:rPr>
          <w:bCs/>
        </w:rPr>
        <w:t xml:space="preserve"> </w:t>
      </w:r>
      <w:r w:rsidRPr="00076700">
        <w:rPr>
          <w:bCs/>
        </w:rPr>
        <w:t>v České republice z portálu Booking.com a predikce obsazenosti hromadných ubytovacích zařízení;</w:t>
      </w:r>
    </w:p>
    <w:p w14:paraId="2074DAB7" w14:textId="77777777" w:rsidR="00076700" w:rsidRPr="00076700" w:rsidRDefault="00076700" w:rsidP="00076700">
      <w:pPr>
        <w:pStyle w:val="ListNumber-ContinueHeadingCzechTourism"/>
        <w:numPr>
          <w:ilvl w:val="2"/>
          <w:numId w:val="20"/>
        </w:numPr>
        <w:spacing w:after="240"/>
        <w:jc w:val="both"/>
        <w:rPr>
          <w:bCs/>
        </w:rPr>
      </w:pPr>
      <w:r w:rsidRPr="00076700">
        <w:rPr>
          <w:bCs/>
        </w:rPr>
        <w:t xml:space="preserve">zpracování dat o recenzích ubytovacích kapacit z portálu Booking v České republice a datového zdroje recenzí atraktivit v České republice z portálu </w:t>
      </w:r>
      <w:proofErr w:type="spellStart"/>
      <w:r w:rsidRPr="00076700">
        <w:rPr>
          <w:bCs/>
        </w:rPr>
        <w:t>TripAdvisor</w:t>
      </w:r>
      <w:proofErr w:type="spellEnd"/>
      <w:r w:rsidRPr="00076700">
        <w:rPr>
          <w:bCs/>
        </w:rPr>
        <w:t>;</w:t>
      </w:r>
    </w:p>
    <w:p w14:paraId="3DF76A02" w14:textId="0C13955F" w:rsidR="00076700" w:rsidRPr="00076700" w:rsidRDefault="00076700" w:rsidP="00076700">
      <w:pPr>
        <w:pStyle w:val="ListNumber-ContinueHeadingCzechTourism"/>
        <w:numPr>
          <w:ilvl w:val="2"/>
          <w:numId w:val="20"/>
        </w:numPr>
        <w:spacing w:after="240"/>
        <w:jc w:val="both"/>
        <w:rPr>
          <w:bCs/>
        </w:rPr>
      </w:pPr>
      <w:r w:rsidRPr="00076700">
        <w:rPr>
          <w:bCs/>
        </w:rPr>
        <w:t xml:space="preserve">dynamický update reportu v modelu Microsoft </w:t>
      </w:r>
      <w:proofErr w:type="spellStart"/>
      <w:r w:rsidRPr="00076700">
        <w:rPr>
          <w:bCs/>
        </w:rPr>
        <w:t>Power</w:t>
      </w:r>
      <w:proofErr w:type="spellEnd"/>
      <w:r w:rsidRPr="00076700">
        <w:rPr>
          <w:bCs/>
        </w:rPr>
        <w:t xml:space="preserve"> BI, který poskytne Poskytovateli Objednatel</w:t>
      </w:r>
      <w:r w:rsidR="00072455">
        <w:rPr>
          <w:bCs/>
        </w:rPr>
        <w:t>,</w:t>
      </w:r>
      <w:r w:rsidRPr="00076700">
        <w:rPr>
          <w:bCs/>
        </w:rPr>
        <w:t xml:space="preserve"> včetně dynamického updatu předpovědi jednou za 14 dní, v členění celá Česká republika a 14 krajů – celotýdenní </w:t>
      </w:r>
      <w:proofErr w:type="spellStart"/>
      <w:r w:rsidRPr="00076700">
        <w:rPr>
          <w:bCs/>
        </w:rPr>
        <w:t>jednopokoje</w:t>
      </w:r>
      <w:proofErr w:type="spellEnd"/>
      <w:r w:rsidRPr="00076700">
        <w:rPr>
          <w:bCs/>
        </w:rPr>
        <w:t>;</w:t>
      </w:r>
    </w:p>
    <w:p w14:paraId="57AAAC29" w14:textId="77777777" w:rsidR="00076700" w:rsidRPr="00076700" w:rsidRDefault="00076700" w:rsidP="00076700">
      <w:pPr>
        <w:pStyle w:val="ListNumber-ContinueHeadingCzechTourism"/>
        <w:numPr>
          <w:ilvl w:val="2"/>
          <w:numId w:val="20"/>
        </w:numPr>
        <w:spacing w:after="240"/>
        <w:jc w:val="both"/>
        <w:rPr>
          <w:bCs/>
        </w:rPr>
      </w:pPr>
      <w:r w:rsidRPr="00076700">
        <w:rPr>
          <w:bCs/>
        </w:rPr>
        <w:t>udržování databáze v cloudovém prostředí (např. Disk Google, příp. jiný databázový systém);</w:t>
      </w:r>
    </w:p>
    <w:p w14:paraId="499B8E24" w14:textId="77777777" w:rsidR="00076700" w:rsidRPr="00076700" w:rsidRDefault="00076700" w:rsidP="00076700">
      <w:pPr>
        <w:pStyle w:val="ListNumber-ContinueHeadingCzechTourism"/>
        <w:numPr>
          <w:ilvl w:val="2"/>
          <w:numId w:val="20"/>
        </w:numPr>
        <w:spacing w:after="240"/>
        <w:jc w:val="both"/>
        <w:rPr>
          <w:bCs/>
        </w:rPr>
      </w:pPr>
      <w:r w:rsidRPr="00076700">
        <w:rPr>
          <w:bCs/>
        </w:rPr>
        <w:t xml:space="preserve">základní reporting časových řad v prostředí Microsoft </w:t>
      </w:r>
      <w:proofErr w:type="spellStart"/>
      <w:r w:rsidRPr="00076700">
        <w:rPr>
          <w:bCs/>
        </w:rPr>
        <w:t>PowerBI</w:t>
      </w:r>
      <w:proofErr w:type="spellEnd"/>
      <w:r w:rsidRPr="00076700">
        <w:rPr>
          <w:bCs/>
        </w:rPr>
        <w:t xml:space="preserve">, přičemž budou stanoveny sledované metriky v reportu: </w:t>
      </w:r>
    </w:p>
    <w:p w14:paraId="6FA8CE79" w14:textId="77777777" w:rsidR="00076700" w:rsidRPr="00076700" w:rsidRDefault="00076700" w:rsidP="00076700">
      <w:pPr>
        <w:pStyle w:val="ListNumber-ContinueHeadingCzechTourism"/>
        <w:numPr>
          <w:ilvl w:val="0"/>
          <w:numId w:val="0"/>
        </w:numPr>
        <w:spacing w:after="240"/>
        <w:ind w:left="1588"/>
        <w:jc w:val="both"/>
        <w:rPr>
          <w:bCs/>
        </w:rPr>
      </w:pPr>
      <w:r w:rsidRPr="00076700">
        <w:rPr>
          <w:bCs/>
        </w:rPr>
        <w:t xml:space="preserve">- </w:t>
      </w:r>
      <w:proofErr w:type="spellStart"/>
      <w:r w:rsidRPr="00076700">
        <w:rPr>
          <w:bCs/>
        </w:rPr>
        <w:t>vacancy</w:t>
      </w:r>
      <w:proofErr w:type="spellEnd"/>
      <w:r w:rsidRPr="00076700">
        <w:rPr>
          <w:bCs/>
        </w:rPr>
        <w:t xml:space="preserve"> </w:t>
      </w:r>
      <w:proofErr w:type="spellStart"/>
      <w:r w:rsidRPr="00076700">
        <w:rPr>
          <w:bCs/>
        </w:rPr>
        <w:t>rate</w:t>
      </w:r>
      <w:proofErr w:type="spellEnd"/>
      <w:r w:rsidRPr="00076700">
        <w:rPr>
          <w:bCs/>
        </w:rPr>
        <w:t xml:space="preserve"> (kapacity všední dny Po-Čt, víkendové Pá-Ne, celotýdenní Po-Ne), </w:t>
      </w:r>
    </w:p>
    <w:p w14:paraId="35D1792F" w14:textId="72B48EFF" w:rsidR="00076700" w:rsidRPr="00076700" w:rsidRDefault="00076700" w:rsidP="00076700">
      <w:pPr>
        <w:pStyle w:val="ListNumber-ContinueHeadingCzechTourism"/>
        <w:numPr>
          <w:ilvl w:val="0"/>
          <w:numId w:val="0"/>
        </w:numPr>
        <w:spacing w:after="240"/>
        <w:ind w:left="1588"/>
        <w:jc w:val="both"/>
        <w:rPr>
          <w:bCs/>
        </w:rPr>
      </w:pPr>
      <w:r w:rsidRPr="00076700">
        <w:rPr>
          <w:bCs/>
        </w:rPr>
        <w:t xml:space="preserve">- průměrná cena za pokoj (průměr nejlevnějších cen </w:t>
      </w:r>
      <w:r w:rsidR="003D705D" w:rsidRPr="00076700">
        <w:rPr>
          <w:bCs/>
        </w:rPr>
        <w:t>za ubytování</w:t>
      </w:r>
      <w:r w:rsidRPr="00076700">
        <w:rPr>
          <w:bCs/>
        </w:rPr>
        <w:t xml:space="preserve"> v hromadných ubytovacích zařízeních).</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64AB6A91" w:rsidR="001737F7" w:rsidRDefault="00D84D0F" w:rsidP="00394FC6">
      <w:pPr>
        <w:pStyle w:val="ListNumber-ContinueHeadingCzechTourism"/>
        <w:keepNext/>
        <w:keepLines/>
        <w:numPr>
          <w:ilvl w:val="1"/>
          <w:numId w:val="20"/>
        </w:numPr>
        <w:spacing w:after="240"/>
        <w:ind w:left="567" w:hanging="567"/>
        <w:jc w:val="both"/>
        <w:rPr>
          <w:bCs/>
          <w:color w:val="000000"/>
          <w:szCs w:val="22"/>
        </w:rPr>
      </w:pPr>
      <w:r>
        <w:t xml:space="preserve">Poskytovatel se zavazuje zajistit: </w:t>
      </w:r>
    </w:p>
    <w:p w14:paraId="70B15CCD" w14:textId="4C309346" w:rsidR="00076700" w:rsidRDefault="00076700" w:rsidP="00076700">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pPr>
      <w:r>
        <w:t xml:space="preserve">Podrobný popis zpracování dat o obsazenosti ubytovacích zařízení z portálu Booking  a </w:t>
      </w:r>
      <w:proofErr w:type="spellStart"/>
      <w:r>
        <w:t>TripAdvisor</w:t>
      </w:r>
      <w:proofErr w:type="spellEnd"/>
      <w:r>
        <w:t>:</w:t>
      </w:r>
    </w:p>
    <w:p w14:paraId="5F421D8E" w14:textId="7011BB12"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Časový horizont období stahování dat (t): </w:t>
      </w:r>
      <w:r w:rsidR="004040C9">
        <w:t>po dobu účinnosti</w:t>
      </w:r>
      <w:r w:rsidR="004E256B">
        <w:t xml:space="preserve"> Smlouvy</w:t>
      </w:r>
      <w:r>
        <w:t>,</w:t>
      </w:r>
      <w:r w:rsidR="004040C9">
        <w:t xml:space="preserve"> vždy</w:t>
      </w:r>
      <w:r>
        <w:t xml:space="preserve"> s 14 denní periodou. </w:t>
      </w:r>
    </w:p>
    <w:p w14:paraId="0674BECF" w14:textId="33BF47C1"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Časový horizont pro zobrazení metrik (tj. obsazenost ubytovacích zařízení, cena ubytovacích zařízení): (t + 3 </w:t>
      </w:r>
      <w:r w:rsidR="003D705D">
        <w:t>měsíce)</w:t>
      </w:r>
    </w:p>
    <w:p w14:paraId="47C8C618"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a)</w:t>
      </w:r>
      <w:r>
        <w:tab/>
        <w:t xml:space="preserve"> Dimenze:</w:t>
      </w:r>
    </w:p>
    <w:p w14:paraId="7C6457B6"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počet volných pokojů: 1 pokoj, 2 pokoje</w:t>
      </w:r>
    </w:p>
    <w:p w14:paraId="3085EEE2"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regiony: ČR 14 krajů + cca 70 regionů dle zadání Objednatele</w:t>
      </w:r>
    </w:p>
    <w:p w14:paraId="1D2A210E"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b)</w:t>
      </w:r>
      <w:r>
        <w:tab/>
        <w:t xml:space="preserve"> typ ubytování:</w:t>
      </w:r>
    </w:p>
    <w:p w14:paraId="7442DE77"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lastRenderedPageBreak/>
        <w:t>- rating zařízení a typ zařízení (počet hvězdiček, typ ubytovacího zařízení – hotel, motel apod.)</w:t>
      </w:r>
    </w:p>
    <w:p w14:paraId="4E418681" w14:textId="68813C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Metriky: </w:t>
      </w:r>
      <w:proofErr w:type="spellStart"/>
      <w:r>
        <w:t>vacancy</w:t>
      </w:r>
      <w:proofErr w:type="spellEnd"/>
      <w:r>
        <w:t xml:space="preserve"> </w:t>
      </w:r>
      <w:proofErr w:type="spellStart"/>
      <w:r>
        <w:t>rate</w:t>
      </w:r>
      <w:proofErr w:type="spellEnd"/>
      <w:r>
        <w:t xml:space="preserve"> – obsazenost, resp. využití ubytovacích kapacit v % (kapacity všední dny Po-Čt, víkendové Pá-Ne, celotýdenní Po-Ne), průměrná cena za pokoj (průměr nejlevnějších cen za ubytování v subjektech).</w:t>
      </w:r>
    </w:p>
    <w:p w14:paraId="42D1F3DB" w14:textId="73429021"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Udržování databáze v cloudovém prostředí (např. Google disk) (data budou dostupná pro Objednatele po dobu účinnosti této Smlouvy).</w:t>
      </w:r>
    </w:p>
    <w:p w14:paraId="0B84EF1B"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ab/>
      </w:r>
    </w:p>
    <w:p w14:paraId="05D58A6C"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Základní reporting časových řad v prostředí Microsoft </w:t>
      </w:r>
      <w:proofErr w:type="spellStart"/>
      <w:r>
        <w:t>Power</w:t>
      </w:r>
      <w:proofErr w:type="spellEnd"/>
      <w:r>
        <w:t xml:space="preserve"> BI (reporting bude k dispozici prostřednictvím mailové komunikace s odkazem na stažení reportu v pravidelných intervalech.</w:t>
      </w:r>
    </w:p>
    <w:p w14:paraId="6C2BF9C5"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E19DEAB" w14:textId="5BA04616"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Vybudování modelu, resp. reportu v Microsoft </w:t>
      </w:r>
      <w:proofErr w:type="spellStart"/>
      <w:r>
        <w:t>Power</w:t>
      </w:r>
      <w:proofErr w:type="spellEnd"/>
      <w:r>
        <w:t xml:space="preserve"> BI a dynamický update modelu předpovědi obsazenosti a cen ubytovacích zařízení jednou za 14 dní (první </w:t>
      </w:r>
      <w:r w:rsidR="009E4B07">
        <w:t>model 14.</w:t>
      </w:r>
      <w:r>
        <w:t xml:space="preserve"> den od </w:t>
      </w:r>
      <w:r w:rsidR="0094332D">
        <w:t>účinnosti</w:t>
      </w:r>
      <w:r>
        <w:t xml:space="preserve"> Smlouvy) v členění celá republika a 14 krajů – celotýdenní </w:t>
      </w:r>
      <w:proofErr w:type="spellStart"/>
      <w:r>
        <w:t>jednopokoje</w:t>
      </w:r>
      <w:proofErr w:type="spellEnd"/>
      <w:r>
        <w:t>.</w:t>
      </w:r>
    </w:p>
    <w:p w14:paraId="718039BC"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5F33C5A0"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Model bude obsahovat minimálně 6 slidů, podobně jak současný model zveřejněný na stránce tourdata.cz: https://tourdata.cz/data/predikce-obsazenosti-a-cen/.</w:t>
      </w:r>
    </w:p>
    <w:p w14:paraId="60316D5B"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33D1AEA"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 xml:space="preserve">První slide bude obsahovat srovnání 3 různých stahování, predikce obsazenosti na 3 měsíce do budoucnosti, plus srovnání s minulým rokem. Bude obsahovat graf průměrné ceny ubytování také pro 3 poslední stahování plus srovnání s minulým rokem. Tento </w:t>
      </w:r>
      <w:proofErr w:type="spellStart"/>
      <w:r>
        <w:t>PowerBI</w:t>
      </w:r>
      <w:proofErr w:type="spellEnd"/>
      <w:r>
        <w:t xml:space="preserve"> model bude obsahovat také filtry: počet volných pokojů (alespoň 1, alespoň 2); typ pobytu (všední dny, víkendy, celé týdny); počet hvězd (1-2; 3; 4; 5; nehodnoceno); typ zařízení (apartmány, hotely, penziony, ostatní); filtr udržitelné cestování (udržitelné, ostatní -&gt; bez označení udržitelné), lokace (14 krajů Česka).</w:t>
      </w:r>
    </w:p>
    <w:p w14:paraId="3A3E8190"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0AFD4323" w14:textId="2EAD9CD3"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Druhý slide bude obsahovat to co předchozí, avšak s jinou možností filtrace lokace podle 13 krajských měst Česka.</w:t>
      </w:r>
    </w:p>
    <w:p w14:paraId="310556AE"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4DB1732"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Třetí slide bude obsahovat to co první slide, avšak s jinou možností filtrace lokace dle oblastí DMO (cca 70 oblastí – seznam bude dodán Objednatelem po podpisu smlouvy).</w:t>
      </w:r>
    </w:p>
    <w:p w14:paraId="5415A5AA"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5D81560E"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Čtvrtý slide bude obsahovat srovnání krajů (obsazenost i průměrná cena) v lineárním grafu s možností filtrování jednotlivých krajů.</w:t>
      </w:r>
    </w:p>
    <w:p w14:paraId="45CF351F"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935BE87"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Pátý slide bude obsahovat predikce obsazenosti vždy na 3 měsíce do budoucnosti ve srovnání krajů.</w:t>
      </w:r>
    </w:p>
    <w:p w14:paraId="5DDB19D5"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97AE396"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Šestý slide bude obsahovat "Návod" - jak používat daný report, informace o grafech, stahování dat, metodiky, výčtu predikce a jiné technické informace.</w:t>
      </w:r>
    </w:p>
    <w:p w14:paraId="3A79B7DA"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A8EEF2C" w14:textId="77777777" w:rsidR="00076700" w:rsidRDefault="00076700" w:rsidP="00076700">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pPr>
      <w:r>
        <w:t xml:space="preserve">Podrobný popis zpracování dat o recenzích ubytovacích kapacit z portálu Booking a dat o hodnoceních atraktivit z portálu </w:t>
      </w:r>
      <w:proofErr w:type="spellStart"/>
      <w:r>
        <w:t>TripAdvisor</w:t>
      </w:r>
      <w:proofErr w:type="spellEnd"/>
      <w:r>
        <w:t>:</w:t>
      </w:r>
    </w:p>
    <w:p w14:paraId="087A680B"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5AF6278A"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Systém bude ukládat informace o ubytování a aktivitách na území České republiky a jejich recenzích publikovaných na webových stránkách Booking.com a TripAdvisor.cz pomocí pravidelného stahování dat.</w:t>
      </w:r>
    </w:p>
    <w:p w14:paraId="3057C628"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259AB06" w14:textId="7AD61FB1"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Databáze bude zasílána každ</w:t>
      </w:r>
      <w:r w:rsidR="00FC55C3">
        <w:t xml:space="preserve">ý </w:t>
      </w:r>
      <w:r>
        <w:t xml:space="preserve">měsíc a bude obsahovat data recenzí, které na webových stránkách Booking.com a TripAdvisor.cz vznikly od poslední aktualizace. </w:t>
      </w:r>
    </w:p>
    <w:p w14:paraId="3502CB63"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4741765F"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Na základě požadavku Objednatele je možné 3měsíční frekvenci zasílání databáze změnit po souhlasu Zhotovitele.</w:t>
      </w:r>
    </w:p>
    <w:p w14:paraId="3566F972"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4A7C6993"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Databáze bude dodávána v následující struktuře.</w:t>
      </w:r>
    </w:p>
    <w:p w14:paraId="21EAFA1B"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4E899F25"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a)</w:t>
      </w:r>
      <w:r>
        <w:tab/>
        <w:t>Booking</w:t>
      </w:r>
    </w:p>
    <w:p w14:paraId="10AB3745"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137409F7"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Každé ubytovací zařízení bude uloženo v databázi v uvedené struktuře. Budou ukládána všechna zařízení, která k datu stahování byla dostupná na webových stránkách Booking.com v alespoň jednom období (všední den, víkend, celý týden) pro následující tři měsíce.</w:t>
      </w:r>
    </w:p>
    <w:p w14:paraId="65AF0F89"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lastRenderedPageBreak/>
        <w:t>Pro každé uložené ubytovací zařízení budou uloženy všechny recenze k danému období v uvedené struktuře.</w:t>
      </w:r>
    </w:p>
    <w:p w14:paraId="07F3ED90"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3ED6B47"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Metriky:</w:t>
      </w:r>
    </w:p>
    <w:p w14:paraId="363964F3"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52E2962B"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Hotely: počet recenzí, hodnocení – celkové, hodnocení – dílčí: lokalita, čistota, personál, pohodlí, poměr ceny a kvality, zařízení, Wifi zdarma, datum posledního updatu.</w:t>
      </w:r>
    </w:p>
    <w:p w14:paraId="59A7CBEE"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Recenze: číselný identifikátor recenze, číselný identifikátor hotelu, datum stažení recenze, datum pobytu (měsíc, rok), datum recenze (den, měsíc, rok), země návštěvníka, jazyk, recenze, typ pokoje, délka pobytu ve dnech, kategorie návštěvníka, hodnocení (celkové i dílčí dle specifikace výše), text recenze – klady, text recenze – zápory</w:t>
      </w:r>
    </w:p>
    <w:p w14:paraId="15476146"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E6B7EE9"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b)</w:t>
      </w:r>
      <w:r>
        <w:tab/>
      </w:r>
      <w:proofErr w:type="spellStart"/>
      <w:r>
        <w:t>TripAdvisor</w:t>
      </w:r>
      <w:proofErr w:type="spellEnd"/>
    </w:p>
    <w:p w14:paraId="2CF0B199"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28DA054A"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Každá publikovaná aktivita bude uložena v databázi v uvedené struktuře. Budou publikovány všechny aktivity, které se zobrazí ve stahovaných obdobích.</w:t>
      </w:r>
    </w:p>
    <w:p w14:paraId="4F099F08"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F26C3C2"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Pro každou publikovanou aktivitu budou uloženy všechny recenze k danému období v uvedené struktuře včetně jejich ratingů. Pro každou aktivitu půjde napočítat průměrný rating, případně vážený rating na základě stáří recenze.</w:t>
      </w:r>
    </w:p>
    <w:p w14:paraId="4D30B8C0"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12C7E55"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Metriky:</w:t>
      </w:r>
    </w:p>
    <w:p w14:paraId="02F761E4"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67732797"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Aktivity: číselný identifikátor, název, kraj, celkové hodnocení, datum posledního updatu.</w:t>
      </w:r>
    </w:p>
    <w:p w14:paraId="47C2BBCD"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14AB8031"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r>
        <w:t>Recenze: číselný identifikátor, číselný identifikátor atrakce, datum stažení recenze, datum návštěvy (měsíc, rok), datum recenze (den, měsíc, rok), hodnocení (1 až 5 hvězdiček), nadpis recenze, text recenze, jazyk recenze.</w:t>
      </w:r>
    </w:p>
    <w:p w14:paraId="12618DAD" w14:textId="77777777" w:rsidR="00076700" w:rsidRDefault="00076700" w:rsidP="00076700">
      <w:pPr>
        <w:pStyle w:val="Odstavecseseznamem"/>
        <w:tabs>
          <w:tab w:val="clear" w:pos="454"/>
          <w:tab w:val="clear" w:pos="907"/>
          <w:tab w:val="clear" w:pos="1361"/>
          <w:tab w:val="clear" w:pos="1814"/>
          <w:tab w:val="clear" w:pos="2268"/>
          <w:tab w:val="left" w:pos="0"/>
          <w:tab w:val="left" w:pos="284"/>
          <w:tab w:val="left" w:pos="1701"/>
        </w:tabs>
        <w:spacing w:after="240" w:line="240" w:lineRule="auto"/>
        <w:ind w:left="1588"/>
        <w:jc w:val="both"/>
      </w:pPr>
    </w:p>
    <w:p w14:paraId="37A43C24" w14:textId="4C0F4175" w:rsidR="00B07421" w:rsidRDefault="00076700" w:rsidP="00076700">
      <w:pPr>
        <w:pStyle w:val="Odstavecseseznamem"/>
        <w:numPr>
          <w:ilvl w:val="2"/>
          <w:numId w:val="20"/>
        </w:numPr>
        <w:tabs>
          <w:tab w:val="clear" w:pos="454"/>
          <w:tab w:val="clear" w:pos="907"/>
          <w:tab w:val="clear" w:pos="1361"/>
          <w:tab w:val="clear" w:pos="1814"/>
          <w:tab w:val="clear" w:pos="2268"/>
          <w:tab w:val="left" w:pos="0"/>
          <w:tab w:val="left" w:pos="284"/>
          <w:tab w:val="left" w:pos="1701"/>
        </w:tabs>
        <w:spacing w:after="240" w:line="240" w:lineRule="auto"/>
        <w:jc w:val="both"/>
      </w:pPr>
      <w:r>
        <w:lastRenderedPageBreak/>
        <w:t xml:space="preserve">Účelem této smlouvy je sledovat historickou obsazenost a průměrné ceny ubytování ve všech krajích České republiky. Pomocí získaných dat může objednatel provést analýzu poptávky v cestovním ruchu. Údaje o rezervacích mohou pomoci analyzovat vzorce cestování, toky návštěvníků, oblíbené turistické destinace ve sledovaném regionu, hlavní sezóny nebo období špičky a preference zákazníků. Sledování kapacity ubytovacích zařízení a jejich obsazenosti může poskytnout cenné informace o výkonnosti dané destinace i kumulaci návštěvníků v daný čas na daném místě. Sledování průměrné ceny ubytování v destinaci může pomoci pracovat s konkurenceschopností. Analýza dat o recenzích umožní zjistit, jak oblíbené jsou konkrétní atrakce, ubytovací zařízení a aktivity v rámci destinace. Objednatel ve spolupráci s destinačními managementy mohou tyto informace dále využít k vylepšení stávající nabídky a rozvoji nových zážitků, aby uspokojily požadavky turistů. Kromě toho mohou destinace zlepšit zkušenost návštěvníků studiem recenzí a zpětné vazby z portálu Booking a </w:t>
      </w:r>
      <w:proofErr w:type="spellStart"/>
      <w:r>
        <w:t>TripAdvisor</w:t>
      </w:r>
      <w:proofErr w:type="spellEnd"/>
      <w:r>
        <w:t>, získat přehled o zkušenostech návštěvníků a identifikovat oblasti pro zlepšení v destinaci.</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363B4EF0" w:rsidR="000612B7" w:rsidRPr="000612B7" w:rsidRDefault="00C34549" w:rsidP="00287C16">
      <w:pPr>
        <w:pStyle w:val="ListNumber-ContinueHeadingCzechTourism"/>
        <w:numPr>
          <w:ilvl w:val="0"/>
          <w:numId w:val="26"/>
        </w:numPr>
        <w:spacing w:after="240"/>
        <w:ind w:left="567" w:hanging="567"/>
        <w:jc w:val="both"/>
        <w:rPr>
          <w:szCs w:val="22"/>
        </w:rPr>
      </w:pPr>
      <w:r>
        <w:rPr>
          <w:szCs w:val="22"/>
        </w:rPr>
        <w:t>Tato Smlouva se uzavírá</w:t>
      </w:r>
      <w:r w:rsidR="009E6573">
        <w:rPr>
          <w:szCs w:val="22"/>
        </w:rPr>
        <w:t xml:space="preserve"> </w:t>
      </w:r>
      <w:r>
        <w:rPr>
          <w:szCs w:val="22"/>
        </w:rPr>
        <w:t xml:space="preserve">ode dne účinnosti této Smlouvy do </w:t>
      </w:r>
      <w:r w:rsidR="00FE76C0">
        <w:rPr>
          <w:szCs w:val="22"/>
        </w:rPr>
        <w:t>30.06.2024</w:t>
      </w:r>
      <w:r>
        <w:rPr>
          <w:szCs w:val="22"/>
        </w:rPr>
        <w:t xml:space="preserve"> nebo do konce všech aktivit a jejich vyhodnocení. </w:t>
      </w:r>
    </w:p>
    <w:p w14:paraId="424836E4" w14:textId="052ACFBC" w:rsidR="00B07421" w:rsidRPr="007D7192"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A576F7">
        <w:rPr>
          <w:bCs/>
          <w:szCs w:val="22"/>
        </w:rPr>
        <w:t>Česká republika</w:t>
      </w:r>
      <w:r w:rsidR="007F76F3">
        <w:rPr>
          <w:bCs/>
          <w:szCs w:val="22"/>
        </w:rPr>
        <w:t>.</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55959FE3" w:rsidR="00843C42" w:rsidRPr="00FC55C3"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8D1DDB">
        <w:rPr>
          <w:color w:val="000000" w:themeColor="text1"/>
        </w:rPr>
        <w:t>228 000 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r w:rsidR="00784CBB">
        <w:rPr>
          <w:rFonts w:eastAsia="Arial"/>
          <w:szCs w:val="22"/>
        </w:rPr>
        <w:t>Rozpad ceny za plnění jednotlivých služeb je stanoven</w:t>
      </w:r>
      <w:r w:rsidR="009C001B">
        <w:rPr>
          <w:rFonts w:eastAsia="Arial"/>
          <w:szCs w:val="22"/>
        </w:rPr>
        <w:t xml:space="preserve"> následovně:</w:t>
      </w:r>
    </w:p>
    <w:tbl>
      <w:tblPr>
        <w:tblStyle w:val="Mkatabulky"/>
        <w:tblW w:w="8222" w:type="dxa"/>
        <w:tblInd w:w="279" w:type="dxa"/>
        <w:tblLook w:val="04A0" w:firstRow="1" w:lastRow="0" w:firstColumn="1" w:lastColumn="0" w:noHBand="0" w:noVBand="1"/>
      </w:tblPr>
      <w:tblGrid>
        <w:gridCol w:w="526"/>
        <w:gridCol w:w="3765"/>
        <w:gridCol w:w="3931"/>
      </w:tblGrid>
      <w:tr w:rsidR="009C001B" w:rsidRPr="00635763" w14:paraId="477EE272" w14:textId="77777777" w:rsidTr="00FC55C3">
        <w:tc>
          <w:tcPr>
            <w:tcW w:w="526" w:type="dxa"/>
          </w:tcPr>
          <w:p w14:paraId="3CABBACA"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b/>
                <w:bCs/>
                <w:sz w:val="22"/>
                <w:szCs w:val="22"/>
              </w:rPr>
            </w:pPr>
          </w:p>
        </w:tc>
        <w:tc>
          <w:tcPr>
            <w:tcW w:w="3765" w:type="dxa"/>
          </w:tcPr>
          <w:p w14:paraId="2329A037"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b/>
                <w:bCs/>
                <w:sz w:val="22"/>
                <w:szCs w:val="22"/>
              </w:rPr>
            </w:pPr>
            <w:r w:rsidRPr="00635763">
              <w:rPr>
                <w:rFonts w:cs="Times New Roman"/>
                <w:b/>
                <w:bCs/>
                <w:sz w:val="22"/>
                <w:szCs w:val="22"/>
              </w:rPr>
              <w:t>Dílčí položky plnění veřejné zakázky</w:t>
            </w:r>
          </w:p>
        </w:tc>
        <w:tc>
          <w:tcPr>
            <w:tcW w:w="3931" w:type="dxa"/>
          </w:tcPr>
          <w:p w14:paraId="0EF426BD" w14:textId="29FA653E" w:rsidR="009C001B" w:rsidRPr="00635763" w:rsidRDefault="009C001B" w:rsidP="00667A6D">
            <w:pPr>
              <w:widowControl w:val="0"/>
              <w:tabs>
                <w:tab w:val="clear" w:pos="907"/>
                <w:tab w:val="left" w:pos="925"/>
                <w:tab w:val="left" w:pos="926"/>
              </w:tabs>
              <w:autoSpaceDE w:val="0"/>
              <w:autoSpaceDN w:val="0"/>
              <w:spacing w:before="116"/>
              <w:ind w:right="119"/>
              <w:jc w:val="both"/>
              <w:rPr>
                <w:b/>
                <w:bCs/>
                <w:sz w:val="22"/>
                <w:szCs w:val="22"/>
              </w:rPr>
            </w:pPr>
            <w:r w:rsidRPr="00635763">
              <w:rPr>
                <w:b/>
                <w:bCs/>
                <w:sz w:val="22"/>
                <w:szCs w:val="22"/>
              </w:rPr>
              <w:t xml:space="preserve">Cena </w:t>
            </w:r>
            <w:r w:rsidR="00C51701">
              <w:rPr>
                <w:b/>
                <w:bCs/>
                <w:sz w:val="22"/>
                <w:szCs w:val="22"/>
              </w:rPr>
              <w:t xml:space="preserve">za </w:t>
            </w:r>
            <w:r w:rsidRPr="00635763">
              <w:rPr>
                <w:b/>
                <w:bCs/>
                <w:sz w:val="22"/>
                <w:szCs w:val="22"/>
              </w:rPr>
              <w:t>plnění v Kč bez DPH</w:t>
            </w:r>
          </w:p>
        </w:tc>
      </w:tr>
      <w:tr w:rsidR="009C001B" w:rsidRPr="00635763" w14:paraId="48A5F889" w14:textId="77777777" w:rsidTr="00FC55C3">
        <w:tc>
          <w:tcPr>
            <w:tcW w:w="526" w:type="dxa"/>
          </w:tcPr>
          <w:p w14:paraId="69C21BAF" w14:textId="77777777" w:rsidR="009C001B" w:rsidRPr="00635763" w:rsidRDefault="009C001B" w:rsidP="00667A6D">
            <w:pPr>
              <w:widowControl w:val="0"/>
              <w:tabs>
                <w:tab w:val="clear" w:pos="907"/>
                <w:tab w:val="left" w:pos="925"/>
                <w:tab w:val="left" w:pos="926"/>
              </w:tabs>
              <w:autoSpaceDE w:val="0"/>
              <w:autoSpaceDN w:val="0"/>
              <w:spacing w:before="116"/>
              <w:ind w:right="119"/>
              <w:rPr>
                <w:rFonts w:cs="Times New Roman"/>
                <w:sz w:val="22"/>
                <w:szCs w:val="22"/>
              </w:rPr>
            </w:pPr>
            <w:r w:rsidRPr="00635763">
              <w:rPr>
                <w:rFonts w:cs="Times New Roman"/>
                <w:sz w:val="22"/>
                <w:szCs w:val="22"/>
              </w:rPr>
              <w:t>1.</w:t>
            </w:r>
          </w:p>
        </w:tc>
        <w:tc>
          <w:tcPr>
            <w:tcW w:w="3765" w:type="dxa"/>
          </w:tcPr>
          <w:p w14:paraId="56ACF478" w14:textId="77777777" w:rsidR="009C001B" w:rsidRPr="00635763" w:rsidRDefault="009C001B" w:rsidP="00667A6D">
            <w:pPr>
              <w:widowControl w:val="0"/>
              <w:tabs>
                <w:tab w:val="clear" w:pos="907"/>
                <w:tab w:val="left" w:pos="925"/>
                <w:tab w:val="left" w:pos="926"/>
              </w:tabs>
              <w:autoSpaceDE w:val="0"/>
              <w:autoSpaceDN w:val="0"/>
              <w:spacing w:before="116"/>
              <w:ind w:right="119"/>
              <w:rPr>
                <w:rFonts w:cs="Times New Roman"/>
                <w:sz w:val="22"/>
                <w:szCs w:val="22"/>
              </w:rPr>
            </w:pPr>
            <w:r w:rsidRPr="00635763">
              <w:rPr>
                <w:rFonts w:cs="Times New Roman"/>
                <w:sz w:val="22"/>
                <w:szCs w:val="22"/>
              </w:rPr>
              <w:t>Zpracování databáze z dat portálu Booking.com včetně prvního stažení</w:t>
            </w:r>
          </w:p>
        </w:tc>
        <w:tc>
          <w:tcPr>
            <w:tcW w:w="3931" w:type="dxa"/>
          </w:tcPr>
          <w:p w14:paraId="561A43C0" w14:textId="37E2A2E2" w:rsidR="00BC5C50" w:rsidRPr="00FC55C3" w:rsidRDefault="00BC5C50" w:rsidP="00FC55C3">
            <w:pPr>
              <w:widowControl w:val="0"/>
              <w:tabs>
                <w:tab w:val="clear" w:pos="907"/>
                <w:tab w:val="left" w:pos="925"/>
                <w:tab w:val="left" w:pos="926"/>
              </w:tabs>
              <w:autoSpaceDE w:val="0"/>
              <w:autoSpaceDN w:val="0"/>
              <w:spacing w:before="116"/>
              <w:ind w:right="119"/>
              <w:rPr>
                <w:sz w:val="22"/>
                <w:szCs w:val="22"/>
              </w:rPr>
            </w:pPr>
            <w:r w:rsidRPr="00FC55C3">
              <w:rPr>
                <w:szCs w:val="22"/>
              </w:rPr>
              <w:t>15.000</w:t>
            </w:r>
            <w:r w:rsidR="00D917B9">
              <w:rPr>
                <w:sz w:val="22"/>
                <w:szCs w:val="22"/>
              </w:rPr>
              <w:t>,-</w:t>
            </w:r>
          </w:p>
        </w:tc>
      </w:tr>
      <w:tr w:rsidR="009C001B" w:rsidRPr="00635763" w14:paraId="4C1CEE5D" w14:textId="77777777" w:rsidTr="00FC55C3">
        <w:tc>
          <w:tcPr>
            <w:tcW w:w="526" w:type="dxa"/>
          </w:tcPr>
          <w:p w14:paraId="223C8D2B" w14:textId="77777777" w:rsidR="009C001B" w:rsidRPr="00635763" w:rsidRDefault="009C001B" w:rsidP="00667A6D">
            <w:pPr>
              <w:widowControl w:val="0"/>
              <w:tabs>
                <w:tab w:val="clear" w:pos="907"/>
                <w:tab w:val="left" w:pos="925"/>
                <w:tab w:val="left" w:pos="926"/>
              </w:tabs>
              <w:autoSpaceDE w:val="0"/>
              <w:autoSpaceDN w:val="0"/>
              <w:spacing w:before="116"/>
              <w:ind w:right="119"/>
              <w:rPr>
                <w:rFonts w:cs="Times New Roman"/>
                <w:sz w:val="22"/>
                <w:szCs w:val="22"/>
              </w:rPr>
            </w:pPr>
            <w:r w:rsidRPr="00635763">
              <w:rPr>
                <w:rFonts w:cs="Times New Roman"/>
                <w:sz w:val="22"/>
                <w:szCs w:val="22"/>
              </w:rPr>
              <w:t>2.</w:t>
            </w:r>
          </w:p>
        </w:tc>
        <w:tc>
          <w:tcPr>
            <w:tcW w:w="3765" w:type="dxa"/>
          </w:tcPr>
          <w:p w14:paraId="08006598" w14:textId="77777777" w:rsidR="009C001B" w:rsidRPr="00635763" w:rsidRDefault="009C001B" w:rsidP="00667A6D">
            <w:pPr>
              <w:widowControl w:val="0"/>
              <w:tabs>
                <w:tab w:val="clear" w:pos="907"/>
                <w:tab w:val="left" w:pos="925"/>
                <w:tab w:val="left" w:pos="926"/>
              </w:tabs>
              <w:autoSpaceDE w:val="0"/>
              <w:autoSpaceDN w:val="0"/>
              <w:spacing w:before="116"/>
              <w:ind w:right="119"/>
              <w:rPr>
                <w:rFonts w:cs="Times New Roman"/>
                <w:sz w:val="22"/>
                <w:szCs w:val="22"/>
              </w:rPr>
            </w:pPr>
            <w:r w:rsidRPr="00635763">
              <w:rPr>
                <w:rFonts w:cs="Times New Roman"/>
                <w:sz w:val="22"/>
                <w:szCs w:val="22"/>
              </w:rPr>
              <w:t>Zpracování databáze z dat portálu TripAdvisor.com včetně prvního stažení</w:t>
            </w:r>
          </w:p>
        </w:tc>
        <w:tc>
          <w:tcPr>
            <w:tcW w:w="3931" w:type="dxa"/>
          </w:tcPr>
          <w:p w14:paraId="124629D3" w14:textId="77777777" w:rsidR="009C001B" w:rsidRPr="00FC55C3" w:rsidRDefault="009C001B" w:rsidP="00667A6D">
            <w:pPr>
              <w:widowControl w:val="0"/>
              <w:tabs>
                <w:tab w:val="clear" w:pos="907"/>
                <w:tab w:val="left" w:pos="925"/>
                <w:tab w:val="left" w:pos="926"/>
              </w:tabs>
              <w:autoSpaceDE w:val="0"/>
              <w:autoSpaceDN w:val="0"/>
              <w:spacing w:before="116"/>
              <w:ind w:right="119"/>
              <w:jc w:val="both"/>
              <w:rPr>
                <w:sz w:val="22"/>
                <w:szCs w:val="22"/>
              </w:rPr>
            </w:pPr>
          </w:p>
          <w:p w14:paraId="28BF4092" w14:textId="360BBCE6" w:rsidR="009C001B" w:rsidRPr="00FC55C3" w:rsidRDefault="00BC5C50" w:rsidP="00FC55C3">
            <w:pPr>
              <w:widowControl w:val="0"/>
              <w:tabs>
                <w:tab w:val="clear" w:pos="907"/>
                <w:tab w:val="left" w:pos="925"/>
                <w:tab w:val="left" w:pos="926"/>
              </w:tabs>
              <w:autoSpaceDE w:val="0"/>
              <w:autoSpaceDN w:val="0"/>
              <w:spacing w:before="116"/>
              <w:ind w:right="119"/>
              <w:rPr>
                <w:sz w:val="22"/>
                <w:szCs w:val="22"/>
              </w:rPr>
            </w:pPr>
            <w:r w:rsidRPr="00FC55C3">
              <w:rPr>
                <w:szCs w:val="22"/>
              </w:rPr>
              <w:t>15.000</w:t>
            </w:r>
            <w:r w:rsidR="00D917B9">
              <w:rPr>
                <w:sz w:val="22"/>
                <w:szCs w:val="22"/>
              </w:rPr>
              <w:t>,-</w:t>
            </w:r>
          </w:p>
        </w:tc>
      </w:tr>
      <w:tr w:rsidR="009C001B" w:rsidRPr="00635763" w14:paraId="07A5CDEF" w14:textId="77777777" w:rsidTr="00FC55C3">
        <w:tc>
          <w:tcPr>
            <w:tcW w:w="526" w:type="dxa"/>
          </w:tcPr>
          <w:p w14:paraId="0CF15103"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sz w:val="22"/>
                <w:szCs w:val="22"/>
              </w:rPr>
            </w:pPr>
            <w:r w:rsidRPr="00635763">
              <w:rPr>
                <w:rFonts w:cs="Times New Roman"/>
                <w:sz w:val="22"/>
                <w:szCs w:val="22"/>
              </w:rPr>
              <w:t>3.</w:t>
            </w:r>
          </w:p>
        </w:tc>
        <w:tc>
          <w:tcPr>
            <w:tcW w:w="3765" w:type="dxa"/>
          </w:tcPr>
          <w:p w14:paraId="20BD90CC"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sz w:val="22"/>
                <w:szCs w:val="22"/>
              </w:rPr>
            </w:pPr>
            <w:r w:rsidRPr="00635763">
              <w:rPr>
                <w:rFonts w:cs="Times New Roman"/>
                <w:sz w:val="22"/>
                <w:szCs w:val="22"/>
              </w:rPr>
              <w:t>Správa databáze – aktualizace databáze, včetně případné úpravy skriptů v návaznosti na změny v prostředí Booking.com, včetně ceny za cloud prostředí</w:t>
            </w:r>
          </w:p>
        </w:tc>
        <w:tc>
          <w:tcPr>
            <w:tcW w:w="3931" w:type="dxa"/>
          </w:tcPr>
          <w:p w14:paraId="23689822" w14:textId="77777777" w:rsidR="009C001B" w:rsidRPr="00FC55C3" w:rsidRDefault="009C001B" w:rsidP="00667A6D">
            <w:pPr>
              <w:widowControl w:val="0"/>
              <w:tabs>
                <w:tab w:val="clear" w:pos="907"/>
                <w:tab w:val="left" w:pos="925"/>
                <w:tab w:val="left" w:pos="926"/>
              </w:tabs>
              <w:autoSpaceDE w:val="0"/>
              <w:autoSpaceDN w:val="0"/>
              <w:spacing w:before="116"/>
              <w:ind w:right="119"/>
              <w:jc w:val="both"/>
              <w:rPr>
                <w:sz w:val="22"/>
                <w:szCs w:val="22"/>
              </w:rPr>
            </w:pPr>
          </w:p>
          <w:p w14:paraId="7EA128C3" w14:textId="1F97D4FD" w:rsidR="009C001B" w:rsidRPr="00FC55C3" w:rsidRDefault="00D917B9" w:rsidP="00667A6D">
            <w:pPr>
              <w:widowControl w:val="0"/>
              <w:tabs>
                <w:tab w:val="clear" w:pos="907"/>
                <w:tab w:val="left" w:pos="925"/>
                <w:tab w:val="left" w:pos="926"/>
              </w:tabs>
              <w:autoSpaceDE w:val="0"/>
              <w:autoSpaceDN w:val="0"/>
              <w:spacing w:before="116"/>
              <w:ind w:right="119"/>
              <w:jc w:val="both"/>
              <w:rPr>
                <w:sz w:val="22"/>
                <w:szCs w:val="22"/>
              </w:rPr>
            </w:pPr>
            <w:r>
              <w:rPr>
                <w:sz w:val="22"/>
                <w:szCs w:val="22"/>
              </w:rPr>
              <w:t>21.000,-</w:t>
            </w:r>
          </w:p>
        </w:tc>
      </w:tr>
      <w:tr w:rsidR="009C001B" w:rsidRPr="00635763" w14:paraId="33F05F3F" w14:textId="77777777" w:rsidTr="00FC55C3">
        <w:tc>
          <w:tcPr>
            <w:tcW w:w="526" w:type="dxa"/>
          </w:tcPr>
          <w:p w14:paraId="7ED9FE7F"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sz w:val="22"/>
                <w:szCs w:val="22"/>
              </w:rPr>
            </w:pPr>
            <w:r w:rsidRPr="00635763">
              <w:rPr>
                <w:rFonts w:cs="Times New Roman"/>
                <w:sz w:val="22"/>
                <w:szCs w:val="22"/>
              </w:rPr>
              <w:t>4.</w:t>
            </w:r>
          </w:p>
        </w:tc>
        <w:tc>
          <w:tcPr>
            <w:tcW w:w="3765" w:type="dxa"/>
          </w:tcPr>
          <w:p w14:paraId="0C054294"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sz w:val="22"/>
                <w:szCs w:val="22"/>
              </w:rPr>
            </w:pPr>
            <w:r w:rsidRPr="00635763">
              <w:rPr>
                <w:rFonts w:cs="Times New Roman"/>
                <w:sz w:val="22"/>
                <w:szCs w:val="22"/>
              </w:rPr>
              <w:t xml:space="preserve">Správa databáze – aktualizace </w:t>
            </w:r>
            <w:r w:rsidRPr="00635763">
              <w:rPr>
                <w:rFonts w:cs="Times New Roman"/>
                <w:sz w:val="22"/>
                <w:szCs w:val="22"/>
              </w:rPr>
              <w:lastRenderedPageBreak/>
              <w:t>databáze, včetně případné úpravy skriptů v návaznosti na změny v prostředí TripAdvisor.com, včetně ceny za cloud prostředí</w:t>
            </w:r>
          </w:p>
        </w:tc>
        <w:tc>
          <w:tcPr>
            <w:tcW w:w="3931" w:type="dxa"/>
          </w:tcPr>
          <w:p w14:paraId="40D7E5BB" w14:textId="77777777" w:rsidR="009C001B" w:rsidRPr="00FC55C3" w:rsidRDefault="009C001B" w:rsidP="00667A6D">
            <w:pPr>
              <w:widowControl w:val="0"/>
              <w:tabs>
                <w:tab w:val="clear" w:pos="907"/>
                <w:tab w:val="left" w:pos="925"/>
                <w:tab w:val="left" w:pos="926"/>
              </w:tabs>
              <w:autoSpaceDE w:val="0"/>
              <w:autoSpaceDN w:val="0"/>
              <w:spacing w:before="116"/>
              <w:ind w:right="119"/>
              <w:jc w:val="both"/>
              <w:rPr>
                <w:sz w:val="22"/>
                <w:szCs w:val="22"/>
              </w:rPr>
            </w:pPr>
          </w:p>
          <w:p w14:paraId="35951917" w14:textId="61BA53F0" w:rsidR="009C001B" w:rsidRPr="00FC55C3" w:rsidRDefault="00D917B9" w:rsidP="00667A6D">
            <w:pPr>
              <w:widowControl w:val="0"/>
              <w:tabs>
                <w:tab w:val="clear" w:pos="907"/>
                <w:tab w:val="left" w:pos="925"/>
                <w:tab w:val="left" w:pos="926"/>
              </w:tabs>
              <w:autoSpaceDE w:val="0"/>
              <w:autoSpaceDN w:val="0"/>
              <w:spacing w:before="116"/>
              <w:ind w:right="119"/>
              <w:jc w:val="both"/>
              <w:rPr>
                <w:sz w:val="22"/>
                <w:szCs w:val="22"/>
              </w:rPr>
            </w:pPr>
            <w:r>
              <w:rPr>
                <w:sz w:val="22"/>
                <w:szCs w:val="22"/>
              </w:rPr>
              <w:lastRenderedPageBreak/>
              <w:t>21.000,-</w:t>
            </w:r>
          </w:p>
        </w:tc>
      </w:tr>
      <w:tr w:rsidR="009C001B" w:rsidRPr="00635763" w14:paraId="0198E6EE" w14:textId="77777777" w:rsidTr="00FC55C3">
        <w:trPr>
          <w:trHeight w:val="64"/>
        </w:trPr>
        <w:tc>
          <w:tcPr>
            <w:tcW w:w="526" w:type="dxa"/>
          </w:tcPr>
          <w:p w14:paraId="2782D033"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sz w:val="22"/>
                <w:szCs w:val="22"/>
              </w:rPr>
            </w:pPr>
            <w:r w:rsidRPr="00635763">
              <w:rPr>
                <w:rFonts w:cs="Times New Roman"/>
                <w:sz w:val="22"/>
                <w:szCs w:val="22"/>
              </w:rPr>
              <w:lastRenderedPageBreak/>
              <w:t>5.</w:t>
            </w:r>
          </w:p>
        </w:tc>
        <w:tc>
          <w:tcPr>
            <w:tcW w:w="3765" w:type="dxa"/>
          </w:tcPr>
          <w:p w14:paraId="607A05F9"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sz w:val="22"/>
                <w:szCs w:val="22"/>
              </w:rPr>
            </w:pPr>
            <w:r w:rsidRPr="00635763">
              <w:rPr>
                <w:rFonts w:cs="Times New Roman"/>
                <w:sz w:val="22"/>
                <w:szCs w:val="22"/>
              </w:rPr>
              <w:t>Pravidelné stahování dat a aktualizace reportu z portálu Booking.com</w:t>
            </w:r>
          </w:p>
        </w:tc>
        <w:tc>
          <w:tcPr>
            <w:tcW w:w="3931" w:type="dxa"/>
          </w:tcPr>
          <w:p w14:paraId="44440C4E" w14:textId="4FC2ABCA" w:rsidR="009C001B" w:rsidRPr="00FC55C3" w:rsidRDefault="00D917B9" w:rsidP="00667A6D">
            <w:pPr>
              <w:widowControl w:val="0"/>
              <w:tabs>
                <w:tab w:val="clear" w:pos="907"/>
                <w:tab w:val="left" w:pos="925"/>
                <w:tab w:val="left" w:pos="926"/>
              </w:tabs>
              <w:autoSpaceDE w:val="0"/>
              <w:autoSpaceDN w:val="0"/>
              <w:spacing w:before="116"/>
              <w:ind w:right="119"/>
              <w:jc w:val="both"/>
              <w:rPr>
                <w:sz w:val="22"/>
                <w:szCs w:val="22"/>
              </w:rPr>
            </w:pPr>
            <w:r>
              <w:rPr>
                <w:sz w:val="22"/>
                <w:szCs w:val="22"/>
              </w:rPr>
              <w:t>78.000</w:t>
            </w:r>
            <w:r w:rsidR="001059DA">
              <w:rPr>
                <w:sz w:val="22"/>
                <w:szCs w:val="22"/>
              </w:rPr>
              <w:t>,-</w:t>
            </w:r>
          </w:p>
        </w:tc>
      </w:tr>
      <w:tr w:rsidR="009C001B" w:rsidRPr="00635763" w14:paraId="4AE48A57" w14:textId="77777777" w:rsidTr="00FC55C3">
        <w:tc>
          <w:tcPr>
            <w:tcW w:w="526" w:type="dxa"/>
          </w:tcPr>
          <w:p w14:paraId="61DFDCB9"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rFonts w:cs="Times New Roman"/>
                <w:sz w:val="22"/>
                <w:szCs w:val="22"/>
              </w:rPr>
            </w:pPr>
            <w:r w:rsidRPr="00635763">
              <w:rPr>
                <w:rFonts w:cs="Times New Roman"/>
                <w:sz w:val="22"/>
                <w:szCs w:val="22"/>
              </w:rPr>
              <w:t>6.</w:t>
            </w:r>
          </w:p>
        </w:tc>
        <w:tc>
          <w:tcPr>
            <w:tcW w:w="3765" w:type="dxa"/>
          </w:tcPr>
          <w:p w14:paraId="6423A21D" w14:textId="77777777" w:rsidR="009C001B" w:rsidRPr="00635763" w:rsidRDefault="009C001B" w:rsidP="00667A6D">
            <w:pPr>
              <w:widowControl w:val="0"/>
              <w:tabs>
                <w:tab w:val="clear" w:pos="907"/>
                <w:tab w:val="left" w:pos="925"/>
                <w:tab w:val="left" w:pos="926"/>
              </w:tabs>
              <w:autoSpaceDE w:val="0"/>
              <w:autoSpaceDN w:val="0"/>
              <w:spacing w:before="116"/>
              <w:ind w:right="119"/>
              <w:jc w:val="both"/>
              <w:rPr>
                <w:sz w:val="22"/>
                <w:szCs w:val="22"/>
              </w:rPr>
            </w:pPr>
            <w:r w:rsidRPr="00635763">
              <w:rPr>
                <w:rFonts w:cs="Times New Roman"/>
                <w:sz w:val="22"/>
                <w:szCs w:val="22"/>
              </w:rPr>
              <w:t>Pravidelné stahování dat a aktualizace reportu z portálu TripAdvisor.com</w:t>
            </w:r>
          </w:p>
        </w:tc>
        <w:tc>
          <w:tcPr>
            <w:tcW w:w="3931" w:type="dxa"/>
          </w:tcPr>
          <w:p w14:paraId="460F0FF8" w14:textId="6777FB66" w:rsidR="009C001B" w:rsidRPr="00FC55C3" w:rsidRDefault="001059DA" w:rsidP="00667A6D">
            <w:pPr>
              <w:widowControl w:val="0"/>
              <w:tabs>
                <w:tab w:val="clear" w:pos="907"/>
                <w:tab w:val="left" w:pos="925"/>
                <w:tab w:val="left" w:pos="926"/>
              </w:tabs>
              <w:autoSpaceDE w:val="0"/>
              <w:autoSpaceDN w:val="0"/>
              <w:spacing w:before="116"/>
              <w:ind w:right="119"/>
              <w:jc w:val="both"/>
              <w:rPr>
                <w:sz w:val="22"/>
                <w:szCs w:val="22"/>
              </w:rPr>
            </w:pPr>
            <w:r>
              <w:rPr>
                <w:sz w:val="22"/>
                <w:szCs w:val="22"/>
              </w:rPr>
              <w:t>78.000,-</w:t>
            </w:r>
          </w:p>
        </w:tc>
      </w:tr>
    </w:tbl>
    <w:p w14:paraId="572D7DDF" w14:textId="77777777" w:rsidR="009C001B" w:rsidRPr="00843C42" w:rsidRDefault="009C001B" w:rsidP="00FC55C3">
      <w:pPr>
        <w:pStyle w:val="ListNumber-ContinueHeadingCzechTourism"/>
        <w:numPr>
          <w:ilvl w:val="0"/>
          <w:numId w:val="0"/>
        </w:numPr>
        <w:spacing w:after="240"/>
        <w:ind w:left="360"/>
        <w:jc w:val="both"/>
        <w:rPr>
          <w:color w:val="000000" w:themeColor="text1"/>
        </w:rPr>
      </w:pP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29AE4D61" w:rsidR="00566AE6" w:rsidRPr="00D4213F" w:rsidRDefault="007D7192" w:rsidP="001643F3">
      <w:pPr>
        <w:pStyle w:val="ListNumber-ContinueHeadingCzechTourism"/>
        <w:numPr>
          <w:ilvl w:val="1"/>
          <w:numId w:val="31"/>
        </w:numPr>
        <w:spacing w:after="240"/>
        <w:ind w:left="567" w:hanging="567"/>
        <w:jc w:val="both"/>
      </w:pPr>
      <w:r w:rsidRPr="009237FC">
        <w:t xml:space="preserve">Cena </w:t>
      </w:r>
      <w:r w:rsidR="003770E4" w:rsidRPr="009237FC">
        <w:rPr>
          <w:szCs w:val="22"/>
        </w:rPr>
        <w:t xml:space="preserve">plnění bude </w:t>
      </w:r>
      <w:r w:rsidR="00EE43F7">
        <w:rPr>
          <w:szCs w:val="22"/>
        </w:rPr>
        <w:t>O</w:t>
      </w:r>
      <w:r w:rsidR="003770E4" w:rsidRPr="009237FC">
        <w:rPr>
          <w:szCs w:val="22"/>
        </w:rPr>
        <w:t>bjednatelem uhrazena na základě</w:t>
      </w:r>
      <w:r w:rsidR="000E517D">
        <w:rPr>
          <w:szCs w:val="22"/>
        </w:rPr>
        <w:t xml:space="preserve"> </w:t>
      </w:r>
      <w:r w:rsidR="00B20914">
        <w:rPr>
          <w:szCs w:val="22"/>
        </w:rPr>
        <w:t>1</w:t>
      </w:r>
      <w:r w:rsidR="000E517D">
        <w:rPr>
          <w:szCs w:val="22"/>
        </w:rPr>
        <w:t xml:space="preserve"> </w:t>
      </w:r>
      <w:r w:rsidR="003770E4" w:rsidRPr="009237FC">
        <w:rPr>
          <w:szCs w:val="22"/>
        </w:rPr>
        <w:t>faktur</w:t>
      </w:r>
      <w:r w:rsidR="00B20914">
        <w:rPr>
          <w:szCs w:val="22"/>
        </w:rPr>
        <w:t>y</w:t>
      </w:r>
      <w:r w:rsidR="000E517D">
        <w:rPr>
          <w:szCs w:val="22"/>
        </w:rPr>
        <w:t xml:space="preserve"> ve výši </w:t>
      </w:r>
      <w:r w:rsidR="00B20914">
        <w:rPr>
          <w:szCs w:val="22"/>
        </w:rPr>
        <w:t>228 000 Kč</w:t>
      </w:r>
      <w:r w:rsidR="00EE43F7">
        <w:rPr>
          <w:szCs w:val="22"/>
        </w:rPr>
        <w:t xml:space="preserve"> </w:t>
      </w:r>
      <w:r w:rsidR="000E517D">
        <w:rPr>
          <w:szCs w:val="22"/>
        </w:rPr>
        <w:t>bez DP</w:t>
      </w:r>
      <w:r w:rsidR="00F0404C">
        <w:rPr>
          <w:szCs w:val="22"/>
        </w:rPr>
        <w:t>H</w:t>
      </w:r>
      <w:r w:rsidR="000E517D">
        <w:rPr>
          <w:szCs w:val="22"/>
        </w:rPr>
        <w:t>,</w:t>
      </w:r>
      <w:r w:rsidR="0059005A">
        <w:rPr>
          <w:szCs w:val="22"/>
        </w:rPr>
        <w:t xml:space="preserve"> kter</w:t>
      </w:r>
      <w:r w:rsidR="00B20914">
        <w:rPr>
          <w:szCs w:val="22"/>
        </w:rPr>
        <w:t>á</w:t>
      </w:r>
      <w:r w:rsidR="000E517D">
        <w:rPr>
          <w:szCs w:val="22"/>
        </w:rPr>
        <w:t xml:space="preserve"> bud</w:t>
      </w:r>
      <w:r w:rsidR="00B20914">
        <w:rPr>
          <w:szCs w:val="22"/>
        </w:rPr>
        <w:t>e</w:t>
      </w:r>
      <w:r w:rsidR="000E517D">
        <w:rPr>
          <w:szCs w:val="22"/>
        </w:rPr>
        <w:t xml:space="preserve"> vystaven</w:t>
      </w:r>
      <w:r w:rsidR="00B20914">
        <w:rPr>
          <w:szCs w:val="22"/>
        </w:rPr>
        <w:t>a</w:t>
      </w:r>
      <w:r w:rsidR="000E517D">
        <w:rPr>
          <w:szCs w:val="22"/>
        </w:rPr>
        <w:t xml:space="preserve"> </w:t>
      </w:r>
      <w:r w:rsidR="008E3E80">
        <w:rPr>
          <w:szCs w:val="22"/>
        </w:rPr>
        <w:t>po poskytnutí služeb dle této Smlouvy</w:t>
      </w:r>
      <w:r w:rsidR="00B20914">
        <w:rPr>
          <w:szCs w:val="22"/>
        </w:rPr>
        <w:t xml:space="preserve">. </w:t>
      </w:r>
      <w:r w:rsidR="00B07421" w:rsidRPr="009237FC">
        <w:rPr>
          <w:szCs w:val="22"/>
        </w:rPr>
        <w:t xml:space="preserve">Splatnost faktury je </w:t>
      </w:r>
      <w:r w:rsidR="00AE263F">
        <w:rPr>
          <w:szCs w:val="22"/>
        </w:rPr>
        <w:t>3</w:t>
      </w:r>
      <w:r w:rsidR="00B07421" w:rsidRPr="009237FC">
        <w:rPr>
          <w:szCs w:val="22"/>
        </w:rPr>
        <w:t>0</w:t>
      </w:r>
      <w:r w:rsidR="00F0404C">
        <w:rPr>
          <w:szCs w:val="22"/>
        </w:rPr>
        <w:t xml:space="preserve"> (</w:t>
      </w:r>
      <w:r w:rsidR="00AE263F">
        <w:rPr>
          <w:szCs w:val="22"/>
        </w:rPr>
        <w:t>třicet</w:t>
      </w:r>
      <w:r w:rsidR="00F0404C">
        <w:rPr>
          <w:szCs w:val="22"/>
        </w:rPr>
        <w:t>)</w:t>
      </w:r>
      <w:r w:rsidR="00B07421"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00B07421" w:rsidRPr="009237FC">
        <w:rPr>
          <w:szCs w:val="22"/>
        </w:rPr>
        <w:t>bjednateli fakturu alespoň</w:t>
      </w:r>
      <w:r w:rsidR="006C2ECF">
        <w:rPr>
          <w:szCs w:val="22"/>
        </w:rPr>
        <w:t xml:space="preserve"> 21 (dvacet jedna) </w:t>
      </w:r>
      <w:r w:rsidR="00B07421" w:rsidRPr="009237FC">
        <w:rPr>
          <w:szCs w:val="22"/>
        </w:rPr>
        <w:t>dnů přede dnem její splatnosti, jinak se přiměřeně posouvá termín</w:t>
      </w:r>
      <w:r w:rsidR="00205B32" w:rsidRPr="009237FC">
        <w:rPr>
          <w:szCs w:val="22"/>
        </w:rPr>
        <w:t xml:space="preserve"> </w:t>
      </w:r>
      <w:r w:rsidR="00B07421" w:rsidRPr="009237FC">
        <w:rPr>
          <w:szCs w:val="22"/>
        </w:rPr>
        <w:t>splatnosti.</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2446FEC7" w:rsidR="00341D38" w:rsidRPr="009237FC" w:rsidRDefault="7E3E8A38" w:rsidP="001643F3">
      <w:pPr>
        <w:pStyle w:val="ListNumber-ContinueHeadingCzechTourism"/>
        <w:numPr>
          <w:ilvl w:val="1"/>
          <w:numId w:val="31"/>
        </w:numPr>
        <w:spacing w:after="240"/>
        <w:ind w:left="567" w:hanging="567"/>
        <w:jc w:val="both"/>
      </w:pPr>
      <w:r>
        <w:t>Faktura</w:t>
      </w:r>
      <w:r w:rsidR="00C4470D">
        <w:t xml:space="preserve"> spolu s kopií této Smlouvy </w:t>
      </w:r>
      <w:r>
        <w:t>bude zasílána Objednateli na e</w:t>
      </w:r>
      <w:r w:rsidR="00404E85">
        <w:t>-</w:t>
      </w:r>
      <w:r>
        <w:t>mailovou adresu: faktury@czechtourism.cz.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3FA5FA63"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w:t>
      </w:r>
      <w:r w:rsidR="0062310A">
        <w:rPr>
          <w:rFonts w:ascii="Georgia" w:hAnsi="Georgia"/>
          <w:sz w:val="22"/>
        </w:rPr>
        <w:t>c</w:t>
      </w:r>
      <w:r w:rsidRPr="00363709">
        <w:rPr>
          <w:rFonts w:ascii="Georgia" w:hAnsi="Georgia"/>
          <w:sz w:val="22"/>
        </w:rPr>
        <w:t xml:space="preserve">eny </w:t>
      </w:r>
      <w:r w:rsidR="0062310A">
        <w:rPr>
          <w:rFonts w:ascii="Georgia" w:hAnsi="Georgia"/>
          <w:sz w:val="22"/>
        </w:rPr>
        <w:t xml:space="preserve">dílčích položek plnění </w:t>
      </w:r>
      <w:r w:rsidRPr="00363709">
        <w:rPr>
          <w:rFonts w:ascii="Georgia" w:hAnsi="Georgia"/>
          <w:sz w:val="22"/>
        </w:rPr>
        <w:t xml:space="preserve">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2C57D31D"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lastRenderedPageBreak/>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proofErr w:type="spellStart"/>
      <w:r w:rsidRPr="00363709">
        <w:rPr>
          <w:rFonts w:ascii="Georgia" w:hAnsi="Georgia"/>
          <w:sz w:val="22"/>
          <w:szCs w:val="22"/>
          <w:lang w:val="x-none"/>
        </w:rPr>
        <w:t>eny</w:t>
      </w:r>
      <w:proofErr w:type="spellEnd"/>
      <w:r w:rsidRPr="00363709">
        <w:rPr>
          <w:rFonts w:ascii="Georgia" w:hAnsi="Georgia"/>
          <w:sz w:val="22"/>
          <w:szCs w:val="22"/>
          <w:lang w:val="x-none"/>
        </w:rPr>
        <w:t>.</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090BB23F"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C226B9">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w:t>
      </w:r>
      <w:r w:rsidRPr="00363709">
        <w:rPr>
          <w:rFonts w:ascii="Georgia" w:hAnsi="Georgia"/>
          <w:sz w:val="22"/>
          <w:szCs w:val="22"/>
        </w:rPr>
        <w:lastRenderedPageBreak/>
        <w:t xml:space="preserve">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79615D72"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C37EA8">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4EF4BB3E"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lastRenderedPageBreak/>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51F13797"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utorským dílům, vzniklých v souvislosti s plněním této Smlouvy, které je popsané v této Smlouvě</w:t>
      </w:r>
      <w:r w:rsidR="008D1DDB">
        <w:rPr>
          <w:rFonts w:eastAsia="Times New Roman"/>
          <w:color w:val="000000"/>
        </w:rPr>
        <w:t xml:space="preserve"> </w:t>
      </w:r>
      <w:r w:rsidRPr="00C85C9B">
        <w:rPr>
          <w:rFonts w:eastAsia="Times New Roman"/>
          <w:color w:val="000000"/>
        </w:rPr>
        <w:t xml:space="preserve">k okamžiku jejich převzetí </w:t>
      </w:r>
      <w:r w:rsidR="002F0580">
        <w:rPr>
          <w:rFonts w:eastAsia="Times New Roman"/>
          <w:color w:val="000000"/>
        </w:rPr>
        <w:t>ne</w:t>
      </w:r>
      <w:r w:rsidRPr="00C85C9B">
        <w:rPr>
          <w:rFonts w:eastAsia="Times New Roman"/>
          <w:color w:val="000000"/>
        </w:rPr>
        <w:t xml:space="preserv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6E344D5" w14:textId="29888509" w:rsidR="7E3E8A38" w:rsidRPr="00B20914" w:rsidRDefault="00C524E8" w:rsidP="00B20914">
      <w:pPr>
        <w:pStyle w:val="Heading1-Number-FollowNumberCzechTourism"/>
        <w:keepNext/>
        <w:keepLines/>
        <w:spacing w:before="0" w:after="240"/>
        <w:ind w:left="0"/>
      </w:pPr>
      <w:r w:rsidRPr="00E832E9">
        <w:t>Ochrana osobních údajů</w:t>
      </w: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 xml:space="preserve">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w:t>
      </w:r>
      <w:r w:rsidRPr="001643F3">
        <w:lastRenderedPageBreak/>
        <w:t>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02A6723C"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8D1DDB">
        <w:rPr>
          <w:szCs w:val="22"/>
        </w:rPr>
        <w:t xml:space="preserve">30 </w:t>
      </w:r>
      <w:r>
        <w:rPr>
          <w:szCs w:val="22"/>
        </w:rPr>
        <w:t>dn</w:t>
      </w:r>
      <w:r w:rsidR="008D1DDB">
        <w:rPr>
          <w:szCs w:val="22"/>
        </w:rPr>
        <w:t>ů</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444D5034"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5302C1">
        <w:rPr>
          <w:rFonts w:ascii="Georgia" w:hAnsi="Georgia" w:cs="Arial"/>
          <w:b w:val="0"/>
          <w:sz w:val="22"/>
          <w:szCs w:val="22"/>
        </w:rPr>
        <w:t xml:space="preserve"> v souvislosti s plněním této Smlouvy</w:t>
      </w:r>
      <w:r w:rsidRPr="00176656">
        <w:rPr>
          <w:rFonts w:ascii="Georgia" w:hAnsi="Georgia" w:cs="Arial"/>
          <w:b w:val="0"/>
          <w:sz w:val="22"/>
          <w:szCs w:val="22"/>
        </w:rPr>
        <w:t>,</w:t>
      </w:r>
    </w:p>
    <w:p w14:paraId="1D2A0ED5" w14:textId="1B4BF809" w:rsidR="00F65673" w:rsidRPr="00FC55C3"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FC55C3">
        <w:rPr>
          <w:rFonts w:ascii="Georgia" w:hAnsi="Georgia"/>
          <w:b w:val="0"/>
          <w:bCs/>
          <w:sz w:val="22"/>
          <w:szCs w:val="22"/>
        </w:rPr>
        <w:t xml:space="preserve">plnění dle </w:t>
      </w:r>
      <w:r w:rsidR="00A86E95" w:rsidRPr="00FC55C3">
        <w:rPr>
          <w:rFonts w:ascii="Georgia" w:hAnsi="Georgia"/>
          <w:b w:val="0"/>
          <w:bCs/>
          <w:sz w:val="22"/>
          <w:szCs w:val="22"/>
        </w:rPr>
        <w:t>článku III</w:t>
      </w:r>
      <w:r w:rsidR="005F24BB" w:rsidRPr="00FC55C3">
        <w:rPr>
          <w:rFonts w:ascii="Georgia" w:hAnsi="Georgia"/>
          <w:b w:val="0"/>
          <w:bCs/>
          <w:sz w:val="22"/>
          <w:szCs w:val="22"/>
        </w:rPr>
        <w:t xml:space="preserve">. </w:t>
      </w:r>
      <w:r w:rsidRPr="00FC55C3">
        <w:rPr>
          <w:rFonts w:ascii="Georgia" w:hAnsi="Georgia" w:cs="Arial"/>
          <w:b w:val="0"/>
          <w:sz w:val="22"/>
          <w:szCs w:val="22"/>
        </w:rPr>
        <w:t>té</w:t>
      </w:r>
      <w:r w:rsidR="003B1374" w:rsidRPr="00FC55C3">
        <w:rPr>
          <w:rFonts w:ascii="Georgia" w:hAnsi="Georgia" w:cs="Arial"/>
          <w:b w:val="0"/>
          <w:sz w:val="22"/>
          <w:szCs w:val="22"/>
        </w:rPr>
        <w:t>to Smlouvy po dobu delší než 15 </w:t>
      </w:r>
      <w:r w:rsidRPr="00FC55C3">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FC55C3">
        <w:rPr>
          <w:rFonts w:ascii="Georgia" w:hAnsi="Georgia" w:cs="Arial"/>
          <w:b w:val="0"/>
          <w:sz w:val="22"/>
          <w:szCs w:val="22"/>
        </w:rPr>
        <w:t xml:space="preserve">provádění </w:t>
      </w:r>
      <w:r w:rsidR="003D41D3" w:rsidRPr="00FC55C3">
        <w:rPr>
          <w:rFonts w:ascii="Georgia" w:hAnsi="Georgia"/>
          <w:b w:val="0"/>
          <w:bCs/>
          <w:sz w:val="22"/>
          <w:szCs w:val="22"/>
        </w:rPr>
        <w:t xml:space="preserve">plnění dle </w:t>
      </w:r>
      <w:r w:rsidR="00F70D11" w:rsidRPr="00FC55C3">
        <w:rPr>
          <w:rFonts w:ascii="Georgia" w:hAnsi="Georgia"/>
          <w:b w:val="0"/>
          <w:bCs/>
          <w:sz w:val="22"/>
          <w:szCs w:val="22"/>
        </w:rPr>
        <w:t>článku III</w:t>
      </w:r>
      <w:r w:rsidR="005F24BB" w:rsidRPr="00FC55C3">
        <w:rPr>
          <w:rFonts w:ascii="Georgia" w:hAnsi="Georgia"/>
          <w:b w:val="0"/>
          <w:bCs/>
          <w:sz w:val="22"/>
          <w:szCs w:val="22"/>
        </w:rPr>
        <w:t xml:space="preserve">. </w:t>
      </w:r>
      <w:r w:rsidR="003D41D3" w:rsidRPr="00FC55C3">
        <w:rPr>
          <w:rFonts w:ascii="Georgia" w:hAnsi="Georgia" w:cs="Arial"/>
          <w:b w:val="0"/>
          <w:sz w:val="22"/>
          <w:szCs w:val="22"/>
        </w:rPr>
        <w:t>této Smlouvy</w:t>
      </w:r>
      <w:r w:rsidRPr="00FC55C3">
        <w:rPr>
          <w:rFonts w:ascii="Georgia" w:hAnsi="Georgia" w:cs="Arial"/>
          <w:b w:val="0"/>
          <w:sz w:val="22"/>
          <w:szCs w:val="22"/>
        </w:rPr>
        <w:t xml:space="preserve"> v rozporu se závaznými požadavky Objednatele uvedenými v této Smlouvě či v rozporu</w:t>
      </w:r>
      <w:r w:rsidRPr="00176656">
        <w:rPr>
          <w:rFonts w:ascii="Georgia" w:hAnsi="Georgia" w:cs="Arial"/>
          <w:b w:val="0"/>
          <w:sz w:val="22"/>
          <w:szCs w:val="22"/>
        </w:rPr>
        <w:t xml:space="preserve">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lastRenderedPageBreak/>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287C16">
      <w:pPr>
        <w:pStyle w:val="Odstavecseseznamem"/>
        <w:numPr>
          <w:ilvl w:val="0"/>
          <w:numId w:val="46"/>
        </w:numPr>
        <w:tabs>
          <w:tab w:val="clear" w:pos="454"/>
        </w:tabs>
        <w:spacing w:after="240"/>
        <w:jc w:val="both"/>
        <w:rPr>
          <w:vanish/>
        </w:rPr>
      </w:pPr>
    </w:p>
    <w:p w14:paraId="4F72795B" w14:textId="77777777" w:rsidR="001643F3" w:rsidRPr="001643F3" w:rsidRDefault="001643F3" w:rsidP="00287C16">
      <w:pPr>
        <w:pStyle w:val="Odstavecseseznamem"/>
        <w:numPr>
          <w:ilvl w:val="0"/>
          <w:numId w:val="46"/>
        </w:numPr>
        <w:tabs>
          <w:tab w:val="clear" w:pos="454"/>
        </w:tabs>
        <w:spacing w:after="240"/>
        <w:jc w:val="both"/>
        <w:rPr>
          <w:vanish/>
        </w:rPr>
      </w:pPr>
    </w:p>
    <w:p w14:paraId="07230884" w14:textId="0E8640D9"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660A5F3B" w14:textId="037E37BA"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8D1DDB">
        <w:rPr>
          <w:rFonts w:ascii="Georgia" w:hAnsi="Georgia"/>
          <w:b w:val="0"/>
          <w:sz w:val="22"/>
          <w:szCs w:val="22"/>
        </w:rPr>
        <w:t xml:space="preserve"> </w:t>
      </w:r>
      <w:r w:rsidR="00AE7612">
        <w:rPr>
          <w:rFonts w:ascii="Georgia" w:hAnsi="Georgia"/>
          <w:b w:val="0"/>
          <w:sz w:val="22"/>
          <w:szCs w:val="22"/>
        </w:rPr>
        <w:t>XXX</w:t>
      </w:r>
    </w:p>
    <w:p w14:paraId="02E25929" w14:textId="3519788C"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AE7612">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lastRenderedPageBreak/>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 xml:space="preserve">Smluvní </w:t>
      </w:r>
      <w:r w:rsidRPr="00CD7C93">
        <w:lastRenderedPageBreak/>
        <w:t>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01734EE3"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rsidR="00FC55C3">
        <w:tab/>
      </w:r>
      <w:r w:rsidR="00FC55C3">
        <w:tab/>
      </w:r>
      <w:r>
        <w:tab/>
      </w:r>
      <w:r>
        <w:tab/>
      </w:r>
      <w:r>
        <w:tab/>
      </w:r>
      <w:r>
        <w:tab/>
        <w:t xml:space="preserve">V </w:t>
      </w:r>
      <w:r w:rsidR="00EA189F">
        <w:t>Praze</w:t>
      </w:r>
      <w:r>
        <w:t xml:space="preserve"> 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11B7CA78" w:rsidR="00C53A89" w:rsidRPr="00C53A89" w:rsidRDefault="00C53A89" w:rsidP="00CD7C93">
      <w:pPr>
        <w:widowControl w:val="0"/>
      </w:pPr>
      <w:r w:rsidRPr="00C53A89">
        <w:t>Česká centrála cestovního ruchu</w:t>
      </w:r>
      <w:r w:rsidR="00FC55C3">
        <w:t xml:space="preserve"> – </w:t>
      </w:r>
      <w:r w:rsidRPr="00C53A89">
        <w:t>CzechTourism</w:t>
      </w:r>
      <w:r w:rsidR="00FC55C3">
        <w:tab/>
        <w:t xml:space="preserve">Data </w:t>
      </w:r>
      <w:proofErr w:type="spellStart"/>
      <w:r w:rsidR="00FC55C3">
        <w:t>Rhymes</w:t>
      </w:r>
      <w:proofErr w:type="spellEnd"/>
      <w:r w:rsidR="00FC55C3">
        <w:t>, s.r.o.</w:t>
      </w:r>
    </w:p>
    <w:p w14:paraId="3B9806E8" w14:textId="6829579F" w:rsidR="00CD7C93" w:rsidRDefault="00AE7612" w:rsidP="00CD7C93">
      <w:pPr>
        <w:widowControl w:val="0"/>
      </w:pPr>
      <w:r>
        <w:rPr>
          <w:szCs w:val="22"/>
        </w:rPr>
        <w:t>XXX</w:t>
      </w:r>
      <w:r w:rsidR="00FC55C3" w:rsidRPr="00373D67">
        <w:rPr>
          <w:szCs w:val="22"/>
        </w:rPr>
        <w:t>, Ph.D.</w:t>
      </w:r>
      <w:r w:rsidR="00CD7C93">
        <w:tab/>
      </w:r>
      <w:r w:rsidR="00FC55C3">
        <w:tab/>
      </w:r>
      <w:r w:rsidR="00FC55C3">
        <w:tab/>
      </w:r>
      <w:r w:rsidR="00FC55C3">
        <w:tab/>
      </w:r>
      <w:r>
        <w:tab/>
      </w:r>
      <w:r>
        <w:tab/>
      </w:r>
      <w:r>
        <w:tab/>
      </w:r>
      <w:r>
        <w:tab/>
      </w:r>
      <w:r>
        <w:tab/>
      </w:r>
      <w:r>
        <w:tab/>
        <w:t>XXX</w:t>
      </w:r>
    </w:p>
    <w:p w14:paraId="36D2D13F" w14:textId="55054607" w:rsidR="00EA189F" w:rsidRDefault="00FC55C3" w:rsidP="00CD7C93">
      <w:pPr>
        <w:widowControl w:val="0"/>
      </w:pPr>
      <w:r w:rsidRPr="00373D67">
        <w:rPr>
          <w:szCs w:val="22"/>
        </w:rPr>
        <w:t>Ředitel</w:t>
      </w:r>
      <w:r>
        <w:rPr>
          <w:szCs w:val="22"/>
        </w:rPr>
        <w:tab/>
      </w:r>
      <w:r>
        <w:tab/>
      </w:r>
      <w:r w:rsidR="00EA189F">
        <w:tab/>
      </w:r>
      <w:r w:rsidR="00EA189F">
        <w:tab/>
      </w:r>
      <w:r w:rsidR="00EA189F">
        <w:tab/>
      </w:r>
      <w:r w:rsidR="00EA189F">
        <w:tab/>
      </w:r>
      <w:r w:rsidR="00EA189F">
        <w:tab/>
      </w:r>
      <w:r w:rsidR="00EA189F">
        <w:tab/>
      </w:r>
      <w:r w:rsidR="00EA189F">
        <w:tab/>
      </w:r>
      <w:r w:rsidR="00EA189F">
        <w:tab/>
      </w:r>
      <w:r w:rsidR="00EA189F">
        <w:tab/>
      </w:r>
      <w:r>
        <w:t>jednatel</w:t>
      </w:r>
    </w:p>
    <w:p w14:paraId="742D199E" w14:textId="465C6457" w:rsidR="00512B05" w:rsidRPr="0050155B" w:rsidRDefault="00EA189F" w:rsidP="009E4B07">
      <w:pPr>
        <w:widowControl w:val="0"/>
      </w:pPr>
      <w:r>
        <w:tab/>
      </w:r>
      <w:r>
        <w:tab/>
      </w:r>
      <w:r>
        <w:tab/>
      </w:r>
      <w:r>
        <w:tab/>
      </w:r>
      <w:r>
        <w:tab/>
      </w:r>
      <w:r>
        <w:tab/>
      </w:r>
      <w:r>
        <w:tab/>
      </w:r>
      <w:r>
        <w:tab/>
      </w:r>
      <w:r>
        <w:tab/>
      </w:r>
      <w:r>
        <w:tab/>
      </w:r>
      <w:r>
        <w:tab/>
      </w:r>
      <w:r>
        <w:tab/>
      </w:r>
      <w:r>
        <w:tab/>
      </w:r>
      <w:r>
        <w:tab/>
      </w:r>
    </w:p>
    <w:sectPr w:rsidR="00512B05" w:rsidRPr="0050155B" w:rsidSect="00AB43DD">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6E43" w14:textId="77777777" w:rsidR="00AB43DD" w:rsidRDefault="00AB43DD" w:rsidP="00D067DD">
      <w:pPr>
        <w:spacing w:line="240" w:lineRule="auto"/>
      </w:pPr>
      <w:r>
        <w:separator/>
      </w:r>
    </w:p>
  </w:endnote>
  <w:endnote w:type="continuationSeparator" w:id="0">
    <w:p w14:paraId="19BD64B5" w14:textId="77777777" w:rsidR="00AB43DD" w:rsidRDefault="00AB43DD"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4149" w14:textId="77777777" w:rsidR="00AB43DD" w:rsidRDefault="00AB43DD" w:rsidP="00D067DD">
      <w:pPr>
        <w:spacing w:line="240" w:lineRule="auto"/>
      </w:pPr>
      <w:r>
        <w:separator/>
      </w:r>
    </w:p>
  </w:footnote>
  <w:footnote w:type="continuationSeparator" w:id="0">
    <w:p w14:paraId="7DCF7D4C" w14:textId="77777777" w:rsidR="00AB43DD" w:rsidRDefault="00AB43DD"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25AC789F"/>
    <w:multiLevelType w:val="multilevel"/>
    <w:tmpl w:val="B1F47AE6"/>
    <w:numStyleLink w:val="Heading-Number-FollowNumber"/>
  </w:abstractNum>
  <w:abstractNum w:abstractNumId="18"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0" w15:restartNumberingAfterBreak="0">
    <w:nsid w:val="29FE1E7A"/>
    <w:multiLevelType w:val="multilevel"/>
    <w:tmpl w:val="C882B7AA"/>
    <w:numStyleLink w:val="Headings"/>
  </w:abstractNum>
  <w:abstractNum w:abstractNumId="21"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6"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2"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7"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46"/>
  </w:num>
  <w:num w:numId="9" w16cid:durableId="700320376">
    <w:abstractNumId w:val="12"/>
  </w:num>
  <w:num w:numId="10" w16cid:durableId="1040935535">
    <w:abstractNumId w:val="36"/>
  </w:num>
  <w:num w:numId="11" w16cid:durableId="1680500255">
    <w:abstractNumId w:val="31"/>
  </w:num>
  <w:num w:numId="12" w16cid:durableId="1106998012">
    <w:abstractNumId w:val="7"/>
  </w:num>
  <w:num w:numId="13" w16cid:durableId="161744286">
    <w:abstractNumId w:val="29"/>
  </w:num>
  <w:num w:numId="14" w16cid:durableId="1293680699">
    <w:abstractNumId w:val="19"/>
  </w:num>
  <w:num w:numId="15" w16cid:durableId="332076401">
    <w:abstractNumId w:val="25"/>
  </w:num>
  <w:num w:numId="16" w16cid:durableId="1764956737">
    <w:abstractNumId w:val="13"/>
  </w:num>
  <w:num w:numId="17" w16cid:durableId="1410880188">
    <w:abstractNumId w:val="20"/>
  </w:num>
  <w:num w:numId="18" w16cid:durableId="936403263">
    <w:abstractNumId w:val="14"/>
  </w:num>
  <w:num w:numId="19" w16cid:durableId="2046101892">
    <w:abstractNumId w:val="30"/>
  </w:num>
  <w:num w:numId="20" w16cid:durableId="433289259">
    <w:abstractNumId w:val="17"/>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1"/>
  </w:num>
  <w:num w:numId="22" w16cid:durableId="2073774524">
    <w:abstractNumId w:val="35"/>
  </w:num>
  <w:num w:numId="23" w16cid:durableId="882836466">
    <w:abstractNumId w:val="17"/>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1"/>
  </w:num>
  <w:num w:numId="25" w16cid:durableId="841090946">
    <w:abstractNumId w:val="10"/>
  </w:num>
  <w:num w:numId="26" w16cid:durableId="10491955">
    <w:abstractNumId w:val="34"/>
  </w:num>
  <w:num w:numId="27" w16cid:durableId="1925413342">
    <w:abstractNumId w:val="9"/>
  </w:num>
  <w:num w:numId="28" w16cid:durableId="1155491050">
    <w:abstractNumId w:val="42"/>
  </w:num>
  <w:num w:numId="29" w16cid:durableId="1252663680">
    <w:abstractNumId w:val="39"/>
  </w:num>
  <w:num w:numId="30" w16cid:durableId="291324857">
    <w:abstractNumId w:val="11"/>
  </w:num>
  <w:num w:numId="31" w16cid:durableId="953246302">
    <w:abstractNumId w:val="26"/>
  </w:num>
  <w:num w:numId="32" w16cid:durableId="1494564573">
    <w:abstractNumId w:val="32"/>
  </w:num>
  <w:num w:numId="33" w16cid:durableId="17962933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8"/>
  </w:num>
  <w:num w:numId="35" w16cid:durableId="114100829">
    <w:abstractNumId w:val="44"/>
  </w:num>
  <w:num w:numId="36" w16cid:durableId="1183738635">
    <w:abstractNumId w:val="22"/>
  </w:num>
  <w:num w:numId="37" w16cid:durableId="1116288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0"/>
  </w:num>
  <w:num w:numId="39" w16cid:durableId="1888224622">
    <w:abstractNumId w:val="27"/>
    <w:lvlOverride w:ilvl="0">
      <w:startOverride w:val="14"/>
    </w:lvlOverride>
    <w:lvlOverride w:ilvl="1">
      <w:startOverride w:val="1"/>
    </w:lvlOverride>
  </w:num>
  <w:num w:numId="40" w16cid:durableId="1999770273">
    <w:abstractNumId w:val="45"/>
  </w:num>
  <w:num w:numId="41" w16cid:durableId="1821969150">
    <w:abstractNumId w:val="43"/>
  </w:num>
  <w:num w:numId="42" w16cid:durableId="1789204481">
    <w:abstractNumId w:val="8"/>
  </w:num>
  <w:num w:numId="43" w16cid:durableId="1941909242">
    <w:abstractNumId w:val="33"/>
  </w:num>
  <w:num w:numId="44" w16cid:durableId="490875298">
    <w:abstractNumId w:val="16"/>
  </w:num>
  <w:num w:numId="45" w16cid:durableId="442578895">
    <w:abstractNumId w:val="0"/>
  </w:num>
  <w:num w:numId="46" w16cid:durableId="1278027209">
    <w:abstractNumId w:val="37"/>
  </w:num>
  <w:num w:numId="47" w16cid:durableId="438447623">
    <w:abstractNumId w:val="15"/>
  </w:num>
  <w:num w:numId="48" w16cid:durableId="1651205938">
    <w:abstractNumId w:val="28"/>
  </w:num>
  <w:num w:numId="49" w16cid:durableId="2033453585">
    <w:abstractNumId w:val="38"/>
  </w:num>
  <w:num w:numId="50" w16cid:durableId="1018583141">
    <w:abstractNumId w:val="47"/>
  </w:num>
  <w:num w:numId="51" w16cid:durableId="355932719">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1981"/>
    <w:rsid w:val="00003F36"/>
    <w:rsid w:val="00003FAB"/>
    <w:rsid w:val="0000453F"/>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455"/>
    <w:rsid w:val="0007261F"/>
    <w:rsid w:val="00073D17"/>
    <w:rsid w:val="00076700"/>
    <w:rsid w:val="00076B7D"/>
    <w:rsid w:val="00080E0A"/>
    <w:rsid w:val="000829E0"/>
    <w:rsid w:val="0008364C"/>
    <w:rsid w:val="00084415"/>
    <w:rsid w:val="00085475"/>
    <w:rsid w:val="00086354"/>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059DA"/>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62"/>
    <w:rsid w:val="00153267"/>
    <w:rsid w:val="00153F5C"/>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1681"/>
    <w:rsid w:val="001E1901"/>
    <w:rsid w:val="001E2B32"/>
    <w:rsid w:val="001E4B1F"/>
    <w:rsid w:val="001E57A2"/>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E03"/>
    <w:rsid w:val="00224521"/>
    <w:rsid w:val="00224AA4"/>
    <w:rsid w:val="00227121"/>
    <w:rsid w:val="0023189B"/>
    <w:rsid w:val="002335ED"/>
    <w:rsid w:val="00240854"/>
    <w:rsid w:val="00240C62"/>
    <w:rsid w:val="00241709"/>
    <w:rsid w:val="00242A96"/>
    <w:rsid w:val="00245984"/>
    <w:rsid w:val="00254BB1"/>
    <w:rsid w:val="00256BE6"/>
    <w:rsid w:val="00257314"/>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580"/>
    <w:rsid w:val="002F086F"/>
    <w:rsid w:val="002F5161"/>
    <w:rsid w:val="002F57CC"/>
    <w:rsid w:val="002F664B"/>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67"/>
    <w:rsid w:val="00373DE1"/>
    <w:rsid w:val="00374A44"/>
    <w:rsid w:val="00374E2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05D"/>
    <w:rsid w:val="003D76D1"/>
    <w:rsid w:val="003E6C5D"/>
    <w:rsid w:val="003F1960"/>
    <w:rsid w:val="003F1FFA"/>
    <w:rsid w:val="003F35D1"/>
    <w:rsid w:val="003F5548"/>
    <w:rsid w:val="003F5871"/>
    <w:rsid w:val="00400E43"/>
    <w:rsid w:val="0040176C"/>
    <w:rsid w:val="00403953"/>
    <w:rsid w:val="004040C9"/>
    <w:rsid w:val="00404E85"/>
    <w:rsid w:val="00405FA5"/>
    <w:rsid w:val="00406102"/>
    <w:rsid w:val="004063CC"/>
    <w:rsid w:val="00406B86"/>
    <w:rsid w:val="00406E79"/>
    <w:rsid w:val="00407E9E"/>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43BE"/>
    <w:rsid w:val="00497873"/>
    <w:rsid w:val="004A0F6B"/>
    <w:rsid w:val="004A11E3"/>
    <w:rsid w:val="004A21A8"/>
    <w:rsid w:val="004A2FFD"/>
    <w:rsid w:val="004A3F0C"/>
    <w:rsid w:val="004A50AC"/>
    <w:rsid w:val="004A5274"/>
    <w:rsid w:val="004A59BA"/>
    <w:rsid w:val="004A6ABC"/>
    <w:rsid w:val="004A6D6B"/>
    <w:rsid w:val="004A7838"/>
    <w:rsid w:val="004A7F94"/>
    <w:rsid w:val="004B175D"/>
    <w:rsid w:val="004B3D29"/>
    <w:rsid w:val="004B4073"/>
    <w:rsid w:val="004C0507"/>
    <w:rsid w:val="004C25E8"/>
    <w:rsid w:val="004C51EC"/>
    <w:rsid w:val="004C52FC"/>
    <w:rsid w:val="004C5F46"/>
    <w:rsid w:val="004C6131"/>
    <w:rsid w:val="004E256B"/>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02C1"/>
    <w:rsid w:val="00531032"/>
    <w:rsid w:val="00533F8B"/>
    <w:rsid w:val="00533F9E"/>
    <w:rsid w:val="00534864"/>
    <w:rsid w:val="00534DC9"/>
    <w:rsid w:val="00535001"/>
    <w:rsid w:val="005419C2"/>
    <w:rsid w:val="005443D4"/>
    <w:rsid w:val="00544D71"/>
    <w:rsid w:val="00547BF9"/>
    <w:rsid w:val="00550263"/>
    <w:rsid w:val="00551851"/>
    <w:rsid w:val="0055248C"/>
    <w:rsid w:val="005543C8"/>
    <w:rsid w:val="0055668C"/>
    <w:rsid w:val="00557136"/>
    <w:rsid w:val="005575FD"/>
    <w:rsid w:val="00557639"/>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657"/>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0C23"/>
    <w:rsid w:val="00611FF9"/>
    <w:rsid w:val="00612CC7"/>
    <w:rsid w:val="00613184"/>
    <w:rsid w:val="00613559"/>
    <w:rsid w:val="006167A4"/>
    <w:rsid w:val="00617310"/>
    <w:rsid w:val="00620B35"/>
    <w:rsid w:val="00621F17"/>
    <w:rsid w:val="00622B94"/>
    <w:rsid w:val="0062310A"/>
    <w:rsid w:val="006235FA"/>
    <w:rsid w:val="006249C0"/>
    <w:rsid w:val="00626E50"/>
    <w:rsid w:val="00627DBE"/>
    <w:rsid w:val="00630D4D"/>
    <w:rsid w:val="00631343"/>
    <w:rsid w:val="00635E7B"/>
    <w:rsid w:val="0063678A"/>
    <w:rsid w:val="00641275"/>
    <w:rsid w:val="00643293"/>
    <w:rsid w:val="00645042"/>
    <w:rsid w:val="00647BF4"/>
    <w:rsid w:val="00650B91"/>
    <w:rsid w:val="00653976"/>
    <w:rsid w:val="00655C08"/>
    <w:rsid w:val="00656C3E"/>
    <w:rsid w:val="00661752"/>
    <w:rsid w:val="006620DF"/>
    <w:rsid w:val="00663B28"/>
    <w:rsid w:val="006644B5"/>
    <w:rsid w:val="00664736"/>
    <w:rsid w:val="006654D8"/>
    <w:rsid w:val="00665F08"/>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366F"/>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4CBB"/>
    <w:rsid w:val="00786455"/>
    <w:rsid w:val="00787A28"/>
    <w:rsid w:val="00787FF5"/>
    <w:rsid w:val="00790FFC"/>
    <w:rsid w:val="0079154A"/>
    <w:rsid w:val="007939B1"/>
    <w:rsid w:val="007954FE"/>
    <w:rsid w:val="00796BC2"/>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C04"/>
    <w:rsid w:val="007D2EE8"/>
    <w:rsid w:val="007D3EC3"/>
    <w:rsid w:val="007D440B"/>
    <w:rsid w:val="007D6E95"/>
    <w:rsid w:val="007D7192"/>
    <w:rsid w:val="007E03C0"/>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57A0A"/>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319C"/>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7BE"/>
    <w:rsid w:val="008C5F3A"/>
    <w:rsid w:val="008C6473"/>
    <w:rsid w:val="008C69E8"/>
    <w:rsid w:val="008D171F"/>
    <w:rsid w:val="008D1DDB"/>
    <w:rsid w:val="008D271C"/>
    <w:rsid w:val="008D3EDE"/>
    <w:rsid w:val="008D41B2"/>
    <w:rsid w:val="008D4CF3"/>
    <w:rsid w:val="008D4E78"/>
    <w:rsid w:val="008D518C"/>
    <w:rsid w:val="008D610F"/>
    <w:rsid w:val="008E1779"/>
    <w:rsid w:val="008E192C"/>
    <w:rsid w:val="008E279B"/>
    <w:rsid w:val="008E3E80"/>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332D"/>
    <w:rsid w:val="00945D7A"/>
    <w:rsid w:val="00950965"/>
    <w:rsid w:val="00951E4F"/>
    <w:rsid w:val="00953D18"/>
    <w:rsid w:val="00956487"/>
    <w:rsid w:val="0095674D"/>
    <w:rsid w:val="00957789"/>
    <w:rsid w:val="00957980"/>
    <w:rsid w:val="00961854"/>
    <w:rsid w:val="0096191F"/>
    <w:rsid w:val="0096314D"/>
    <w:rsid w:val="00965FA8"/>
    <w:rsid w:val="00966818"/>
    <w:rsid w:val="00966AD2"/>
    <w:rsid w:val="00970AF5"/>
    <w:rsid w:val="00972554"/>
    <w:rsid w:val="009729D7"/>
    <w:rsid w:val="00973918"/>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B7590"/>
    <w:rsid w:val="009C001B"/>
    <w:rsid w:val="009C01D2"/>
    <w:rsid w:val="009C1C25"/>
    <w:rsid w:val="009C33FC"/>
    <w:rsid w:val="009C5182"/>
    <w:rsid w:val="009C7276"/>
    <w:rsid w:val="009D54CF"/>
    <w:rsid w:val="009E03E7"/>
    <w:rsid w:val="009E0FD8"/>
    <w:rsid w:val="009E28AD"/>
    <w:rsid w:val="009E3A43"/>
    <w:rsid w:val="009E3B09"/>
    <w:rsid w:val="009E4B07"/>
    <w:rsid w:val="009E6573"/>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11E3"/>
    <w:rsid w:val="00A223C9"/>
    <w:rsid w:val="00A23D96"/>
    <w:rsid w:val="00A25C0E"/>
    <w:rsid w:val="00A25F95"/>
    <w:rsid w:val="00A31804"/>
    <w:rsid w:val="00A31990"/>
    <w:rsid w:val="00A34FB3"/>
    <w:rsid w:val="00A35DB1"/>
    <w:rsid w:val="00A360D8"/>
    <w:rsid w:val="00A36F71"/>
    <w:rsid w:val="00A37F71"/>
    <w:rsid w:val="00A40383"/>
    <w:rsid w:val="00A41423"/>
    <w:rsid w:val="00A450B8"/>
    <w:rsid w:val="00A4532E"/>
    <w:rsid w:val="00A465CC"/>
    <w:rsid w:val="00A46CE5"/>
    <w:rsid w:val="00A509B2"/>
    <w:rsid w:val="00A509CA"/>
    <w:rsid w:val="00A524A7"/>
    <w:rsid w:val="00A53D7F"/>
    <w:rsid w:val="00A54CF1"/>
    <w:rsid w:val="00A576F7"/>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39B9"/>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43DD"/>
    <w:rsid w:val="00AB5DF4"/>
    <w:rsid w:val="00AB6E57"/>
    <w:rsid w:val="00AB7005"/>
    <w:rsid w:val="00AC0957"/>
    <w:rsid w:val="00AC1956"/>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E7612"/>
    <w:rsid w:val="00AF06E4"/>
    <w:rsid w:val="00AF0A72"/>
    <w:rsid w:val="00AF11FB"/>
    <w:rsid w:val="00AF1B34"/>
    <w:rsid w:val="00AF22C1"/>
    <w:rsid w:val="00AF478D"/>
    <w:rsid w:val="00AF6310"/>
    <w:rsid w:val="00AF68E5"/>
    <w:rsid w:val="00AF6EA1"/>
    <w:rsid w:val="00AF774B"/>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0914"/>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1F4"/>
    <w:rsid w:val="00BB25DB"/>
    <w:rsid w:val="00BB37BF"/>
    <w:rsid w:val="00BB55E7"/>
    <w:rsid w:val="00BC0D6C"/>
    <w:rsid w:val="00BC4BBA"/>
    <w:rsid w:val="00BC58DA"/>
    <w:rsid w:val="00BC5C50"/>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388C"/>
    <w:rsid w:val="00BF63E1"/>
    <w:rsid w:val="00C0158F"/>
    <w:rsid w:val="00C02FAF"/>
    <w:rsid w:val="00C03ACD"/>
    <w:rsid w:val="00C0596E"/>
    <w:rsid w:val="00C13706"/>
    <w:rsid w:val="00C13A07"/>
    <w:rsid w:val="00C1616D"/>
    <w:rsid w:val="00C16A73"/>
    <w:rsid w:val="00C17F4A"/>
    <w:rsid w:val="00C212EC"/>
    <w:rsid w:val="00C21D58"/>
    <w:rsid w:val="00C226B9"/>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37EA8"/>
    <w:rsid w:val="00C43227"/>
    <w:rsid w:val="00C4470D"/>
    <w:rsid w:val="00C47C91"/>
    <w:rsid w:val="00C50450"/>
    <w:rsid w:val="00C516EE"/>
    <w:rsid w:val="00C51701"/>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5C9B"/>
    <w:rsid w:val="00C868BE"/>
    <w:rsid w:val="00C86E1F"/>
    <w:rsid w:val="00C90994"/>
    <w:rsid w:val="00C947E0"/>
    <w:rsid w:val="00C96655"/>
    <w:rsid w:val="00CA0909"/>
    <w:rsid w:val="00CA65C5"/>
    <w:rsid w:val="00CB01DD"/>
    <w:rsid w:val="00CB11B0"/>
    <w:rsid w:val="00CB1645"/>
    <w:rsid w:val="00CB2332"/>
    <w:rsid w:val="00CB339F"/>
    <w:rsid w:val="00CB3C49"/>
    <w:rsid w:val="00CB3D24"/>
    <w:rsid w:val="00CB65D5"/>
    <w:rsid w:val="00CB75AD"/>
    <w:rsid w:val="00CC035A"/>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CF71E1"/>
    <w:rsid w:val="00D01CFD"/>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84D0F"/>
    <w:rsid w:val="00D90634"/>
    <w:rsid w:val="00D917B9"/>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2FD"/>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89F"/>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4CFC"/>
    <w:rsid w:val="00EF5DFF"/>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5FFE"/>
    <w:rsid w:val="00F2616A"/>
    <w:rsid w:val="00F300BF"/>
    <w:rsid w:val="00F32610"/>
    <w:rsid w:val="00F33CE2"/>
    <w:rsid w:val="00F407A5"/>
    <w:rsid w:val="00F40EE4"/>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3F60"/>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B96"/>
    <w:rsid w:val="00F95DAA"/>
    <w:rsid w:val="00FA0276"/>
    <w:rsid w:val="00FA11DB"/>
    <w:rsid w:val="00FA1A85"/>
    <w:rsid w:val="00FA230E"/>
    <w:rsid w:val="00FA50D4"/>
    <w:rsid w:val="00FA602B"/>
    <w:rsid w:val="00FB036A"/>
    <w:rsid w:val="00FB0666"/>
    <w:rsid w:val="00FB1235"/>
    <w:rsid w:val="00FB1576"/>
    <w:rsid w:val="00FB27E6"/>
    <w:rsid w:val="00FB2E96"/>
    <w:rsid w:val="00FB454F"/>
    <w:rsid w:val="00FB632A"/>
    <w:rsid w:val="00FC1490"/>
    <w:rsid w:val="00FC1710"/>
    <w:rsid w:val="00FC1CBE"/>
    <w:rsid w:val="00FC2E27"/>
    <w:rsid w:val="00FC55C3"/>
    <w:rsid w:val="00FD12BC"/>
    <w:rsid w:val="00FD447A"/>
    <w:rsid w:val="00FD49C2"/>
    <w:rsid w:val="00FD4C1C"/>
    <w:rsid w:val="00FD65F7"/>
    <w:rsid w:val="00FD7909"/>
    <w:rsid w:val="00FD7C6A"/>
    <w:rsid w:val="00FE0BAE"/>
    <w:rsid w:val="00FE1C1C"/>
    <w:rsid w:val="00FE279B"/>
    <w:rsid w:val="00FE3371"/>
    <w:rsid w:val="00FE3B01"/>
    <w:rsid w:val="00FE6499"/>
    <w:rsid w:val="00FE76C0"/>
    <w:rsid w:val="00FF0621"/>
    <w:rsid w:val="00FF5E90"/>
    <w:rsid w:val="00FF6762"/>
    <w:rsid w:val="126E52DD"/>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5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BF388C"/>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4" ma:contentTypeDescription="Create a new document." ma:contentTypeScope="" ma:versionID="0b13bf93f6ea5c269d1dd1c87f11cb22">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9489efc450f0de9eb105871a82e2a80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2.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3.xml><?xml version="1.0" encoding="utf-8"?>
<ds:datastoreItem xmlns:ds="http://schemas.openxmlformats.org/officeDocument/2006/customXml" ds:itemID="{4AA7B86F-2761-4C63-BFE5-D81A2F6C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11</TotalTime>
  <Pages>16</Pages>
  <Words>4235</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Krušberská Eliška</cp:lastModifiedBy>
  <cp:revision>7</cp:revision>
  <cp:lastPrinted>2020-11-19T14:20:00Z</cp:lastPrinted>
  <dcterms:created xsi:type="dcterms:W3CDTF">2024-02-08T09:32:00Z</dcterms:created>
  <dcterms:modified xsi:type="dcterms:W3CDTF">2024-02-26T08:45:00Z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