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A07E56" w:rsidRPr="005704F5">
        <w:rPr>
          <w:rFonts w:ascii="Calibri" w:hAnsi="Calibri" w:cs="Calibri"/>
          <w:b/>
          <w:bCs/>
          <w:sz w:val="28"/>
          <w:szCs w:val="28"/>
        </w:rPr>
        <w:t>40</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CA1948">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274854">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274854">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103527" w:rsidRPr="005704F5" w:rsidRDefault="0042261A" w:rsidP="00CB6B0A">
      <w:pPr>
        <w:ind w:right="15"/>
        <w:jc w:val="both"/>
        <w:rPr>
          <w:rStyle w:val="preformatted"/>
          <w:rFonts w:ascii="Calibri" w:hAnsi="Calibri" w:cs="Calibri"/>
          <w:b/>
          <w:sz w:val="22"/>
          <w:szCs w:val="22"/>
        </w:rPr>
      </w:pPr>
      <w:r w:rsidRPr="005704F5">
        <w:rPr>
          <w:rStyle w:val="preformatted"/>
          <w:rFonts w:ascii="Calibri" w:hAnsi="Calibri" w:cs="Calibri"/>
          <w:b/>
          <w:sz w:val="22"/>
          <w:szCs w:val="22"/>
        </w:rPr>
        <w:t>Střední škola technická</w:t>
      </w:r>
      <w:r w:rsidR="00103527" w:rsidRPr="005704F5">
        <w:rPr>
          <w:rStyle w:val="preformatted"/>
          <w:rFonts w:ascii="Calibri" w:hAnsi="Calibri" w:cs="Calibri"/>
          <w:b/>
          <w:sz w:val="22"/>
          <w:szCs w:val="22"/>
        </w:rPr>
        <w:t>, Přerov</w:t>
      </w:r>
      <w:r w:rsidRPr="005704F5">
        <w:rPr>
          <w:rStyle w:val="preformatted"/>
          <w:rFonts w:ascii="Calibri" w:hAnsi="Calibri" w:cs="Calibri"/>
          <w:b/>
          <w:sz w:val="22"/>
          <w:szCs w:val="22"/>
        </w:rPr>
        <w:t xml:space="preserve">, </w:t>
      </w:r>
      <w:proofErr w:type="spellStart"/>
      <w:r w:rsidR="00103527" w:rsidRPr="005704F5">
        <w:rPr>
          <w:rStyle w:val="preformatted"/>
          <w:rFonts w:ascii="Calibri" w:hAnsi="Calibri" w:cs="Calibri"/>
          <w:b/>
          <w:sz w:val="22"/>
          <w:szCs w:val="22"/>
        </w:rPr>
        <w:t>Kouřílkova</w:t>
      </w:r>
      <w:proofErr w:type="spellEnd"/>
      <w:r w:rsidR="00103527" w:rsidRPr="005704F5">
        <w:rPr>
          <w:rStyle w:val="preformatted"/>
          <w:rFonts w:ascii="Calibri" w:hAnsi="Calibri" w:cs="Calibri"/>
          <w:b/>
          <w:sz w:val="22"/>
          <w:szCs w:val="22"/>
        </w:rPr>
        <w:t xml:space="preserve"> 8</w:t>
      </w:r>
    </w:p>
    <w:p w:rsidR="00CB6B0A" w:rsidRPr="005704F5" w:rsidRDefault="00CB6B0A" w:rsidP="00CB6B0A">
      <w:pPr>
        <w:ind w:right="15"/>
        <w:jc w:val="both"/>
        <w:rPr>
          <w:rFonts w:ascii="Calibri" w:hAnsi="Calibri" w:cs="Calibri"/>
          <w:sz w:val="22"/>
          <w:szCs w:val="22"/>
        </w:rPr>
      </w:pPr>
      <w:r w:rsidRPr="005704F5">
        <w:rPr>
          <w:rFonts w:ascii="Calibri" w:hAnsi="Calibri" w:cs="Calibri"/>
          <w:sz w:val="22"/>
          <w:szCs w:val="22"/>
        </w:rPr>
        <w:t xml:space="preserve">sídlo: </w:t>
      </w:r>
      <w:proofErr w:type="spellStart"/>
      <w:r w:rsidR="00103527" w:rsidRPr="005704F5">
        <w:rPr>
          <w:rFonts w:ascii="Calibri" w:hAnsi="Calibri" w:cs="Calibri"/>
          <w:sz w:val="22"/>
          <w:szCs w:val="22"/>
        </w:rPr>
        <w:t>Kouřílkova</w:t>
      </w:r>
      <w:proofErr w:type="spellEnd"/>
      <w:r w:rsidR="00103527" w:rsidRPr="005704F5">
        <w:rPr>
          <w:rFonts w:ascii="Calibri" w:hAnsi="Calibri" w:cs="Calibri"/>
          <w:sz w:val="22"/>
          <w:szCs w:val="22"/>
        </w:rPr>
        <w:t xml:space="preserve"> 1028/8</w:t>
      </w:r>
      <w:r w:rsidR="00FB347C" w:rsidRPr="005704F5">
        <w:rPr>
          <w:rFonts w:ascii="Calibri" w:hAnsi="Calibri" w:cs="Calibri"/>
          <w:sz w:val="22"/>
          <w:szCs w:val="22"/>
        </w:rPr>
        <w:t xml:space="preserve">, </w:t>
      </w:r>
      <w:r w:rsidR="00103527" w:rsidRPr="005704F5">
        <w:rPr>
          <w:rFonts w:ascii="Calibri" w:hAnsi="Calibri" w:cs="Calibri"/>
          <w:sz w:val="22"/>
          <w:szCs w:val="22"/>
        </w:rPr>
        <w:t>Přerov I</w:t>
      </w:r>
      <w:r w:rsidR="005F7EA6" w:rsidRPr="005704F5">
        <w:rPr>
          <w:rFonts w:ascii="Calibri" w:hAnsi="Calibri" w:cs="Calibri"/>
          <w:sz w:val="22"/>
          <w:szCs w:val="22"/>
        </w:rPr>
        <w:t>-</w:t>
      </w:r>
      <w:r w:rsidR="00103527" w:rsidRPr="005704F5">
        <w:rPr>
          <w:rFonts w:ascii="Calibri" w:hAnsi="Calibri" w:cs="Calibri"/>
          <w:sz w:val="22"/>
          <w:szCs w:val="22"/>
        </w:rPr>
        <w:t>Město, 750 02</w:t>
      </w:r>
      <w:r w:rsidR="00FB347C" w:rsidRPr="005704F5">
        <w:rPr>
          <w:rFonts w:ascii="Calibri" w:hAnsi="Calibri" w:cs="Calibri"/>
          <w:sz w:val="22"/>
          <w:szCs w:val="22"/>
        </w:rPr>
        <w:t xml:space="preserve"> </w:t>
      </w:r>
      <w:r w:rsidR="00103527" w:rsidRPr="005704F5">
        <w:rPr>
          <w:rFonts w:ascii="Calibri" w:hAnsi="Calibri" w:cs="Calibri"/>
          <w:sz w:val="22"/>
          <w:szCs w:val="22"/>
        </w:rPr>
        <w:t>Přerov</w:t>
      </w:r>
    </w:p>
    <w:p w:rsidR="00CB6B0A" w:rsidRPr="005704F5" w:rsidRDefault="00CB6B0A" w:rsidP="00CB6B0A">
      <w:pPr>
        <w:ind w:right="15"/>
        <w:jc w:val="both"/>
        <w:rPr>
          <w:rFonts w:ascii="Calibri" w:hAnsi="Calibri" w:cs="Calibri"/>
          <w:sz w:val="22"/>
          <w:szCs w:val="22"/>
        </w:rPr>
      </w:pPr>
      <w:r w:rsidRPr="005704F5">
        <w:rPr>
          <w:rFonts w:ascii="Calibri" w:hAnsi="Calibri" w:cs="Calibri"/>
          <w:sz w:val="22"/>
          <w:szCs w:val="22"/>
        </w:rPr>
        <w:t>zastoupen</w:t>
      </w:r>
      <w:r w:rsidR="00355639" w:rsidRPr="005704F5">
        <w:rPr>
          <w:rFonts w:ascii="Calibri" w:hAnsi="Calibri" w:cs="Calibri"/>
          <w:sz w:val="22"/>
          <w:szCs w:val="22"/>
        </w:rPr>
        <w:t>á</w:t>
      </w:r>
      <w:r w:rsidRPr="005704F5">
        <w:rPr>
          <w:rFonts w:ascii="Calibri" w:hAnsi="Calibri" w:cs="Calibri"/>
          <w:sz w:val="22"/>
          <w:szCs w:val="22"/>
        </w:rPr>
        <w:t xml:space="preserve">: </w:t>
      </w:r>
      <w:r w:rsidR="00103527" w:rsidRPr="005704F5">
        <w:rPr>
          <w:rFonts w:ascii="Calibri" w:hAnsi="Calibri" w:cs="Calibri"/>
          <w:sz w:val="22"/>
          <w:szCs w:val="22"/>
        </w:rPr>
        <w:t xml:space="preserve">Mgr. Františkem </w:t>
      </w:r>
      <w:proofErr w:type="spellStart"/>
      <w:r w:rsidR="00103527" w:rsidRPr="005704F5">
        <w:rPr>
          <w:rFonts w:ascii="Calibri" w:hAnsi="Calibri" w:cs="Calibri"/>
          <w:sz w:val="22"/>
          <w:szCs w:val="22"/>
        </w:rPr>
        <w:t>Šoberem</w:t>
      </w:r>
      <w:proofErr w:type="spellEnd"/>
      <w:r w:rsidR="0042261A" w:rsidRPr="005704F5">
        <w:rPr>
          <w:rFonts w:ascii="Calibri" w:hAnsi="Calibri" w:cs="Calibri"/>
          <w:sz w:val="22"/>
          <w:szCs w:val="22"/>
        </w:rPr>
        <w:t>,</w:t>
      </w:r>
      <w:r w:rsidR="00FB347C" w:rsidRPr="005704F5">
        <w:rPr>
          <w:rFonts w:ascii="Calibri" w:hAnsi="Calibri" w:cs="Calibri"/>
          <w:sz w:val="22"/>
          <w:szCs w:val="22"/>
        </w:rPr>
        <w:t xml:space="preserve"> </w:t>
      </w:r>
      <w:r w:rsidR="0042261A" w:rsidRPr="005704F5">
        <w:rPr>
          <w:rFonts w:ascii="Calibri" w:hAnsi="Calibri" w:cs="Calibri"/>
          <w:sz w:val="22"/>
          <w:szCs w:val="22"/>
        </w:rPr>
        <w:t>ředitel</w:t>
      </w:r>
      <w:r w:rsidR="00103527" w:rsidRPr="005704F5">
        <w:rPr>
          <w:rFonts w:ascii="Calibri" w:hAnsi="Calibri" w:cs="Calibri"/>
          <w:sz w:val="22"/>
          <w:szCs w:val="22"/>
        </w:rPr>
        <w:t>em</w:t>
      </w:r>
      <w:r w:rsidR="0042261A" w:rsidRPr="005704F5">
        <w:rPr>
          <w:rFonts w:ascii="Calibri" w:hAnsi="Calibri" w:cs="Calibri"/>
          <w:sz w:val="22"/>
          <w:szCs w:val="22"/>
        </w:rPr>
        <w:t xml:space="preserve"> školy</w:t>
      </w:r>
    </w:p>
    <w:p w:rsidR="00CB6B0A" w:rsidRPr="005704F5" w:rsidRDefault="00103527" w:rsidP="00CB6B0A">
      <w:pPr>
        <w:ind w:right="15"/>
        <w:jc w:val="both"/>
        <w:rPr>
          <w:rFonts w:ascii="Calibri" w:hAnsi="Calibri" w:cs="Calibri"/>
          <w:sz w:val="22"/>
          <w:szCs w:val="22"/>
        </w:rPr>
      </w:pPr>
      <w:r w:rsidRPr="005704F5">
        <w:rPr>
          <w:rFonts w:ascii="Calibri" w:hAnsi="Calibri" w:cs="Calibri"/>
          <w:sz w:val="22"/>
          <w:szCs w:val="22"/>
        </w:rPr>
        <w:t>IČ</w:t>
      </w:r>
      <w:r w:rsidR="00442C6D" w:rsidRPr="005704F5">
        <w:rPr>
          <w:rFonts w:ascii="Calibri" w:hAnsi="Calibri" w:cs="Calibri"/>
          <w:sz w:val="22"/>
          <w:szCs w:val="22"/>
        </w:rPr>
        <w:t>O</w:t>
      </w:r>
      <w:r w:rsidRPr="005704F5">
        <w:rPr>
          <w:rFonts w:ascii="Calibri" w:hAnsi="Calibri" w:cs="Calibri"/>
          <w:sz w:val="22"/>
          <w:szCs w:val="22"/>
        </w:rPr>
        <w:t>: 19013833</w:t>
      </w:r>
    </w:p>
    <w:p w:rsidR="00CB6B0A" w:rsidRPr="005704F5" w:rsidRDefault="00CB6B0A" w:rsidP="00CB6B0A">
      <w:pPr>
        <w:ind w:right="15"/>
        <w:jc w:val="both"/>
        <w:rPr>
          <w:rFonts w:ascii="Calibri" w:hAnsi="Calibri" w:cs="Calibri"/>
          <w:sz w:val="22"/>
          <w:szCs w:val="22"/>
        </w:rPr>
      </w:pPr>
      <w:r w:rsidRPr="005704F5">
        <w:rPr>
          <w:rFonts w:ascii="Calibri" w:hAnsi="Calibri" w:cs="Calibri"/>
          <w:sz w:val="22"/>
          <w:szCs w:val="22"/>
        </w:rPr>
        <w:t>DIČ: CZ</w:t>
      </w:r>
      <w:r w:rsidR="00103527" w:rsidRPr="005704F5">
        <w:rPr>
          <w:rFonts w:ascii="Calibri" w:hAnsi="Calibri" w:cs="Calibri"/>
          <w:sz w:val="22"/>
          <w:szCs w:val="22"/>
        </w:rPr>
        <w:t>19013833</w:t>
      </w:r>
    </w:p>
    <w:p w:rsidR="00CB6B0A" w:rsidRPr="005704F5" w:rsidRDefault="00CB6B0A" w:rsidP="00CB6B0A">
      <w:pPr>
        <w:ind w:right="15"/>
        <w:jc w:val="both"/>
        <w:rPr>
          <w:rFonts w:ascii="Calibri" w:hAnsi="Calibri" w:cs="Calibri"/>
          <w:sz w:val="22"/>
          <w:szCs w:val="22"/>
        </w:rPr>
      </w:pPr>
      <w:r w:rsidRPr="005704F5">
        <w:rPr>
          <w:rFonts w:ascii="Calibri" w:hAnsi="Calibri" w:cs="Calibri"/>
          <w:sz w:val="22"/>
          <w:szCs w:val="22"/>
        </w:rPr>
        <w:t>zaps</w:t>
      </w:r>
      <w:r w:rsidR="00FB347C" w:rsidRPr="005704F5">
        <w:rPr>
          <w:rFonts w:ascii="Calibri" w:hAnsi="Calibri" w:cs="Calibri"/>
          <w:sz w:val="22"/>
          <w:szCs w:val="22"/>
        </w:rPr>
        <w:t>aná</w:t>
      </w:r>
      <w:r w:rsidRPr="005704F5">
        <w:rPr>
          <w:rFonts w:ascii="Calibri" w:hAnsi="Calibri" w:cs="Calibri"/>
          <w:sz w:val="22"/>
          <w:szCs w:val="22"/>
        </w:rPr>
        <w:t xml:space="preserve"> v</w:t>
      </w:r>
      <w:r w:rsidR="0042261A" w:rsidRPr="005704F5">
        <w:rPr>
          <w:rFonts w:ascii="Calibri" w:hAnsi="Calibri" w:cs="Calibri"/>
          <w:sz w:val="22"/>
          <w:szCs w:val="22"/>
        </w:rPr>
        <w:t xml:space="preserve"> Rejstříku škol a školských zařízení, </w:t>
      </w:r>
      <w:r w:rsidR="00115144" w:rsidRPr="005704F5">
        <w:rPr>
          <w:rFonts w:ascii="Calibri" w:hAnsi="Calibri" w:cs="Calibri"/>
          <w:sz w:val="22"/>
          <w:szCs w:val="22"/>
        </w:rPr>
        <w:t>RED_IZO</w:t>
      </w:r>
      <w:r w:rsidR="003E76DE" w:rsidRPr="005704F5">
        <w:rPr>
          <w:rFonts w:ascii="Calibri" w:hAnsi="Calibri" w:cs="Calibri"/>
          <w:sz w:val="22"/>
          <w:szCs w:val="22"/>
        </w:rPr>
        <w:t xml:space="preserve"> </w:t>
      </w:r>
      <w:r w:rsidR="00103527" w:rsidRPr="005704F5">
        <w:rPr>
          <w:rFonts w:ascii="Calibri" w:hAnsi="Calibri" w:cs="Calibri"/>
          <w:sz w:val="22"/>
          <w:szCs w:val="22"/>
        </w:rPr>
        <w:t>600 171 370</w:t>
      </w:r>
      <w:r w:rsidR="003E76DE" w:rsidRPr="005704F5">
        <w:rPr>
          <w:rFonts w:ascii="Calibri" w:hAnsi="Calibri" w:cs="Calibri"/>
          <w:sz w:val="22"/>
          <w:szCs w:val="22"/>
        </w:rPr>
        <w:t xml:space="preserve">, IZO </w:t>
      </w:r>
      <w:r w:rsidR="00103527" w:rsidRPr="005704F5">
        <w:rPr>
          <w:rFonts w:ascii="Calibri" w:hAnsi="Calibri" w:cs="Calibri"/>
          <w:sz w:val="22"/>
          <w:szCs w:val="22"/>
        </w:rPr>
        <w:t>130 001 538</w:t>
      </w:r>
    </w:p>
    <w:p w:rsidR="00CB6B0A" w:rsidRPr="005704F5" w:rsidRDefault="00CB6B0A" w:rsidP="00CB6B0A">
      <w:pPr>
        <w:jc w:val="both"/>
        <w:rPr>
          <w:rFonts w:ascii="Calibri" w:hAnsi="Calibri" w:cs="Calibri"/>
          <w:sz w:val="22"/>
          <w:szCs w:val="22"/>
        </w:rPr>
      </w:pPr>
      <w:r w:rsidRPr="005704F5">
        <w:rPr>
          <w:rFonts w:ascii="Calibri" w:hAnsi="Calibri" w:cs="Calibri"/>
          <w:sz w:val="22"/>
          <w:szCs w:val="22"/>
        </w:rPr>
        <w:t xml:space="preserve">bankovní spojení: </w:t>
      </w:r>
      <w:r w:rsidR="00274854">
        <w:rPr>
          <w:rFonts w:ascii="Calibri" w:hAnsi="Calibri" w:cs="Calibri"/>
          <w:sz w:val="22"/>
          <w:szCs w:val="22"/>
        </w:rPr>
        <w:t>XXX</w:t>
      </w:r>
    </w:p>
    <w:p w:rsidR="00CB6B0A" w:rsidRPr="005704F5" w:rsidRDefault="00CB6B0A" w:rsidP="00CB6B0A">
      <w:pPr>
        <w:jc w:val="both"/>
        <w:rPr>
          <w:rFonts w:ascii="Calibri" w:hAnsi="Calibri" w:cs="Calibri"/>
          <w:sz w:val="22"/>
          <w:szCs w:val="22"/>
        </w:rPr>
      </w:pPr>
      <w:r w:rsidRPr="005704F5">
        <w:rPr>
          <w:rFonts w:ascii="Calibri" w:hAnsi="Calibri" w:cs="Calibri"/>
          <w:sz w:val="22"/>
          <w:szCs w:val="22"/>
        </w:rPr>
        <w:t xml:space="preserve">číslo účtu: </w:t>
      </w:r>
      <w:r w:rsidR="00274854">
        <w:rPr>
          <w:rFonts w:ascii="Calibri" w:hAnsi="Calibri" w:cs="Calibri"/>
          <w:sz w:val="22"/>
          <w:szCs w:val="22"/>
        </w:rPr>
        <w:t>XXX</w:t>
      </w:r>
    </w:p>
    <w:p w:rsidR="00CB6B0A" w:rsidRPr="00FB347C" w:rsidRDefault="003E76DE" w:rsidP="00CB6B0A">
      <w:pPr>
        <w:ind w:right="15"/>
        <w:jc w:val="both"/>
        <w:rPr>
          <w:rFonts w:ascii="Calibri" w:hAnsi="Calibri" w:cs="Calibri"/>
          <w:sz w:val="22"/>
          <w:szCs w:val="22"/>
        </w:rPr>
      </w:pPr>
      <w:r w:rsidRPr="005704F5">
        <w:rPr>
          <w:rFonts w:ascii="Calibri" w:hAnsi="Calibri" w:cs="Calibri"/>
          <w:sz w:val="22"/>
          <w:szCs w:val="22"/>
        </w:rPr>
        <w:t xml:space="preserve">ID datové schránky: </w:t>
      </w:r>
      <w:r w:rsidR="00103527" w:rsidRPr="005704F5">
        <w:rPr>
          <w:rFonts w:ascii="Calibri" w:hAnsi="Calibri" w:cs="Calibri"/>
          <w:sz w:val="22"/>
          <w:szCs w:val="22"/>
        </w:rPr>
        <w:t>wr8jvj3</w:t>
      </w: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5704F5">
        <w:rPr>
          <w:rFonts w:ascii="Calibri" w:hAnsi="Calibri" w:cs="Calibri"/>
          <w:sz w:val="22"/>
          <w:szCs w:val="22"/>
          <w:lang w:eastAsia="ar-SA"/>
        </w:rPr>
        <w:t xml:space="preserve">č. </w:t>
      </w:r>
      <w:r w:rsidR="00A07E56" w:rsidRPr="005704F5">
        <w:rPr>
          <w:rFonts w:ascii="Calibri" w:hAnsi="Calibri" w:cs="Calibri"/>
          <w:sz w:val="22"/>
          <w:szCs w:val="22"/>
          <w:lang w:eastAsia="ar-SA"/>
        </w:rPr>
        <w:t>40</w:t>
      </w:r>
      <w:r w:rsidR="00865AF5" w:rsidRPr="005704F5">
        <w:rPr>
          <w:rFonts w:ascii="Calibri" w:hAnsi="Calibri" w:cs="Calibri"/>
          <w:i/>
          <w:iCs/>
          <w:sz w:val="22"/>
          <w:szCs w:val="22"/>
          <w:lang w:eastAsia="ar-SA"/>
        </w:rPr>
        <w:t xml:space="preserve"> </w:t>
      </w:r>
      <w:r w:rsidRPr="005704F5">
        <w:rPr>
          <w:rFonts w:ascii="Calibri" w:hAnsi="Calibri" w:cs="Calibri"/>
          <w:sz w:val="22"/>
          <w:szCs w:val="22"/>
          <w:lang w:eastAsia="ar-SA"/>
        </w:rPr>
        <w:t xml:space="preserve">veřejné zakázky Rekvalifikace pro Olomoucký kraj I s názvem: </w:t>
      </w:r>
      <w:r w:rsidR="00A07E56" w:rsidRPr="005704F5">
        <w:rPr>
          <w:rFonts w:ascii="Calibri" w:hAnsi="Calibri" w:cs="Calibri"/>
          <w:sz w:val="22"/>
          <w:szCs w:val="22"/>
          <w:lang w:eastAsia="ar-SA"/>
        </w:rPr>
        <w:t xml:space="preserve">Úklidové práce v ubytovacím zařízení </w:t>
      </w:r>
      <w:r w:rsidR="005F7EA6" w:rsidRPr="005704F5">
        <w:rPr>
          <w:rFonts w:ascii="Calibri" w:hAnsi="Calibri" w:cs="Calibri"/>
          <w:sz w:val="22"/>
          <w:szCs w:val="22"/>
          <w:lang w:eastAsia="ar-SA"/>
        </w:rPr>
        <w:t>-</w:t>
      </w:r>
      <w:r w:rsidR="00A07E56" w:rsidRPr="005704F5">
        <w:rPr>
          <w:rFonts w:ascii="Calibri" w:hAnsi="Calibri" w:cs="Calibri"/>
          <w:sz w:val="22"/>
          <w:szCs w:val="22"/>
          <w:lang w:eastAsia="ar-SA"/>
        </w:rPr>
        <w:t xml:space="preserve"> pokojská</w:t>
      </w:r>
      <w:r w:rsidR="00602D88" w:rsidRPr="005704F5">
        <w:rPr>
          <w:rFonts w:ascii="Calibri" w:hAnsi="Calibri" w:cs="Calibri"/>
          <w:sz w:val="22"/>
          <w:szCs w:val="22"/>
          <w:lang w:eastAsia="ar-SA"/>
        </w:rPr>
        <w:t xml:space="preserve"> </w:t>
      </w:r>
      <w:r w:rsidR="00B41066" w:rsidRPr="005704F5">
        <w:rPr>
          <w:rFonts w:ascii="Calibri" w:hAnsi="Calibri" w:cs="Calibri"/>
          <w:sz w:val="22"/>
          <w:szCs w:val="22"/>
          <w:lang w:eastAsia="ar-SA"/>
        </w:rPr>
        <w:t xml:space="preserve">(kód </w:t>
      </w:r>
      <w:r w:rsidR="00602D88" w:rsidRPr="005704F5">
        <w:rPr>
          <w:rFonts w:ascii="Calibri" w:hAnsi="Calibri" w:cs="Calibri"/>
          <w:sz w:val="22"/>
          <w:szCs w:val="22"/>
          <w:lang w:eastAsia="ar-SA"/>
        </w:rPr>
        <w:t>65</w:t>
      </w:r>
      <w:r w:rsidR="00B41066" w:rsidRPr="005704F5">
        <w:rPr>
          <w:rFonts w:ascii="Calibri" w:hAnsi="Calibri" w:cs="Calibri"/>
          <w:sz w:val="22"/>
          <w:szCs w:val="22"/>
          <w:lang w:eastAsia="ar-SA"/>
        </w:rPr>
        <w:t>-0</w:t>
      </w:r>
      <w:r w:rsidR="00A07E56" w:rsidRPr="005704F5">
        <w:rPr>
          <w:rFonts w:ascii="Calibri" w:hAnsi="Calibri" w:cs="Calibri"/>
          <w:sz w:val="22"/>
          <w:szCs w:val="22"/>
          <w:lang w:eastAsia="ar-SA"/>
        </w:rPr>
        <w:t>1</w:t>
      </w:r>
      <w:r w:rsidR="00602D88" w:rsidRPr="005704F5">
        <w:rPr>
          <w:rFonts w:ascii="Calibri" w:hAnsi="Calibri" w:cs="Calibri"/>
          <w:sz w:val="22"/>
          <w:szCs w:val="22"/>
          <w:lang w:eastAsia="ar-SA"/>
        </w:rPr>
        <w:t>5</w:t>
      </w:r>
      <w:r w:rsidR="00B41066" w:rsidRPr="005704F5">
        <w:rPr>
          <w:rFonts w:ascii="Calibri" w:hAnsi="Calibri" w:cs="Calibri"/>
          <w:sz w:val="22"/>
          <w:szCs w:val="22"/>
          <w:lang w:eastAsia="ar-SA"/>
        </w:rPr>
        <w:t>-</w:t>
      </w:r>
      <w:r w:rsidR="00602D88" w:rsidRPr="005704F5">
        <w:rPr>
          <w:rFonts w:ascii="Calibri" w:hAnsi="Calibri" w:cs="Calibri"/>
          <w:sz w:val="22"/>
          <w:szCs w:val="22"/>
          <w:lang w:eastAsia="ar-SA"/>
        </w:rPr>
        <w:t>E</w:t>
      </w:r>
      <w:r w:rsidR="00B41066" w:rsidRPr="005704F5">
        <w:rPr>
          <w:rFonts w:ascii="Calibri" w:hAnsi="Calibri" w:cs="Calibri"/>
          <w:sz w:val="22"/>
          <w:szCs w:val="22"/>
          <w:lang w:eastAsia="ar-SA"/>
        </w:rPr>
        <w:t>)</w:t>
      </w:r>
      <w:r w:rsidR="00602D88" w:rsidRPr="005704F5">
        <w:rPr>
          <w:rFonts w:ascii="Calibri" w:hAnsi="Calibri" w:cs="Calibri"/>
          <w:sz w:val="22"/>
          <w:szCs w:val="22"/>
          <w:lang w:eastAsia="ar-SA"/>
        </w:rPr>
        <w:t>, s praxí u zaměstnavatele</w:t>
      </w:r>
      <w:r w:rsidR="00865AF5" w:rsidRPr="005704F5">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5704F5"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397B2A">
        <w:rPr>
          <w:rFonts w:ascii="Calibri" w:hAnsi="Calibri" w:cs="Calibri"/>
          <w:sz w:val="22"/>
          <w:szCs w:val="22"/>
          <w:lang w:eastAsia="cs-CZ"/>
        </w:rPr>
        <w:t xml:space="preserve"> </w:t>
      </w:r>
      <w:r w:rsidR="00A07E56" w:rsidRPr="005704F5">
        <w:rPr>
          <w:rFonts w:ascii="Calibri" w:hAnsi="Calibri" w:cs="Calibri"/>
          <w:b/>
          <w:sz w:val="22"/>
          <w:szCs w:val="22"/>
          <w:lang w:eastAsia="cs-CZ"/>
        </w:rPr>
        <w:t>Úklidové práce v ubytovacím zařízení</w:t>
      </w:r>
      <w:r w:rsidRPr="005704F5">
        <w:rPr>
          <w:rFonts w:ascii="Calibri" w:hAnsi="Calibri" w:cs="Calibri"/>
          <w:sz w:val="22"/>
          <w:szCs w:val="22"/>
          <w:lang w:eastAsia="ar-SA"/>
        </w:rPr>
        <w:t xml:space="preserve"> se sjednávají následující podmínky plnění:</w:t>
      </w:r>
    </w:p>
    <w:p w:rsidR="00F939B6" w:rsidRPr="005704F5" w:rsidRDefault="00F939B6">
      <w:pPr>
        <w:keepNext/>
        <w:suppressAutoHyphens/>
        <w:jc w:val="both"/>
        <w:outlineLvl w:val="3"/>
        <w:rPr>
          <w:rFonts w:ascii="Calibri" w:hAnsi="Calibri" w:cs="Calibri"/>
          <w:b/>
          <w:bCs/>
          <w:sz w:val="22"/>
          <w:szCs w:val="22"/>
          <w:lang w:eastAsia="ar-SA"/>
        </w:rPr>
      </w:pPr>
    </w:p>
    <w:p w:rsidR="00F939B6" w:rsidRPr="005704F5" w:rsidRDefault="00F939B6">
      <w:pPr>
        <w:suppressAutoHyphens/>
        <w:spacing w:after="120"/>
        <w:jc w:val="both"/>
        <w:rPr>
          <w:rFonts w:ascii="Calibri" w:hAnsi="Calibri" w:cs="Calibri"/>
          <w:iCs/>
          <w:sz w:val="22"/>
          <w:szCs w:val="22"/>
          <w:lang w:eastAsia="ar-SA"/>
        </w:rPr>
      </w:pPr>
      <w:r w:rsidRPr="005704F5">
        <w:rPr>
          <w:rFonts w:ascii="Calibri" w:hAnsi="Calibri" w:cs="Calibri"/>
          <w:sz w:val="22"/>
          <w:szCs w:val="22"/>
          <w:lang w:eastAsia="ar-SA"/>
        </w:rPr>
        <w:t xml:space="preserve">a) </w:t>
      </w:r>
      <w:r w:rsidR="004F03E4" w:rsidRPr="005704F5">
        <w:rPr>
          <w:rFonts w:ascii="Calibri" w:hAnsi="Calibri" w:cs="Calibri"/>
          <w:sz w:val="22"/>
          <w:szCs w:val="22"/>
          <w:lang w:eastAsia="ar-SA"/>
        </w:rPr>
        <w:t>minimál</w:t>
      </w:r>
      <w:r w:rsidRPr="005704F5">
        <w:rPr>
          <w:rFonts w:ascii="Calibri" w:hAnsi="Calibri" w:cs="Calibri"/>
          <w:sz w:val="22"/>
          <w:szCs w:val="22"/>
          <w:lang w:eastAsia="ar-SA"/>
        </w:rPr>
        <w:t xml:space="preserve">ní kvalifikační předpoklad účastníka pro zařazení do rekvalifikace: </w:t>
      </w:r>
      <w:r w:rsidR="00602D88" w:rsidRPr="005704F5">
        <w:rPr>
          <w:rFonts w:ascii="Calibri" w:hAnsi="Calibri" w:cs="Calibri"/>
          <w:sz w:val="22"/>
          <w:szCs w:val="22"/>
          <w:lang w:eastAsia="ar-SA"/>
        </w:rPr>
        <w:t>m</w:t>
      </w:r>
      <w:r w:rsidR="005778DD" w:rsidRPr="005704F5">
        <w:rPr>
          <w:rFonts w:ascii="Calibri" w:hAnsi="Calibri" w:cs="Calibri"/>
          <w:iCs/>
          <w:sz w:val="22"/>
          <w:szCs w:val="22"/>
          <w:lang w:eastAsia="ar-SA"/>
        </w:rPr>
        <w:t>inimálně základní vzdělání</w:t>
      </w:r>
      <w:r w:rsidR="005F7EA6" w:rsidRPr="005704F5">
        <w:rPr>
          <w:rFonts w:ascii="Calibri" w:hAnsi="Calibri" w:cs="Calibri"/>
          <w:iCs/>
          <w:sz w:val="22"/>
          <w:szCs w:val="22"/>
          <w:lang w:eastAsia="ar-SA"/>
        </w:rPr>
        <w:t>,</w:t>
      </w:r>
      <w:r w:rsidRPr="005704F5">
        <w:rPr>
          <w:rFonts w:ascii="Calibri" w:hAnsi="Calibri" w:cs="Calibri"/>
          <w:iCs/>
          <w:sz w:val="22"/>
          <w:szCs w:val="22"/>
          <w:lang w:eastAsia="ar-SA"/>
        </w:rPr>
        <w:t xml:space="preserve"> </w:t>
      </w:r>
    </w:p>
    <w:p w:rsidR="00F939B6" w:rsidRPr="005704F5" w:rsidRDefault="00F939B6">
      <w:pPr>
        <w:suppressAutoHyphens/>
        <w:spacing w:after="120"/>
        <w:jc w:val="both"/>
        <w:rPr>
          <w:rFonts w:ascii="Calibri" w:hAnsi="Calibri" w:cs="Calibri"/>
          <w:sz w:val="22"/>
          <w:szCs w:val="22"/>
          <w:lang w:eastAsia="ar-SA"/>
        </w:rPr>
      </w:pPr>
    </w:p>
    <w:p w:rsidR="00F939B6" w:rsidRPr="005704F5" w:rsidRDefault="00F939B6">
      <w:pPr>
        <w:suppressAutoHyphens/>
        <w:spacing w:after="120"/>
        <w:jc w:val="both"/>
        <w:rPr>
          <w:rFonts w:ascii="Calibri" w:hAnsi="Calibri" w:cs="Calibri"/>
          <w:i/>
          <w:iCs/>
          <w:sz w:val="22"/>
          <w:szCs w:val="22"/>
          <w:lang w:eastAsia="ar-SA"/>
        </w:rPr>
      </w:pPr>
      <w:r w:rsidRPr="005704F5">
        <w:rPr>
          <w:rFonts w:ascii="Calibri" w:hAnsi="Calibri" w:cs="Calibri"/>
          <w:sz w:val="22"/>
          <w:szCs w:val="22"/>
          <w:lang w:eastAsia="ar-SA"/>
        </w:rPr>
        <w:t xml:space="preserve">b) rozsah rekvalifikace bez zkoušek činí minimálně </w:t>
      </w:r>
      <w:r w:rsidR="009C156D" w:rsidRPr="005704F5">
        <w:rPr>
          <w:rFonts w:ascii="Calibri" w:hAnsi="Calibri" w:cs="Calibri"/>
          <w:iCs/>
          <w:sz w:val="22"/>
          <w:szCs w:val="22"/>
          <w:lang w:eastAsia="ar-SA"/>
        </w:rPr>
        <w:t>11</w:t>
      </w:r>
      <w:r w:rsidR="00602D88" w:rsidRPr="005704F5">
        <w:rPr>
          <w:rFonts w:ascii="Calibri" w:hAnsi="Calibri" w:cs="Calibri"/>
          <w:iCs/>
          <w:sz w:val="22"/>
          <w:szCs w:val="22"/>
          <w:lang w:eastAsia="ar-SA"/>
        </w:rPr>
        <w:t>7</w:t>
      </w:r>
      <w:r w:rsidR="005778DD" w:rsidRPr="005704F5">
        <w:rPr>
          <w:rFonts w:ascii="Calibri" w:hAnsi="Calibri" w:cs="Calibri"/>
          <w:i/>
          <w:iCs/>
          <w:sz w:val="22"/>
          <w:szCs w:val="22"/>
          <w:lang w:eastAsia="ar-SA"/>
        </w:rPr>
        <w:t xml:space="preserve"> </w:t>
      </w:r>
      <w:r w:rsidRPr="005704F5">
        <w:rPr>
          <w:rFonts w:ascii="Calibri" w:hAnsi="Calibri" w:cs="Calibri"/>
          <w:sz w:val="22"/>
          <w:szCs w:val="22"/>
          <w:lang w:eastAsia="ar-SA"/>
        </w:rPr>
        <w:t>vyučovacích hodin</w:t>
      </w:r>
      <w:r w:rsidR="005F7EA6" w:rsidRPr="005704F5">
        <w:rPr>
          <w:rFonts w:ascii="Calibri" w:hAnsi="Calibri" w:cs="Calibri"/>
          <w:sz w:val="22"/>
          <w:szCs w:val="22"/>
          <w:lang w:eastAsia="ar-SA"/>
        </w:rPr>
        <w:t>,</w:t>
      </w:r>
      <w:r w:rsidRPr="005704F5">
        <w:rPr>
          <w:rFonts w:ascii="Calibri" w:hAnsi="Calibri" w:cs="Calibri"/>
          <w:sz w:val="22"/>
          <w:szCs w:val="22"/>
          <w:lang w:eastAsia="ar-SA"/>
        </w:rPr>
        <w:t xml:space="preserve"> </w:t>
      </w:r>
    </w:p>
    <w:p w:rsidR="00F939B6" w:rsidRPr="005704F5" w:rsidRDefault="00F939B6">
      <w:pPr>
        <w:suppressAutoHyphens/>
        <w:spacing w:after="120"/>
        <w:jc w:val="both"/>
        <w:rPr>
          <w:rFonts w:ascii="Calibri" w:hAnsi="Calibri" w:cs="Calibri"/>
          <w:i/>
          <w:iCs/>
          <w:sz w:val="22"/>
          <w:szCs w:val="22"/>
          <w:lang w:eastAsia="ar-SA"/>
        </w:rPr>
      </w:pPr>
    </w:p>
    <w:p w:rsidR="00F939B6" w:rsidRPr="005704F5" w:rsidRDefault="00F939B6">
      <w:pPr>
        <w:suppressAutoHyphens/>
        <w:spacing w:after="120"/>
        <w:jc w:val="both"/>
        <w:rPr>
          <w:rFonts w:ascii="Calibri" w:hAnsi="Calibri" w:cs="Calibri"/>
          <w:sz w:val="22"/>
          <w:szCs w:val="22"/>
          <w:lang w:eastAsia="ar-SA"/>
        </w:rPr>
      </w:pPr>
      <w:r w:rsidRPr="005704F5">
        <w:rPr>
          <w:rFonts w:ascii="Calibri" w:hAnsi="Calibri" w:cs="Calibri"/>
          <w:sz w:val="22"/>
          <w:szCs w:val="22"/>
          <w:lang w:eastAsia="ar-SA"/>
        </w:rPr>
        <w:t xml:space="preserve">c) forma konání rekvalifikace: prezenční </w:t>
      </w:r>
    </w:p>
    <w:p w:rsidR="005778DD" w:rsidRPr="005704F5" w:rsidRDefault="005778DD">
      <w:pPr>
        <w:suppressAutoHyphens/>
        <w:spacing w:after="120"/>
        <w:jc w:val="both"/>
        <w:rPr>
          <w:rFonts w:ascii="Calibri" w:hAnsi="Calibri" w:cs="Calibri"/>
          <w:sz w:val="22"/>
          <w:szCs w:val="22"/>
          <w:lang w:eastAsia="ar-SA"/>
        </w:rPr>
      </w:pPr>
    </w:p>
    <w:p w:rsidR="005778DD" w:rsidRPr="00EB206A" w:rsidRDefault="00F939B6" w:rsidP="005778DD">
      <w:pPr>
        <w:tabs>
          <w:tab w:val="left" w:pos="709"/>
        </w:tabs>
        <w:spacing w:before="120" w:after="120"/>
        <w:jc w:val="both"/>
        <w:rPr>
          <w:i/>
        </w:rPr>
      </w:pPr>
      <w:r w:rsidRPr="005704F5">
        <w:rPr>
          <w:rFonts w:ascii="Calibri" w:hAnsi="Calibri" w:cs="Calibri"/>
          <w:sz w:val="22"/>
          <w:szCs w:val="22"/>
          <w:lang w:eastAsia="ar-SA"/>
        </w:rPr>
        <w:t xml:space="preserve">d) </w:t>
      </w:r>
      <w:r w:rsidRPr="005704F5">
        <w:rPr>
          <w:rFonts w:ascii="Calibri" w:hAnsi="Calibri" w:cs="Calibri"/>
          <w:sz w:val="22"/>
          <w:szCs w:val="22"/>
          <w:lang w:eastAsia="cs-CZ"/>
        </w:rPr>
        <w:t xml:space="preserve">místo konání rekvalifikace: </w:t>
      </w:r>
      <w:r w:rsidR="005F7EA6" w:rsidRPr="005704F5">
        <w:rPr>
          <w:rFonts w:ascii="Calibri" w:hAnsi="Calibri" w:cs="Calibri"/>
          <w:sz w:val="22"/>
          <w:szCs w:val="22"/>
        </w:rPr>
        <w:t>Olomoucký kraj,</w:t>
      </w:r>
    </w:p>
    <w:p w:rsidR="00F939B6" w:rsidRPr="005704F5"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lastRenderedPageBreak/>
        <w:t>e) minimální počet účastníků</w:t>
      </w:r>
      <w:r w:rsidR="005A1C29" w:rsidRPr="004A0CBF">
        <w:rPr>
          <w:rFonts w:ascii="Calibri" w:hAnsi="Calibri" w:cs="Calibri"/>
          <w:sz w:val="22"/>
          <w:szCs w:val="22"/>
          <w:lang w:eastAsia="ar-SA"/>
        </w:rPr>
        <w:t xml:space="preserve"> rekvalifikace</w:t>
      </w:r>
      <w:r w:rsidRPr="005704F5">
        <w:rPr>
          <w:rFonts w:ascii="Calibri" w:hAnsi="Calibri" w:cs="Calibri"/>
          <w:sz w:val="22"/>
          <w:szCs w:val="22"/>
          <w:lang w:eastAsia="ar-SA"/>
        </w:rPr>
        <w:t xml:space="preserve">: </w:t>
      </w:r>
      <w:r w:rsidR="005778DD" w:rsidRPr="005704F5">
        <w:rPr>
          <w:rFonts w:ascii="Calibri" w:hAnsi="Calibri" w:cs="Calibri"/>
          <w:iCs/>
          <w:sz w:val="22"/>
          <w:szCs w:val="22"/>
          <w:lang w:eastAsia="ar-SA"/>
        </w:rPr>
        <w:t>5</w:t>
      </w:r>
      <w:r w:rsidR="005F7EA6" w:rsidRPr="005704F5">
        <w:rPr>
          <w:rFonts w:ascii="Calibri" w:hAnsi="Calibri" w:cs="Calibri"/>
          <w:iCs/>
          <w:sz w:val="22"/>
          <w:szCs w:val="22"/>
          <w:lang w:eastAsia="ar-SA"/>
        </w:rPr>
        <w:t>,</w:t>
      </w:r>
    </w:p>
    <w:p w:rsidR="005778DD" w:rsidRPr="005704F5" w:rsidRDefault="005778DD">
      <w:pPr>
        <w:suppressAutoHyphens/>
        <w:spacing w:after="120"/>
        <w:jc w:val="both"/>
        <w:rPr>
          <w:rFonts w:ascii="Calibri" w:hAnsi="Calibri" w:cs="Calibri"/>
          <w:i/>
          <w:iCs/>
          <w:sz w:val="22"/>
          <w:szCs w:val="22"/>
          <w:lang w:eastAsia="ar-SA"/>
        </w:rPr>
      </w:pPr>
    </w:p>
    <w:p w:rsidR="00F939B6" w:rsidRPr="005704F5" w:rsidRDefault="00F939B6">
      <w:pPr>
        <w:suppressAutoHyphens/>
        <w:spacing w:after="120"/>
        <w:jc w:val="both"/>
        <w:rPr>
          <w:rFonts w:ascii="Calibri" w:hAnsi="Calibri" w:cs="Calibri"/>
          <w:i/>
          <w:iCs/>
          <w:sz w:val="22"/>
          <w:szCs w:val="22"/>
          <w:lang w:eastAsia="ar-SA"/>
        </w:rPr>
      </w:pPr>
      <w:r w:rsidRPr="005704F5">
        <w:rPr>
          <w:rFonts w:ascii="Calibri" w:hAnsi="Calibri" w:cs="Calibri"/>
          <w:sz w:val="22"/>
          <w:szCs w:val="22"/>
          <w:lang w:eastAsia="ar-SA"/>
        </w:rPr>
        <w:t xml:space="preserve">f) trvání rekvalifikačního kurzu: </w:t>
      </w:r>
      <w:r w:rsidR="00D2613A" w:rsidRPr="005704F5">
        <w:rPr>
          <w:rFonts w:ascii="Calibri" w:hAnsi="Calibri" w:cs="Calibri"/>
          <w:sz w:val="22"/>
          <w:szCs w:val="22"/>
          <w:lang w:eastAsia="ar-SA"/>
        </w:rPr>
        <w:t xml:space="preserve">maximálně </w:t>
      </w:r>
      <w:r w:rsidR="00426134" w:rsidRPr="005704F5">
        <w:rPr>
          <w:rFonts w:ascii="Calibri" w:hAnsi="Calibri" w:cs="Calibri"/>
          <w:sz w:val="22"/>
          <w:szCs w:val="22"/>
          <w:lang w:eastAsia="ar-SA"/>
        </w:rPr>
        <w:t>2 měsíce</w:t>
      </w:r>
      <w:r w:rsidR="005F7EA6" w:rsidRPr="005704F5">
        <w:rPr>
          <w:rFonts w:ascii="Calibri" w:hAnsi="Calibri" w:cs="Calibri"/>
          <w:sz w:val="22"/>
          <w:szCs w:val="22"/>
          <w:lang w:eastAsia="ar-SA"/>
        </w:rPr>
        <w:t>,</w:t>
      </w:r>
    </w:p>
    <w:p w:rsidR="00F939B6" w:rsidRPr="005704F5"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ind w:left="284" w:hanging="284"/>
        <w:jc w:val="both"/>
        <w:rPr>
          <w:rFonts w:ascii="Calibri" w:hAnsi="Calibri" w:cs="Calibri"/>
          <w:sz w:val="22"/>
          <w:szCs w:val="22"/>
          <w:lang w:eastAsia="ar-SA"/>
        </w:rPr>
      </w:pPr>
      <w:r w:rsidRPr="005704F5">
        <w:rPr>
          <w:rFonts w:ascii="Calibri" w:hAnsi="Calibri" w:cs="Calibri"/>
          <w:sz w:val="22"/>
          <w:szCs w:val="22"/>
          <w:lang w:eastAsia="ar-SA"/>
        </w:rPr>
        <w:t xml:space="preserve">g) cena rekvalifikace </w:t>
      </w:r>
      <w:r w:rsidR="004F03E4" w:rsidRPr="005704F5">
        <w:rPr>
          <w:rFonts w:ascii="Calibri" w:hAnsi="Calibri" w:cs="Calibri"/>
          <w:sz w:val="22"/>
          <w:szCs w:val="22"/>
          <w:lang w:eastAsia="ar-SA"/>
        </w:rPr>
        <w:t>z</w:t>
      </w:r>
      <w:r w:rsidR="00D2613A" w:rsidRPr="005704F5">
        <w:rPr>
          <w:rFonts w:ascii="Calibri" w:hAnsi="Calibri" w:cs="Calibri"/>
          <w:sz w:val="22"/>
          <w:szCs w:val="22"/>
          <w:lang w:eastAsia="ar-SA"/>
        </w:rPr>
        <w:t xml:space="preserve">a 1 účastníka bez DPH činí: </w:t>
      </w:r>
      <w:r w:rsidR="009C156D" w:rsidRPr="005704F5">
        <w:rPr>
          <w:rFonts w:ascii="Calibri" w:hAnsi="Calibri" w:cs="Calibri"/>
          <w:sz w:val="22"/>
          <w:szCs w:val="22"/>
          <w:lang w:eastAsia="ar-SA"/>
        </w:rPr>
        <w:t>9</w:t>
      </w:r>
      <w:r w:rsidR="002B2A7B" w:rsidRPr="005704F5">
        <w:rPr>
          <w:rFonts w:ascii="Calibri" w:hAnsi="Calibri" w:cs="Calibri"/>
          <w:sz w:val="22"/>
          <w:szCs w:val="22"/>
          <w:lang w:eastAsia="ar-SA"/>
        </w:rPr>
        <w:t> </w:t>
      </w:r>
      <w:r w:rsidR="009C156D" w:rsidRPr="005704F5">
        <w:rPr>
          <w:rFonts w:ascii="Calibri" w:hAnsi="Calibri" w:cs="Calibri"/>
          <w:sz w:val="22"/>
          <w:szCs w:val="22"/>
          <w:lang w:eastAsia="ar-SA"/>
        </w:rPr>
        <w:t>5</w:t>
      </w:r>
      <w:r w:rsidR="00602D88" w:rsidRPr="005704F5">
        <w:rPr>
          <w:rFonts w:ascii="Calibri" w:hAnsi="Calibri" w:cs="Calibri"/>
          <w:sz w:val="22"/>
          <w:szCs w:val="22"/>
          <w:lang w:eastAsia="ar-SA"/>
        </w:rPr>
        <w:t>0</w:t>
      </w:r>
      <w:r w:rsidR="009C156D" w:rsidRPr="005704F5">
        <w:rPr>
          <w:rFonts w:ascii="Calibri" w:hAnsi="Calibri" w:cs="Calibri"/>
          <w:sz w:val="22"/>
          <w:szCs w:val="22"/>
          <w:lang w:eastAsia="ar-SA"/>
        </w:rPr>
        <w:t>3</w:t>
      </w:r>
      <w:r w:rsidR="00D2613A" w:rsidRPr="005704F5">
        <w:rPr>
          <w:rFonts w:ascii="Calibri" w:hAnsi="Calibri" w:cs="Calibri"/>
          <w:sz w:val="22"/>
          <w:szCs w:val="22"/>
          <w:lang w:eastAsia="ar-SA"/>
        </w:rPr>
        <w:t xml:space="preserve"> Kč bez DPH</w:t>
      </w:r>
      <w:r w:rsidR="00D2613A" w:rsidRPr="005704F5">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 xml:space="preserve">způsobem stanoveným v zákoně č. 320/2001 Sb., o finanční kontrole ve veřejné </w:t>
      </w:r>
      <w:r w:rsidRPr="00117480">
        <w:rPr>
          <w:rFonts w:ascii="Calibri" w:hAnsi="Calibri" w:cs="Calibri"/>
          <w:sz w:val="22"/>
          <w:szCs w:val="22"/>
        </w:rPr>
        <w:lastRenderedPageBreak/>
        <w:t>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F939B6" w:rsidRPr="005704F5" w:rsidRDefault="0027485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BD5887" w:rsidRPr="004A0CBF" w:rsidRDefault="0027485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w:t>
      </w:r>
      <w:r w:rsidRPr="005704F5">
        <w:rPr>
          <w:rFonts w:ascii="Calibri" w:hAnsi="Calibri" w:cs="Calibri"/>
          <w:sz w:val="22"/>
          <w:szCs w:val="22"/>
          <w:lang w:eastAsia="ar-SA"/>
        </w:rPr>
        <w:t xml:space="preserve">zakázky </w:t>
      </w:r>
      <w:r w:rsidR="00627DCB" w:rsidRPr="005704F5">
        <w:rPr>
          <w:rFonts w:ascii="Calibri" w:hAnsi="Calibri" w:cs="Calibri"/>
          <w:sz w:val="22"/>
          <w:szCs w:val="22"/>
          <w:lang w:eastAsia="ar-SA"/>
        </w:rPr>
        <w:t>1 </w:t>
      </w:r>
      <w:r w:rsidR="00736A4F" w:rsidRPr="005704F5">
        <w:rPr>
          <w:rFonts w:ascii="Calibri" w:hAnsi="Calibri" w:cs="Calibri"/>
          <w:sz w:val="22"/>
          <w:szCs w:val="22"/>
          <w:lang w:eastAsia="ar-SA"/>
        </w:rPr>
        <w:t>560</w:t>
      </w:r>
      <w:r w:rsidR="00627DCB" w:rsidRPr="005704F5">
        <w:rPr>
          <w:rFonts w:ascii="Calibri" w:hAnsi="Calibri" w:cs="Calibri"/>
          <w:sz w:val="22"/>
          <w:szCs w:val="22"/>
          <w:lang w:eastAsia="ar-SA"/>
        </w:rPr>
        <w:t> 000</w:t>
      </w:r>
      <w:r w:rsidR="00006968" w:rsidRPr="005704F5">
        <w:rPr>
          <w:rFonts w:ascii="Calibri" w:hAnsi="Calibri" w:cs="Calibri"/>
          <w:i/>
          <w:iCs/>
          <w:sz w:val="22"/>
          <w:szCs w:val="22"/>
          <w:lang w:eastAsia="ar-SA"/>
        </w:rPr>
        <w:t xml:space="preserve"> </w:t>
      </w:r>
      <w:r w:rsidRPr="005704F5">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 xml:space="preserve">kalendářních dnů po </w:t>
      </w:r>
      <w:r w:rsidRPr="004A0CBF">
        <w:rPr>
          <w:rFonts w:ascii="Calibri" w:hAnsi="Calibri" w:cs="Calibri"/>
          <w:sz w:val="22"/>
          <w:szCs w:val="22"/>
          <w:lang w:eastAsia="ar-SA"/>
        </w:rPr>
        <w:lastRenderedPageBreak/>
        <w:t>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9830D9" w:rsidRDefault="009830D9">
      <w:pPr>
        <w:suppressAutoHyphens/>
        <w:spacing w:after="120"/>
        <w:ind w:left="284" w:hanging="284"/>
        <w:jc w:val="center"/>
        <w:rPr>
          <w:rFonts w:ascii="Calibri" w:hAnsi="Calibri" w:cs="Calibri"/>
          <w:b/>
          <w:bCs/>
          <w:sz w:val="22"/>
          <w:szCs w:val="22"/>
          <w:lang w:eastAsia="ar-SA"/>
        </w:rPr>
      </w:pPr>
    </w:p>
    <w:p w:rsidR="009830D9" w:rsidRDefault="009830D9">
      <w:pPr>
        <w:suppressAutoHyphens/>
        <w:spacing w:after="120"/>
        <w:ind w:left="284" w:hanging="284"/>
        <w:jc w:val="center"/>
        <w:rPr>
          <w:rFonts w:ascii="Calibri" w:hAnsi="Calibri" w:cs="Calibri"/>
          <w:b/>
          <w:bCs/>
          <w:sz w:val="22"/>
          <w:szCs w:val="22"/>
          <w:lang w:eastAsia="ar-SA"/>
        </w:rPr>
      </w:pPr>
    </w:p>
    <w:p w:rsidR="009830D9" w:rsidRDefault="009830D9">
      <w:pPr>
        <w:suppressAutoHyphens/>
        <w:spacing w:after="120"/>
        <w:ind w:left="284" w:hanging="284"/>
        <w:jc w:val="center"/>
        <w:rPr>
          <w:rFonts w:ascii="Calibri" w:hAnsi="Calibri" w:cs="Calibri"/>
          <w:b/>
          <w:bCs/>
          <w:sz w:val="22"/>
          <w:szCs w:val="22"/>
          <w:lang w:eastAsia="ar-SA"/>
        </w:rPr>
      </w:pPr>
    </w:p>
    <w:p w:rsidR="009830D9" w:rsidRDefault="009830D9">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4A0CBF" w:rsidRDefault="005704F5">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 </w:t>
      </w:r>
      <w:proofErr w:type="gramStart"/>
      <w:r w:rsidR="00274854">
        <w:rPr>
          <w:rFonts w:ascii="Calibri" w:hAnsi="Calibri" w:cs="Calibri"/>
          <w:sz w:val="22"/>
          <w:szCs w:val="22"/>
        </w:rPr>
        <w:t>12.6.2017</w:t>
      </w:r>
      <w:proofErr w:type="gramEnd"/>
      <w:r w:rsidR="00F939B6" w:rsidRPr="004A0CBF">
        <w:rPr>
          <w:rFonts w:ascii="Calibri" w:hAnsi="Calibri" w:cs="Calibri"/>
          <w:sz w:val="22"/>
          <w:szCs w:val="22"/>
        </w:rPr>
        <w:tab/>
      </w:r>
      <w:r w:rsidR="00F939B6" w:rsidRPr="004A0CBF">
        <w:rPr>
          <w:rFonts w:ascii="Calibri" w:hAnsi="Calibri" w:cs="Calibri"/>
          <w:sz w:val="22"/>
          <w:szCs w:val="22"/>
        </w:rPr>
        <w:tab/>
        <w:t xml:space="preserve">                     </w:t>
      </w:r>
      <w:r>
        <w:rPr>
          <w:rFonts w:ascii="Calibri" w:hAnsi="Calibri" w:cs="Calibri"/>
          <w:sz w:val="22"/>
          <w:szCs w:val="22"/>
        </w:rPr>
        <w:t xml:space="preserve">               </w:t>
      </w:r>
      <w:r w:rsidR="00F939B6" w:rsidRPr="004A0CBF">
        <w:rPr>
          <w:rFonts w:ascii="Calibri" w:hAnsi="Calibri" w:cs="Calibri"/>
          <w:sz w:val="22"/>
          <w:szCs w:val="22"/>
        </w:rPr>
        <w:t>V </w:t>
      </w:r>
      <w:r>
        <w:rPr>
          <w:rFonts w:ascii="Calibri" w:hAnsi="Calibri" w:cs="Calibri"/>
          <w:sz w:val="22"/>
          <w:szCs w:val="22"/>
        </w:rPr>
        <w:t>Olomouci</w:t>
      </w:r>
      <w:r w:rsidR="00F939B6" w:rsidRPr="005704F5">
        <w:rPr>
          <w:rFonts w:ascii="Calibri" w:hAnsi="Calibri" w:cs="Calibri"/>
          <w:sz w:val="22"/>
          <w:szCs w:val="22"/>
        </w:rPr>
        <w:t xml:space="preserve"> dne </w:t>
      </w:r>
      <w:r w:rsidR="00274854">
        <w:rPr>
          <w:rFonts w:ascii="Calibri" w:hAnsi="Calibri" w:cs="Calibri"/>
          <w:sz w:val="22"/>
          <w:szCs w:val="22"/>
        </w:rPr>
        <w:t>12.6.2017</w:t>
      </w:r>
      <w:bookmarkStart w:id="0" w:name="_GoBack"/>
      <w:bookmarkEnd w:id="0"/>
    </w:p>
    <w:p w:rsidR="00F939B6" w:rsidRPr="005704F5" w:rsidRDefault="00F939B6">
      <w:pPr>
        <w:rPr>
          <w:rFonts w:ascii="Calibri" w:hAnsi="Calibri" w:cs="Calibri"/>
          <w:sz w:val="22"/>
          <w:szCs w:val="22"/>
        </w:rPr>
      </w:pPr>
      <w:r w:rsidRPr="004A0CBF">
        <w:rPr>
          <w:rFonts w:ascii="Calibri" w:hAnsi="Calibri" w:cs="Calibri"/>
          <w:sz w:val="22"/>
          <w:szCs w:val="22"/>
        </w:rPr>
        <w:t>………………………………………………</w:t>
      </w:r>
      <w:r w:rsidRPr="004A0CBF">
        <w:rPr>
          <w:rFonts w:ascii="Calibri" w:hAnsi="Calibri" w:cs="Calibri"/>
          <w:sz w:val="22"/>
          <w:szCs w:val="22"/>
        </w:rPr>
        <w:tab/>
        <w:t xml:space="preserve">                                                  </w:t>
      </w:r>
      <w:r w:rsidRPr="005704F5">
        <w:rPr>
          <w:rFonts w:ascii="Calibri" w:hAnsi="Calibri" w:cs="Calibri"/>
          <w:sz w:val="22"/>
          <w:szCs w:val="22"/>
        </w:rPr>
        <w:t>………………………………………………</w:t>
      </w:r>
    </w:p>
    <w:p w:rsidR="00F939B6" w:rsidRPr="005704F5" w:rsidRDefault="00F939B6">
      <w:pPr>
        <w:rPr>
          <w:rFonts w:ascii="Calibri" w:hAnsi="Calibri" w:cs="Calibri"/>
          <w:sz w:val="22"/>
          <w:szCs w:val="22"/>
        </w:rPr>
      </w:pPr>
      <w:r w:rsidRPr="005704F5">
        <w:rPr>
          <w:rFonts w:ascii="Calibri" w:hAnsi="Calibri" w:cs="Calibri"/>
          <w:sz w:val="22"/>
          <w:szCs w:val="22"/>
        </w:rPr>
        <w:t xml:space="preserve">         Ing. Jiří Šabata</w:t>
      </w:r>
      <w:r w:rsidRPr="005704F5">
        <w:rPr>
          <w:rFonts w:ascii="Calibri" w:hAnsi="Calibri" w:cs="Calibri"/>
          <w:b/>
          <w:bCs/>
          <w:sz w:val="22"/>
          <w:szCs w:val="22"/>
        </w:rPr>
        <w:tab/>
      </w:r>
      <w:r w:rsidRPr="005704F5">
        <w:rPr>
          <w:rFonts w:ascii="Calibri" w:hAnsi="Calibri" w:cs="Calibri"/>
          <w:b/>
          <w:bCs/>
          <w:sz w:val="22"/>
          <w:szCs w:val="22"/>
        </w:rPr>
        <w:tab/>
      </w:r>
      <w:r w:rsidRPr="005704F5">
        <w:rPr>
          <w:rFonts w:ascii="Calibri" w:hAnsi="Calibri" w:cs="Calibri"/>
          <w:b/>
          <w:bCs/>
          <w:sz w:val="22"/>
          <w:szCs w:val="22"/>
        </w:rPr>
        <w:tab/>
        <w:t xml:space="preserve">                                </w:t>
      </w:r>
      <w:r w:rsidR="00DF0A79" w:rsidRPr="005704F5">
        <w:rPr>
          <w:rFonts w:ascii="Calibri" w:hAnsi="Calibri" w:cs="Calibri"/>
          <w:b/>
          <w:bCs/>
          <w:sz w:val="22"/>
          <w:szCs w:val="22"/>
        </w:rPr>
        <w:tab/>
      </w:r>
      <w:r w:rsidR="002226A2" w:rsidRPr="005704F5">
        <w:rPr>
          <w:rFonts w:ascii="Calibri" w:hAnsi="Calibri" w:cs="Calibri"/>
          <w:sz w:val="22"/>
          <w:szCs w:val="22"/>
        </w:rPr>
        <w:t xml:space="preserve">Mgr. </w:t>
      </w:r>
      <w:r w:rsidR="00555BD4" w:rsidRPr="005704F5">
        <w:rPr>
          <w:rFonts w:ascii="Calibri" w:hAnsi="Calibri" w:cs="Calibri"/>
          <w:sz w:val="22"/>
          <w:szCs w:val="22"/>
        </w:rPr>
        <w:t xml:space="preserve">František </w:t>
      </w:r>
      <w:proofErr w:type="spellStart"/>
      <w:r w:rsidR="00555BD4" w:rsidRPr="005704F5">
        <w:rPr>
          <w:rFonts w:ascii="Calibri" w:hAnsi="Calibri" w:cs="Calibri"/>
          <w:sz w:val="22"/>
          <w:szCs w:val="22"/>
        </w:rPr>
        <w:t>Šober</w:t>
      </w:r>
      <w:proofErr w:type="spellEnd"/>
    </w:p>
    <w:p w:rsidR="00F939B6" w:rsidRPr="004A0CBF" w:rsidRDefault="00F939B6">
      <w:pPr>
        <w:ind w:right="-284"/>
        <w:jc w:val="both"/>
        <w:rPr>
          <w:rFonts w:ascii="Calibri" w:hAnsi="Calibri" w:cs="Calibri"/>
          <w:sz w:val="22"/>
          <w:szCs w:val="22"/>
          <w:lang w:eastAsia="cs-CZ"/>
        </w:rPr>
      </w:pPr>
      <w:r w:rsidRPr="005704F5">
        <w:rPr>
          <w:rFonts w:ascii="Calibri" w:hAnsi="Calibri" w:cs="Calibri"/>
          <w:sz w:val="22"/>
          <w:szCs w:val="22"/>
          <w:lang w:eastAsia="cs-CZ"/>
        </w:rPr>
        <w:t>ředitel</w:t>
      </w:r>
      <w:r w:rsidRPr="005704F5">
        <w:rPr>
          <w:rFonts w:ascii="Calibri" w:hAnsi="Calibri" w:cs="Calibri"/>
          <w:sz w:val="22"/>
          <w:szCs w:val="22"/>
          <w:lang w:eastAsia="cs-CZ"/>
        </w:rPr>
        <w:tab/>
        <w:t>Úřadu práce Česk</w:t>
      </w:r>
      <w:r w:rsidR="009830D9" w:rsidRPr="005704F5">
        <w:rPr>
          <w:rFonts w:ascii="Calibri" w:hAnsi="Calibri" w:cs="Calibri"/>
          <w:sz w:val="22"/>
          <w:szCs w:val="22"/>
          <w:lang w:eastAsia="cs-CZ"/>
        </w:rPr>
        <w:t>é republiky</w:t>
      </w:r>
      <w:r w:rsidR="009830D9" w:rsidRPr="005704F5">
        <w:rPr>
          <w:rFonts w:ascii="Calibri" w:hAnsi="Calibri" w:cs="Calibri"/>
          <w:sz w:val="22"/>
          <w:szCs w:val="22"/>
          <w:lang w:eastAsia="cs-CZ"/>
        </w:rPr>
        <w:tab/>
      </w:r>
      <w:r w:rsidR="009830D9" w:rsidRPr="005704F5">
        <w:rPr>
          <w:rFonts w:ascii="Calibri" w:hAnsi="Calibri" w:cs="Calibri"/>
          <w:sz w:val="22"/>
          <w:szCs w:val="22"/>
          <w:lang w:eastAsia="cs-CZ"/>
        </w:rPr>
        <w:tab/>
        <w:t xml:space="preserve">   ř</w:t>
      </w:r>
      <w:r w:rsidR="002226A2" w:rsidRPr="005704F5">
        <w:rPr>
          <w:rFonts w:ascii="Calibri" w:hAnsi="Calibri" w:cs="Calibri"/>
          <w:sz w:val="22"/>
          <w:szCs w:val="22"/>
          <w:lang w:eastAsia="cs-CZ"/>
        </w:rPr>
        <w:t xml:space="preserve">editel </w:t>
      </w:r>
      <w:r w:rsidR="009830D9" w:rsidRPr="005704F5">
        <w:rPr>
          <w:rFonts w:ascii="Calibri" w:hAnsi="Calibri" w:cs="Calibri"/>
          <w:sz w:val="22"/>
          <w:szCs w:val="22"/>
          <w:lang w:eastAsia="cs-CZ"/>
        </w:rPr>
        <w:t>Střední školy technické,</w:t>
      </w:r>
      <w:r w:rsidR="00555BD4" w:rsidRPr="005704F5">
        <w:rPr>
          <w:rFonts w:ascii="Calibri" w:hAnsi="Calibri" w:cs="Calibri"/>
          <w:sz w:val="22"/>
          <w:szCs w:val="22"/>
          <w:lang w:eastAsia="cs-CZ"/>
        </w:rPr>
        <w:t xml:space="preserve"> Přerov</w:t>
      </w:r>
      <w:r w:rsidR="009830D9" w:rsidRPr="005704F5">
        <w:rPr>
          <w:rFonts w:ascii="Calibri" w:hAnsi="Calibri" w:cs="Calibri"/>
          <w:sz w:val="22"/>
          <w:szCs w:val="22"/>
          <w:lang w:eastAsia="cs-CZ"/>
        </w:rPr>
        <w:t xml:space="preserve">, </w:t>
      </w:r>
      <w:proofErr w:type="spellStart"/>
      <w:r w:rsidR="009830D9" w:rsidRPr="005704F5">
        <w:rPr>
          <w:rFonts w:ascii="Calibri" w:hAnsi="Calibri" w:cs="Calibri"/>
          <w:sz w:val="22"/>
          <w:szCs w:val="22"/>
          <w:lang w:eastAsia="cs-CZ"/>
        </w:rPr>
        <w:t>Kouřílkova</w:t>
      </w:r>
      <w:proofErr w:type="spellEnd"/>
      <w:r w:rsidR="009830D9" w:rsidRPr="005704F5">
        <w:rPr>
          <w:rFonts w:ascii="Calibri" w:hAnsi="Calibri" w:cs="Calibri"/>
          <w:sz w:val="22"/>
          <w:szCs w:val="22"/>
          <w:lang w:eastAsia="cs-CZ"/>
        </w:rPr>
        <w:t xml:space="preserve"> 8</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9F3C30" w:rsidRPr="00DC1E6A" w:rsidRDefault="009F3C30" w:rsidP="009F3C30">
      <w:pPr>
        <w:pStyle w:val="Odstavecseseznamem"/>
        <w:spacing w:after="120" w:line="360" w:lineRule="auto"/>
        <w:ind w:left="0"/>
        <w:jc w:val="both"/>
        <w:rPr>
          <w:rFonts w:asciiTheme="minorHAnsi" w:hAnsiTheme="minorHAnsi"/>
          <w:b/>
          <w:bCs/>
          <w:sz w:val="22"/>
          <w:szCs w:val="22"/>
          <w:highlight w:val="yellow"/>
          <w:u w:val="single"/>
        </w:rPr>
      </w:pPr>
    </w:p>
    <w:p w:rsidR="00DC1E6A" w:rsidRPr="005704F5" w:rsidRDefault="00DC1E6A" w:rsidP="00DC1E6A">
      <w:pPr>
        <w:pStyle w:val="Odstavecseseznamem"/>
        <w:spacing w:after="120" w:line="360" w:lineRule="auto"/>
        <w:ind w:left="0"/>
        <w:jc w:val="both"/>
        <w:rPr>
          <w:rFonts w:asciiTheme="minorHAnsi" w:hAnsiTheme="minorHAnsi"/>
          <w:b/>
          <w:bCs/>
          <w:sz w:val="22"/>
          <w:szCs w:val="22"/>
          <w:u w:val="single"/>
        </w:rPr>
      </w:pPr>
      <w:r w:rsidRPr="005704F5">
        <w:rPr>
          <w:rFonts w:asciiTheme="minorHAnsi" w:hAnsiTheme="minorHAnsi"/>
          <w:b/>
          <w:bCs/>
          <w:sz w:val="22"/>
          <w:szCs w:val="22"/>
          <w:u w:val="single"/>
        </w:rPr>
        <w:t>Specifické technické podmínky předmětu veřejné zakázky:</w:t>
      </w:r>
    </w:p>
    <w:p w:rsidR="00DC1E6A" w:rsidRPr="005704F5" w:rsidRDefault="00DC1E6A" w:rsidP="00DC1E6A">
      <w:pPr>
        <w:numPr>
          <w:ilvl w:val="0"/>
          <w:numId w:val="26"/>
        </w:numPr>
        <w:tabs>
          <w:tab w:val="left" w:pos="709"/>
        </w:tabs>
        <w:spacing w:after="120" w:line="360" w:lineRule="auto"/>
        <w:jc w:val="both"/>
        <w:rPr>
          <w:rFonts w:asciiTheme="minorHAnsi" w:hAnsiTheme="minorHAnsi" w:cs="Calibri"/>
          <w:sz w:val="22"/>
          <w:szCs w:val="22"/>
        </w:rPr>
      </w:pPr>
      <w:r w:rsidRPr="005704F5">
        <w:rPr>
          <w:rFonts w:asciiTheme="minorHAnsi" w:hAnsiTheme="minorHAnsi" w:cs="Calibri"/>
          <w:sz w:val="22"/>
          <w:szCs w:val="22"/>
        </w:rPr>
        <w:t>Trvání 1 běhu rekvalifikace: maximálně 2 měsíce.</w:t>
      </w:r>
    </w:p>
    <w:p w:rsidR="00DC1E6A" w:rsidRPr="005704F5" w:rsidRDefault="00DC1E6A" w:rsidP="00DC1E6A">
      <w:pPr>
        <w:numPr>
          <w:ilvl w:val="0"/>
          <w:numId w:val="26"/>
        </w:numPr>
        <w:tabs>
          <w:tab w:val="left" w:pos="709"/>
        </w:tabs>
        <w:spacing w:after="120" w:line="360" w:lineRule="auto"/>
        <w:jc w:val="both"/>
        <w:rPr>
          <w:rFonts w:asciiTheme="minorHAnsi" w:hAnsiTheme="minorHAnsi" w:cs="Calibri"/>
          <w:sz w:val="22"/>
          <w:szCs w:val="22"/>
        </w:rPr>
      </w:pPr>
      <w:r w:rsidRPr="005704F5">
        <w:rPr>
          <w:rFonts w:asciiTheme="minorHAnsi" w:hAnsiTheme="minorHAnsi" w:cs="Calibri"/>
          <w:sz w:val="22"/>
          <w:szCs w:val="22"/>
        </w:rPr>
        <w:t>Místo konání: Olomoucký kraj.</w:t>
      </w:r>
    </w:p>
    <w:p w:rsidR="00DC1E6A" w:rsidRPr="005704F5" w:rsidRDefault="00DC1E6A" w:rsidP="00DC1E6A">
      <w:pPr>
        <w:numPr>
          <w:ilvl w:val="0"/>
          <w:numId w:val="26"/>
        </w:numPr>
        <w:tabs>
          <w:tab w:val="left" w:pos="709"/>
        </w:tabs>
        <w:spacing w:after="120" w:line="360" w:lineRule="auto"/>
        <w:jc w:val="both"/>
        <w:rPr>
          <w:rFonts w:asciiTheme="minorHAnsi" w:hAnsiTheme="minorHAnsi" w:cs="Calibri"/>
          <w:sz w:val="22"/>
          <w:szCs w:val="22"/>
        </w:rPr>
      </w:pPr>
      <w:r w:rsidRPr="005704F5">
        <w:rPr>
          <w:rFonts w:asciiTheme="minorHAnsi" w:hAnsiTheme="minorHAnsi" w:cs="Calibri"/>
          <w:sz w:val="22"/>
          <w:szCs w:val="22"/>
        </w:rPr>
        <w:t xml:space="preserve">Obsah rekvalifikace vychází z profesní kvalifikace </w:t>
      </w:r>
      <w:r w:rsidRPr="005704F5">
        <w:rPr>
          <w:rFonts w:asciiTheme="minorHAnsi" w:hAnsiTheme="minorHAnsi" w:cs="Calibri"/>
          <w:color w:val="000000"/>
          <w:sz w:val="22"/>
          <w:szCs w:val="22"/>
          <w:lang w:eastAsia="cs-CZ"/>
        </w:rPr>
        <w:t>Úklidové práce v ubytovacím zařízení (kód: 65-015-E)</w:t>
      </w:r>
      <w:r w:rsidRPr="005704F5">
        <w:rPr>
          <w:rFonts w:asciiTheme="minorHAnsi" w:hAnsiTheme="minorHAnsi" w:cs="Calibri"/>
          <w:sz w:val="22"/>
          <w:szCs w:val="22"/>
        </w:rPr>
        <w:t xml:space="preserve">    -  viz </w:t>
      </w:r>
      <w:hyperlink r:id="rId12" w:history="1">
        <w:r w:rsidRPr="005704F5">
          <w:rPr>
            <w:rFonts w:asciiTheme="minorHAnsi" w:hAnsiTheme="minorHAnsi" w:cs="Calibri"/>
            <w:sz w:val="22"/>
            <w:szCs w:val="22"/>
          </w:rPr>
          <w:t>http://www.narodni-kvalifikace.cz/</w:t>
        </w:r>
      </w:hyperlink>
      <w:r w:rsidRPr="005704F5">
        <w:rPr>
          <w:rFonts w:asciiTheme="minorHAnsi" w:hAnsiTheme="minorHAnsi" w:cs="Calibri"/>
          <w:sz w:val="22"/>
          <w:szCs w:val="22"/>
        </w:rPr>
        <w:t>. Tato profesní kvalifikace spolu s dalšími třemi profesními kvalifikacemi tvoří úplnou profesní kvalifikaci Pomocný pracovník v pohostinství (kód 65-99-E/03).</w:t>
      </w:r>
    </w:p>
    <w:p w:rsidR="00DC1E6A" w:rsidRPr="005704F5" w:rsidRDefault="00DC1E6A" w:rsidP="00DC1E6A">
      <w:pPr>
        <w:numPr>
          <w:ilvl w:val="0"/>
          <w:numId w:val="26"/>
        </w:numPr>
        <w:tabs>
          <w:tab w:val="left" w:pos="709"/>
        </w:tabs>
        <w:spacing w:after="120" w:line="360" w:lineRule="auto"/>
        <w:jc w:val="both"/>
        <w:rPr>
          <w:rFonts w:asciiTheme="minorHAnsi" w:hAnsiTheme="minorHAnsi" w:cs="Calibri"/>
          <w:sz w:val="22"/>
          <w:szCs w:val="22"/>
        </w:rPr>
      </w:pPr>
      <w:r w:rsidRPr="005704F5">
        <w:rPr>
          <w:rFonts w:asciiTheme="minorHAnsi" w:hAnsiTheme="minorHAnsi" w:cs="Calibri"/>
          <w:sz w:val="22"/>
          <w:szCs w:val="22"/>
        </w:rPr>
        <w:t>Povinnou součástí rekvalifikace je praxe u zaměstnavatele o minimálním rozsahu 37 vyučovacích hodin.</w:t>
      </w:r>
    </w:p>
    <w:p w:rsidR="00DC1E6A" w:rsidRPr="005704F5" w:rsidRDefault="00DC1E6A" w:rsidP="00DC1E6A">
      <w:pPr>
        <w:numPr>
          <w:ilvl w:val="0"/>
          <w:numId w:val="26"/>
        </w:numPr>
        <w:tabs>
          <w:tab w:val="left" w:pos="709"/>
        </w:tabs>
        <w:spacing w:after="120" w:line="360" w:lineRule="auto"/>
        <w:jc w:val="both"/>
        <w:rPr>
          <w:rFonts w:asciiTheme="minorHAnsi" w:hAnsiTheme="minorHAnsi" w:cs="Calibri"/>
          <w:sz w:val="22"/>
          <w:szCs w:val="22"/>
        </w:rPr>
      </w:pPr>
      <w:r w:rsidRPr="005704F5">
        <w:rPr>
          <w:rFonts w:asciiTheme="minorHAnsi" w:hAnsiTheme="minorHAnsi" w:cs="Calibri"/>
          <w:sz w:val="22"/>
          <w:szCs w:val="22"/>
        </w:rPr>
        <w:t>Zkouška dle hodnotícího standardu je součástí rekvalifikace a náklady této zkoušky jsou součástí nabídkové ceny uchazeče.</w:t>
      </w:r>
    </w:p>
    <w:p w:rsidR="00DC1E6A" w:rsidRPr="005704F5" w:rsidRDefault="00DC1E6A" w:rsidP="00DC1E6A">
      <w:pPr>
        <w:numPr>
          <w:ilvl w:val="0"/>
          <w:numId w:val="26"/>
        </w:numPr>
        <w:tabs>
          <w:tab w:val="left" w:pos="709"/>
        </w:tabs>
        <w:spacing w:after="120" w:line="360" w:lineRule="auto"/>
        <w:jc w:val="both"/>
        <w:rPr>
          <w:rFonts w:asciiTheme="minorHAnsi" w:hAnsiTheme="minorHAnsi" w:cs="Calibri"/>
          <w:sz w:val="22"/>
          <w:szCs w:val="22"/>
        </w:rPr>
      </w:pPr>
      <w:r w:rsidRPr="005704F5">
        <w:rPr>
          <w:rFonts w:asciiTheme="minorHAnsi" w:hAnsiTheme="minorHAnsi" w:cs="Calibri"/>
          <w:sz w:val="22"/>
          <w:szCs w:val="22"/>
        </w:rPr>
        <w:t xml:space="preserve">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 </w:t>
      </w:r>
    </w:p>
    <w:p w:rsidR="009F3C30" w:rsidRPr="00DF0A79" w:rsidRDefault="009F3C30">
      <w:pPr>
        <w:rPr>
          <w:rFonts w:ascii="Calibri" w:hAnsi="Calibri" w:cs="Calibri"/>
          <w:b/>
          <w:bCs/>
          <w:sz w:val="22"/>
          <w:szCs w:val="22"/>
        </w:rPr>
      </w:pPr>
    </w:p>
    <w:sectPr w:rsidR="009F3C30" w:rsidRPr="00DF0A79"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1D" w:rsidRDefault="00E74A1D">
      <w:pPr>
        <w:rPr>
          <w:rFonts w:ascii="Times New Roman" w:hAnsi="Times New Roman" w:cs="Times New Roman"/>
        </w:rPr>
      </w:pPr>
      <w:r>
        <w:rPr>
          <w:rFonts w:ascii="Times New Roman" w:hAnsi="Times New Roman" w:cs="Times New Roman"/>
        </w:rPr>
        <w:separator/>
      </w:r>
    </w:p>
  </w:endnote>
  <w:endnote w:type="continuationSeparator" w:id="0">
    <w:p w:rsidR="00E74A1D" w:rsidRDefault="00E74A1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274854">
      <w:rPr>
        <w:rFonts w:ascii="Calibri" w:hAnsi="Calibri" w:cs="Calibri"/>
        <w:noProof/>
      </w:rPr>
      <w:t>10</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1D" w:rsidRDefault="00E74A1D">
      <w:pPr>
        <w:rPr>
          <w:rFonts w:ascii="Times New Roman" w:hAnsi="Times New Roman" w:cs="Times New Roman"/>
        </w:rPr>
      </w:pPr>
      <w:r>
        <w:rPr>
          <w:rFonts w:ascii="Times New Roman" w:hAnsi="Times New Roman" w:cs="Times New Roman"/>
        </w:rPr>
        <w:separator/>
      </w:r>
    </w:p>
  </w:footnote>
  <w:footnote w:type="continuationSeparator" w:id="0">
    <w:p w:rsidR="00E74A1D" w:rsidRDefault="00E74A1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4313D867" wp14:editId="6B61D004">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0F043DDF"/>
    <w:multiLevelType w:val="hybridMultilevel"/>
    <w:tmpl w:val="D9F4EB54"/>
    <w:lvl w:ilvl="0" w:tplc="9D32079C">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8">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nsid w:val="2FDF3FE8"/>
    <w:multiLevelType w:val="hybridMultilevel"/>
    <w:tmpl w:val="91DE7EE4"/>
    <w:lvl w:ilvl="0" w:tplc="5074FFD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3B90716"/>
    <w:multiLevelType w:val="hybridMultilevel"/>
    <w:tmpl w:val="457E83AE"/>
    <w:lvl w:ilvl="0" w:tplc="2F5AFCBC">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3">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7">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nsid w:val="592C344E"/>
    <w:multiLevelType w:val="hybridMultilevel"/>
    <w:tmpl w:val="D8921520"/>
    <w:lvl w:ilvl="0" w:tplc="CD6C4E3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2"/>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8"/>
  </w:num>
  <w:num w:numId="15">
    <w:abstractNumId w:val="20"/>
  </w:num>
  <w:num w:numId="16">
    <w:abstractNumId w:val="14"/>
  </w:num>
  <w:num w:numId="17">
    <w:abstractNumId w:val="22"/>
  </w:num>
  <w:num w:numId="18">
    <w:abstractNumId w:val="6"/>
  </w:num>
  <w:num w:numId="19">
    <w:abstractNumId w:val="13"/>
  </w:num>
  <w:num w:numId="20">
    <w:abstractNumId w:val="23"/>
  </w:num>
  <w:num w:numId="21">
    <w:abstractNumId w:val="2"/>
  </w:num>
  <w:num w:numId="22">
    <w:abstractNumId w:val="16"/>
  </w:num>
  <w:num w:numId="23">
    <w:abstractNumId w:val="19"/>
  </w:num>
  <w:num w:numId="24">
    <w:abstractNumId w:val="4"/>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14329"/>
    <w:rsid w:val="00056C70"/>
    <w:rsid w:val="00074C96"/>
    <w:rsid w:val="00085C94"/>
    <w:rsid w:val="000A4168"/>
    <w:rsid w:val="00103527"/>
    <w:rsid w:val="00115144"/>
    <w:rsid w:val="00117480"/>
    <w:rsid w:val="001420C3"/>
    <w:rsid w:val="0014637D"/>
    <w:rsid w:val="001E766B"/>
    <w:rsid w:val="002226A2"/>
    <w:rsid w:val="00273AC1"/>
    <w:rsid w:val="00274854"/>
    <w:rsid w:val="00280FD2"/>
    <w:rsid w:val="002A37B2"/>
    <w:rsid w:val="002B2A7B"/>
    <w:rsid w:val="002C5882"/>
    <w:rsid w:val="002E59E8"/>
    <w:rsid w:val="00305D09"/>
    <w:rsid w:val="003324CF"/>
    <w:rsid w:val="003341A9"/>
    <w:rsid w:val="00355639"/>
    <w:rsid w:val="0038713B"/>
    <w:rsid w:val="00397B2A"/>
    <w:rsid w:val="003C38A2"/>
    <w:rsid w:val="003D1493"/>
    <w:rsid w:val="003D688F"/>
    <w:rsid w:val="003E76DE"/>
    <w:rsid w:val="0042261A"/>
    <w:rsid w:val="00426134"/>
    <w:rsid w:val="00442C6D"/>
    <w:rsid w:val="004562FD"/>
    <w:rsid w:val="00470601"/>
    <w:rsid w:val="00492853"/>
    <w:rsid w:val="004A0CBF"/>
    <w:rsid w:val="004C6107"/>
    <w:rsid w:val="004E3548"/>
    <w:rsid w:val="004F03E4"/>
    <w:rsid w:val="005020DF"/>
    <w:rsid w:val="005052F8"/>
    <w:rsid w:val="00555BD4"/>
    <w:rsid w:val="005704F5"/>
    <w:rsid w:val="005778DD"/>
    <w:rsid w:val="005803FE"/>
    <w:rsid w:val="005925A9"/>
    <w:rsid w:val="00592A3E"/>
    <w:rsid w:val="005A1C29"/>
    <w:rsid w:val="005C61C4"/>
    <w:rsid w:val="005F7EA6"/>
    <w:rsid w:val="00602D88"/>
    <w:rsid w:val="006226E8"/>
    <w:rsid w:val="00627DCB"/>
    <w:rsid w:val="006B7680"/>
    <w:rsid w:val="006C2A40"/>
    <w:rsid w:val="007240DC"/>
    <w:rsid w:val="00736A4F"/>
    <w:rsid w:val="007537A6"/>
    <w:rsid w:val="007E0688"/>
    <w:rsid w:val="0080759A"/>
    <w:rsid w:val="00822332"/>
    <w:rsid w:val="00844AD2"/>
    <w:rsid w:val="00851295"/>
    <w:rsid w:val="00865AF5"/>
    <w:rsid w:val="008B5C55"/>
    <w:rsid w:val="008D0A03"/>
    <w:rsid w:val="009029FA"/>
    <w:rsid w:val="00915DF3"/>
    <w:rsid w:val="00952755"/>
    <w:rsid w:val="0096047E"/>
    <w:rsid w:val="009830D9"/>
    <w:rsid w:val="009C156D"/>
    <w:rsid w:val="009E5025"/>
    <w:rsid w:val="009F3C30"/>
    <w:rsid w:val="00A07E56"/>
    <w:rsid w:val="00A4456F"/>
    <w:rsid w:val="00A55B6F"/>
    <w:rsid w:val="00AB38F0"/>
    <w:rsid w:val="00AB7F8C"/>
    <w:rsid w:val="00AC4442"/>
    <w:rsid w:val="00B036F1"/>
    <w:rsid w:val="00B41066"/>
    <w:rsid w:val="00B7650C"/>
    <w:rsid w:val="00B86AEA"/>
    <w:rsid w:val="00B909E7"/>
    <w:rsid w:val="00B90E5E"/>
    <w:rsid w:val="00BC01A9"/>
    <w:rsid w:val="00BD5887"/>
    <w:rsid w:val="00BD7EC3"/>
    <w:rsid w:val="00C01495"/>
    <w:rsid w:val="00C6340E"/>
    <w:rsid w:val="00CA1948"/>
    <w:rsid w:val="00CA3690"/>
    <w:rsid w:val="00CB6B0A"/>
    <w:rsid w:val="00CC4820"/>
    <w:rsid w:val="00CF75CC"/>
    <w:rsid w:val="00D2613A"/>
    <w:rsid w:val="00D724D3"/>
    <w:rsid w:val="00DC0102"/>
    <w:rsid w:val="00DC1E6A"/>
    <w:rsid w:val="00DD2DFC"/>
    <w:rsid w:val="00DF0A79"/>
    <w:rsid w:val="00E03423"/>
    <w:rsid w:val="00E3130A"/>
    <w:rsid w:val="00E577F2"/>
    <w:rsid w:val="00E74A1D"/>
    <w:rsid w:val="00E92437"/>
    <w:rsid w:val="00E94207"/>
    <w:rsid w:val="00EA725D"/>
    <w:rsid w:val="00EB206A"/>
    <w:rsid w:val="00EC42A0"/>
    <w:rsid w:val="00EE6281"/>
    <w:rsid w:val="00EF4B01"/>
    <w:rsid w:val="00F1372D"/>
    <w:rsid w:val="00F443A8"/>
    <w:rsid w:val="00F62F96"/>
    <w:rsid w:val="00F75BA8"/>
    <w:rsid w:val="00F939B6"/>
    <w:rsid w:val="00FB347C"/>
    <w:rsid w:val="00FC3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7F9D-C131-496D-9B53-43565FBD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4085</Words>
  <Characters>24103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2017-06-08T07:18:00Z</cp:lastPrinted>
  <dcterms:created xsi:type="dcterms:W3CDTF">2017-06-28T14:19:00Z</dcterms:created>
  <dcterms:modified xsi:type="dcterms:W3CDTF">2017-06-28T14:19:00Z</dcterms:modified>
</cp:coreProperties>
</file>