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3C7C" w14:textId="77777777" w:rsidR="00D62283" w:rsidRDefault="00D62283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6"/>
      </w:tblGrid>
      <w:tr w:rsidR="00D62283" w14:paraId="6ED51259" w14:textId="77777777"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4838" w14:textId="77777777" w:rsidR="00D62283" w:rsidRDefault="001B7DF6">
            <w:pPr>
              <w:tabs>
                <w:tab w:val="left" w:pos="-147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Organizace: KULTURA A SPORT CHOMUTOV s.r.o.</w:t>
            </w:r>
          </w:p>
          <w:p w14:paraId="0F5F911F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Zastoupená: </w:t>
            </w:r>
            <w:r w:rsidR="001B7DF6"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Bc. Radkem Holušou, jednatelem</w:t>
            </w:r>
          </w:p>
          <w:p w14:paraId="604F00A4" w14:textId="77777777" w:rsidR="001B7DF6" w:rsidRPr="001B7DF6" w:rsidRDefault="001B7DF6">
            <w:pPr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1B7DF6">
              <w:rPr>
                <w:rFonts w:ascii="Arial" w:eastAsia="Arial" w:hAnsi="Arial" w:cs="Arial"/>
                <w:color w:val="000000"/>
                <w:sz w:val="18"/>
                <w:szCs w:val="20"/>
              </w:rPr>
              <w:t>Zapsaná v OR u KS v Ústí nad Labem, oddíl C, vložka 3466</w:t>
            </w:r>
          </w:p>
          <w:p w14:paraId="51D87E20" w14:textId="77777777" w:rsidR="00D62283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="003A1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ídlo: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Boženy Němcové 552/32, 43001 Chomutov</w:t>
            </w:r>
          </w:p>
          <w:p w14:paraId="796B76B3" w14:textId="77777777" w:rsidR="00D62283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Bank. spojení: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KB Chomutov</w:t>
            </w:r>
          </w:p>
          <w:p w14:paraId="2AB5B281" w14:textId="77777777" w:rsidR="00D62283" w:rsidRPr="001B7DF6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Č. ú.:</w:t>
            </w:r>
            <w:r w:rsidRPr="001B7D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17102441/0100</w:t>
            </w:r>
          </w:p>
          <w:p w14:paraId="178DD3E9" w14:textId="59B77DD3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Kontaktní osoba: </w:t>
            </w:r>
            <w:r w:rsidR="00DD2048">
              <w:rPr>
                <w:rFonts w:ascii="Arial" w:eastAsia="Arial" w:hAnsi="Arial" w:cs="Arial"/>
                <w:color w:val="000000"/>
                <w:sz w:val="20"/>
                <w:szCs w:val="20"/>
              </w:rPr>
              <w:t>xxxxx</w:t>
            </w:r>
          </w:p>
          <w:p w14:paraId="37074B57" w14:textId="47EBA5FF" w:rsidR="00D62283" w:rsidRDefault="001B7DF6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  <w:r w:rsidR="00DD2048"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</w:p>
          <w:p w14:paraId="2DE21D33" w14:textId="77777777" w:rsidR="00D62283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B7D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IČO: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47308095</w:t>
            </w:r>
            <w:r w:rsidRPr="001B7D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DIČ: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CZ47308095, plátce DPH</w:t>
            </w:r>
          </w:p>
          <w:p w14:paraId="56870A23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„pořadatel“)</w:t>
            </w:r>
          </w:p>
          <w:p w14:paraId="159CCE0A" w14:textId="77777777" w:rsidR="00D62283" w:rsidRDefault="00D62283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9909A2" w14:textId="77777777" w:rsidR="00D62283" w:rsidRDefault="00D62283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1367EF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jedné straně a 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4517" w14:textId="77777777" w:rsidR="00D62283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Organizace</w:t>
            </w:r>
            <w:r w:rsidR="00C857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 w:rsidR="00C85715" w:rsidRPr="001B7D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Joe’s Garage Live s.r.o.</w:t>
            </w:r>
            <w:r w:rsidR="003A1AF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8727A90" w14:textId="77777777" w:rsidR="001B7DF6" w:rsidRDefault="001B7DF6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Zastoupená: </w:t>
            </w:r>
            <w:r w:rsidRP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Davidem Gaydečkou, jednatelem</w:t>
            </w:r>
          </w:p>
          <w:p w14:paraId="5AD4E637" w14:textId="77777777" w:rsidR="00D62283" w:rsidRDefault="00C8571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IČ: 29138973, DIČ: CZ29138</w:t>
            </w:r>
            <w:r w:rsidR="003A1AF1">
              <w:rPr>
                <w:rFonts w:ascii="Arial" w:eastAsia="Arial" w:hAnsi="Arial" w:cs="Arial"/>
                <w:color w:val="000000"/>
                <w:sz w:val="20"/>
                <w:szCs w:val="20"/>
              </w:rPr>
              <w:t>973</w:t>
            </w:r>
            <w:r w:rsidR="001B7DF6">
              <w:rPr>
                <w:rFonts w:ascii="Arial" w:eastAsia="Arial" w:hAnsi="Arial" w:cs="Arial"/>
                <w:color w:val="000000"/>
                <w:sz w:val="20"/>
                <w:szCs w:val="20"/>
              </w:rPr>
              <w:t>, plátce DPH</w:t>
            </w:r>
          </w:p>
          <w:p w14:paraId="3490A838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 sídlem a pošt. adresou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2C9236D3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Terronská 873/3, 160 00, Praha 6</w:t>
            </w:r>
            <w:r w:rsidR="00C857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 w:rsidR="00C857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Bubeneč</w:t>
            </w:r>
          </w:p>
          <w:p w14:paraId="004E0543" w14:textId="77777777" w:rsidR="00C85715" w:rsidRDefault="00C8571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Spis. zn.: </w:t>
            </w:r>
            <w:r w:rsidRPr="00C85715">
              <w:rPr>
                <w:rFonts w:ascii="Arial" w:eastAsia="Arial" w:hAnsi="Arial" w:cs="Arial"/>
                <w:color w:val="000000"/>
                <w:sz w:val="20"/>
                <w:szCs w:val="20"/>
              </w:rPr>
              <w:t>C 202819 vedená u Městského soudu v Praze</w:t>
            </w:r>
          </w:p>
          <w:p w14:paraId="4C2C8F31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Č.</w:t>
            </w:r>
            <w:r w:rsidR="00C857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účtu: 246625158/0600</w:t>
            </w:r>
          </w:p>
          <w:p w14:paraId="647E18F3" w14:textId="77777777" w:rsidR="00D62283" w:rsidRDefault="00C8571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která</w:t>
            </w:r>
            <w:r w:rsidR="003A1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podle svého prohlášení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zastupuje Skupinu a je oprávněna</w:t>
            </w:r>
            <w:r w:rsidR="003A1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uzavřít tuto smlouvu.</w:t>
            </w:r>
          </w:p>
          <w:p w14:paraId="54901BCF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„účinkující“)</w:t>
            </w:r>
          </w:p>
          <w:p w14:paraId="3787C5DE" w14:textId="09620D68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Vyřizuje: </w:t>
            </w:r>
            <w:r w:rsidR="00DD2048">
              <w:rPr>
                <w:rFonts w:ascii="Arial" w:eastAsia="Arial" w:hAnsi="Arial" w:cs="Arial"/>
                <w:color w:val="000000"/>
                <w:sz w:val="20"/>
                <w:szCs w:val="20"/>
              </w:rPr>
              <w:t>xxxxxxx</w:t>
            </w:r>
          </w:p>
          <w:p w14:paraId="6EBE9E2D" w14:textId="77777777" w:rsidR="00D62283" w:rsidRDefault="00D62283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1C71DF5" w14:textId="77777777" w:rsidR="00D62283" w:rsidRDefault="003A1AF1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straně druhé</w:t>
            </w:r>
          </w:p>
        </w:tc>
      </w:tr>
    </w:tbl>
    <w:p w14:paraId="7F2DD212" w14:textId="77777777" w:rsidR="00D62283" w:rsidRDefault="00D62283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BE0F28E" w14:textId="77777777" w:rsidR="00D62283" w:rsidRDefault="003A1AF1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</w:t>
      </w:r>
    </w:p>
    <w:p w14:paraId="1FC5E85C" w14:textId="77777777" w:rsidR="00D62283" w:rsidRDefault="003A1AF1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Smlouvu o vystoupení</w:t>
      </w:r>
    </w:p>
    <w:p w14:paraId="066FE2CC" w14:textId="77777777" w:rsidR="00D62283" w:rsidRDefault="00D62283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0D5C69A1" w14:textId="77777777" w:rsidR="00D62283" w:rsidRDefault="003A1AF1">
      <w:pPr>
        <w:numPr>
          <w:ilvl w:val="0"/>
          <w:numId w:val="2"/>
        </w:num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2D4CFDD6" w14:textId="77777777" w:rsidR="00D62283" w:rsidRDefault="003A1AF1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podmínek v této smlouvě uvedených se účinkující zavazují vystoupit se svým hudebním programem v rámci programu: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Michal Prokop &amp; Framus Five</w:t>
      </w:r>
    </w:p>
    <w:p w14:paraId="7DB2C4FE" w14:textId="77777777" w:rsidR="00D62283" w:rsidRDefault="003A1AF1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Datum vystoupení: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12.</w:t>
      </w:r>
      <w:r w:rsidR="004B5E8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06.</w:t>
      </w:r>
      <w:r w:rsidR="004B5E8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2024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 čase </w:t>
      </w:r>
      <w:r>
        <w:rPr>
          <w:rFonts w:ascii="Arial" w:eastAsia="Arial" w:hAnsi="Arial" w:cs="Arial"/>
          <w:b/>
          <w:color w:val="000000"/>
          <w:sz w:val="20"/>
          <w:szCs w:val="20"/>
        </w:rPr>
        <w:t>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B5E80" w:rsidRPr="004B5E80">
        <w:rPr>
          <w:rFonts w:ascii="Arial" w:eastAsia="Arial" w:hAnsi="Arial" w:cs="Arial"/>
          <w:b/>
          <w:color w:val="000000"/>
          <w:sz w:val="20"/>
          <w:szCs w:val="20"/>
        </w:rPr>
        <w:t>19:00 h</w:t>
      </w:r>
      <w:r w:rsidRPr="004B5E80">
        <w:rPr>
          <w:rFonts w:ascii="Arial" w:eastAsia="Arial" w:hAnsi="Arial" w:cs="Arial"/>
          <w:b/>
          <w:color w:val="000000"/>
          <w:sz w:val="20"/>
          <w:szCs w:val="20"/>
        </w:rPr>
        <w:t>od.</w:t>
      </w:r>
    </w:p>
    <w:p w14:paraId="4E3C44B3" w14:textId="77777777" w:rsidR="00D62283" w:rsidRDefault="003A1AF1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1.3.</w:t>
      </w:r>
      <w:r w:rsidR="004B5E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Místo vystoupení: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Chomutov; </w:t>
      </w:r>
      <w:r w:rsidR="004B5E80">
        <w:rPr>
          <w:rFonts w:ascii="Arial" w:eastAsia="Arial" w:hAnsi="Arial" w:cs="Arial"/>
          <w:color w:val="000000"/>
          <w:sz w:val="20"/>
          <w:szCs w:val="20"/>
        </w:rPr>
        <w:t xml:space="preserve">přesná adresa: </w:t>
      </w:r>
      <w:r w:rsidR="004B5E80" w:rsidRPr="004B5E80">
        <w:rPr>
          <w:rFonts w:ascii="Arial" w:eastAsia="Arial" w:hAnsi="Arial" w:cs="Arial"/>
          <w:b/>
          <w:color w:val="000000"/>
          <w:sz w:val="20"/>
          <w:szCs w:val="20"/>
        </w:rPr>
        <w:t>Městské divadlo, Boženy Němcové 552/32, 43001 Chomutov</w:t>
      </w:r>
    </w:p>
    <w:p w14:paraId="79246DC0" w14:textId="77777777" w:rsidR="00D62283" w:rsidRDefault="003A1AF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14:paraId="05936015" w14:textId="77777777" w:rsidR="00D62283" w:rsidRDefault="003A1AF1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účinkujícího</w:t>
      </w:r>
    </w:p>
    <w:p w14:paraId="01D9A687" w14:textId="77777777" w:rsidR="00D62283" w:rsidRDefault="003A1AF1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dostavit se včas ke zvukové zkoušce, k</w:t>
      </w:r>
      <w:r w:rsidR="004B5E80">
        <w:rPr>
          <w:rFonts w:ascii="Arial" w:eastAsia="Arial" w:hAnsi="Arial" w:cs="Arial"/>
          <w:color w:val="000000"/>
          <w:sz w:val="20"/>
          <w:szCs w:val="20"/>
        </w:rPr>
        <w:t>terá se koná v den vystoupení v 17:00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hod.</w:t>
      </w:r>
    </w:p>
    <w:p w14:paraId="15D6328E" w14:textId="77777777" w:rsidR="00D62283" w:rsidRDefault="003A1AF1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vystoupit s programem v délce 90 minut (bez pauzy).</w:t>
      </w:r>
    </w:p>
    <w:p w14:paraId="555E3D31" w14:textId="77777777" w:rsidR="00D62283" w:rsidRDefault="003A1AF1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Účinkující bude připraven ke zvukové zkoušce, jakož i k následnému vystoupení vždy nejméně 20 minut před </w:t>
      </w:r>
      <w:r w:rsidR="001B5E8E">
        <w:rPr>
          <w:rFonts w:ascii="Arial" w:eastAsia="Arial" w:hAnsi="Arial" w:cs="Arial"/>
          <w:color w:val="000000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000000"/>
          <w:sz w:val="20"/>
          <w:szCs w:val="20"/>
        </w:rPr>
        <w:t>plánovaným začátkem.</w:t>
      </w:r>
    </w:p>
    <w:p w14:paraId="1B5E55D9" w14:textId="77777777" w:rsidR="00D62283" w:rsidRDefault="003A1AF1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uskutečnit svůj program svědomitě a ve standardní kvalitě.</w:t>
      </w:r>
    </w:p>
    <w:p w14:paraId="0D101F88" w14:textId="77777777" w:rsidR="00D62283" w:rsidRDefault="003A1AF1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14:paraId="3E9652A3" w14:textId="77777777" w:rsidR="00D62283" w:rsidRDefault="00D6228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7ED13D4" w14:textId="77777777" w:rsidR="00D62283" w:rsidRDefault="00D6228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1E72F9" w14:textId="77777777" w:rsidR="00D62283" w:rsidRDefault="003A1AF1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pořadatele</w:t>
      </w:r>
    </w:p>
    <w:p w14:paraId="242D94D3" w14:textId="77777777" w:rsidR="00D62283" w:rsidRDefault="003A1AF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zašle obratem svým podpisem stvrzené 2 exempláře smlouvy (z nichž jeden mu bude následně vrácen, podepsán účinkujícím), nejpozději však dva měsíce před termínem koncertu zpět na adresu: </w:t>
      </w:r>
      <w:r>
        <w:rPr>
          <w:rFonts w:ascii="Arial" w:eastAsia="Arial" w:hAnsi="Arial" w:cs="Arial"/>
          <w:b/>
          <w:color w:val="000000"/>
          <w:sz w:val="20"/>
          <w:szCs w:val="20"/>
        </w:rPr>
        <w:t>jako podepsaný scan na email: tourmanazer@agenturajg.cz</w:t>
      </w:r>
      <w:r>
        <w:rPr>
          <w:rFonts w:ascii="Arial" w:eastAsia="Arial" w:hAnsi="Arial" w:cs="Arial"/>
          <w:color w:val="000000"/>
          <w:sz w:val="20"/>
          <w:szCs w:val="20"/>
        </w:rPr>
        <w:t>, nebo na adresu Joe’s Garage, Terronská 873/3, Praha 6, 160 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</w:p>
    <w:p w14:paraId="03B31861" w14:textId="7AD6A8D0" w:rsidR="00D62283" w:rsidRDefault="003A1AF1">
      <w:pPr>
        <w:spacing w:after="0" w:line="240" w:lineRule="auto"/>
        <w:ind w:left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Pořadatel se zavazuje uhradit fixní honorář účinkujícímu ve výši: 150</w:t>
      </w:r>
      <w:r w:rsidR="005F40BB">
        <w:rPr>
          <w:rFonts w:ascii="Arial" w:eastAsia="Arial" w:hAnsi="Arial" w:cs="Arial"/>
          <w:b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>000 Kč + 21% DPH na základě zálohové faktury na účet agentury Joe’s Garage Live nejpozději 10 dní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 konáním vystoupení.</w:t>
      </w:r>
    </w:p>
    <w:p w14:paraId="08BAFDC9" w14:textId="77777777" w:rsidR="00D62283" w:rsidRDefault="003A1AF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veškeré podmínky pro zajištění bezpečnosti a ochrany zdraví účinkujících v souladu s obecně závaznými právními předpisy.</w:t>
      </w:r>
    </w:p>
    <w:p w14:paraId="08A6B282" w14:textId="77777777" w:rsidR="00D62283" w:rsidRDefault="003A1AF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technické zajištění akce.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Pořadatel dá prostor účinkujícímu na zvukovou zkoušku minimálně v délce 60 minut (v případě festivalové produkce lze domluvit kratší čas zvukové zkoušky. Minimálně však 30 min)</w:t>
      </w:r>
    </w:p>
    <w:p w14:paraId="7E1AD853" w14:textId="77777777" w:rsidR="00D62283" w:rsidRDefault="003A1AF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přípravu zvukové zkoušky tak, aby v čas nástupu kapely byl zvukař nebo jiná za zvukovou zkoušku zodpovědná osoba plně připravena, tzn. PA systém byl v provozu a vše nastaveno podle stageplanu kapely.</w:t>
      </w:r>
    </w:p>
    <w:p w14:paraId="66E9E3B5" w14:textId="4FB59715" w:rsidR="00D62283" w:rsidRPr="004B5E80" w:rsidRDefault="004B5E80" w:rsidP="004B5E80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zvukaře: </w:t>
      </w:r>
      <w:r w:rsidR="005F40BB">
        <w:rPr>
          <w:rFonts w:ascii="Arial" w:eastAsia="Arial" w:hAnsi="Arial" w:cs="Arial"/>
          <w:color w:val="000000"/>
          <w:sz w:val="20"/>
          <w:szCs w:val="20"/>
        </w:rPr>
        <w:t>xxxxxxx</w:t>
      </w:r>
    </w:p>
    <w:p w14:paraId="35D184D3" w14:textId="71602536" w:rsidR="00D62283" w:rsidRDefault="004B5E80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produkci: </w:t>
      </w:r>
      <w:r w:rsidR="005F40BB">
        <w:rPr>
          <w:rFonts w:ascii="Arial" w:eastAsia="Arial" w:hAnsi="Arial" w:cs="Arial"/>
          <w:color w:val="000000"/>
          <w:sz w:val="20"/>
          <w:szCs w:val="20"/>
        </w:rPr>
        <w:t>xxxxxxxx</w:t>
      </w:r>
    </w:p>
    <w:p w14:paraId="41E165F9" w14:textId="77777777" w:rsidR="00D62283" w:rsidRDefault="003A1AF1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Pořadatel se zavazuje zajistit pořadatelskou službu a bezplatné parkování v místě akce. </w:t>
      </w:r>
    </w:p>
    <w:p w14:paraId="7F11DAB1" w14:textId="77777777" w:rsidR="00D62283" w:rsidRDefault="00BD3F94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Specifikace parkování: Parkoviště v zadních prostorách budovy divadla.</w:t>
      </w:r>
    </w:p>
    <w:p w14:paraId="6AFFC550" w14:textId="77777777" w:rsidR="00D62283" w:rsidRDefault="003A1AF1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2x pohodlnou a vytopenou šatnu (v případě festivalové produkce odpovídající zázemí)</w:t>
      </w:r>
    </w:p>
    <w:p w14:paraId="71418891" w14:textId="77777777" w:rsidR="00D62283" w:rsidRDefault="003A1AF1">
      <w:pPr>
        <w:numPr>
          <w:ilvl w:val="1"/>
          <w:numId w:val="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nezajišťuje vystupujícím ubytování.</w:t>
      </w:r>
    </w:p>
    <w:p w14:paraId="7A212247" w14:textId="77777777" w:rsidR="00D62283" w:rsidRDefault="003A1AF1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Pořadatel se zavazuje na vlastní náklady zajistit občerstvení pro účinkující v době vystoupení:</w:t>
      </w:r>
    </w:p>
    <w:p w14:paraId="642CE485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10 x teplá večeře - z toho 1x vegetariánská (bez masa),</w:t>
      </w:r>
    </w:p>
    <w:p w14:paraId="29479D5B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2x obložené mísy složené z uzenin, sýrů, zeleniny + pečivo; (Pro 10 lidí, přičemž 150g činí 1 porce) nebo</w:t>
      </w:r>
    </w:p>
    <w:p w14:paraId="3B6C7A22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20x chlebíčky, 1 x ovocná mísa</w:t>
      </w:r>
    </w:p>
    <w:p w14:paraId="4B964E88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10 x 0,5l neperlivé vody (v uzavíratelné láhvi),</w:t>
      </w:r>
    </w:p>
    <w:p w14:paraId="604F8BA0" w14:textId="77777777" w:rsidR="00D62283" w:rsidRDefault="003A1AF1" w:rsidP="00BD3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20 x 0,5L Pivo (lahvové nebo v plechovce, nejlépe Pilsner Urquell; Pokud je v místě výčep, upřednostňujeme točené pivo – ideálně lístek na baru).</w:t>
      </w:r>
    </w:p>
    <w:p w14:paraId="66AC5942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10 x 0,5l perlivé vody,</w:t>
      </w:r>
    </w:p>
    <w:p w14:paraId="7CE91489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3 x 0,3l Coca-Cola (ne Pepsi).</w:t>
      </w:r>
    </w:p>
    <w:p w14:paraId="14C5CAA0" w14:textId="77777777" w:rsidR="00D62283" w:rsidRDefault="003A1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káva, čaj,</w:t>
      </w:r>
    </w:p>
    <w:p w14:paraId="02FB2389" w14:textId="77777777" w:rsidR="00D62283" w:rsidRDefault="00BD3F94" w:rsidP="00BD3F9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D3F94">
        <w:rPr>
          <w:rFonts w:ascii="Arial" w:eastAsia="Arial" w:hAnsi="Arial" w:cs="Arial"/>
          <w:b/>
          <w:color w:val="000000"/>
          <w:sz w:val="20"/>
          <w:szCs w:val="18"/>
        </w:rPr>
        <w:t>3.14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3A1AF1">
        <w:rPr>
          <w:rFonts w:ascii="Arial" w:eastAsia="Arial" w:hAnsi="Arial" w:cs="Arial"/>
          <w:b/>
          <w:color w:val="000000"/>
          <w:sz w:val="18"/>
          <w:szCs w:val="18"/>
        </w:rPr>
        <w:t xml:space="preserve">Pořadatel se zavazuje, že v případě, že plánuje pořizovat z vystoupení účinkujícího </w:t>
      </w:r>
      <w:r w:rsidR="003A1AF1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audiovizuální záznam</w:t>
      </w:r>
      <w:r w:rsidR="003A1AF1">
        <w:rPr>
          <w:rFonts w:ascii="Arial" w:eastAsia="Arial" w:hAnsi="Arial" w:cs="Arial"/>
          <w:b/>
          <w:color w:val="000000"/>
          <w:sz w:val="18"/>
          <w:szCs w:val="18"/>
        </w:rPr>
        <w:t>, bude o tom účinkujícího informovat ne později než 30 dnů před vystoupením. Účinkující si vyhrazuje právo nahrávání koncertu odmítnout. Účinkující si také vyhrazuje právo k autorizaci všech těchto pořízených audiovizuálních záznamů. Pořadatel je musí poslat ke schválení vždy min. 7 dní před jejich naplánovaným užitím.</w:t>
      </w:r>
    </w:p>
    <w:p w14:paraId="778EF637" w14:textId="77777777" w:rsidR="00D62283" w:rsidRDefault="00BD3F94" w:rsidP="00BD3F9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3.15 </w:t>
      </w:r>
      <w:r w:rsidR="003A1AF1">
        <w:rPr>
          <w:rFonts w:ascii="Arial" w:eastAsia="Arial" w:hAnsi="Arial" w:cs="Arial"/>
          <w:color w:val="000000"/>
          <w:sz w:val="20"/>
          <w:szCs w:val="20"/>
        </w:rPr>
        <w:t>Pořadatel je povinen vypořádat závazky s OSA a Intergram.</w:t>
      </w:r>
    </w:p>
    <w:p w14:paraId="428885B5" w14:textId="77777777" w:rsidR="00D62283" w:rsidRDefault="00BD3F94" w:rsidP="00BD3F9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3.16 </w:t>
      </w:r>
      <w:r w:rsidR="003A1AF1">
        <w:rPr>
          <w:rFonts w:ascii="Arial" w:eastAsia="Arial" w:hAnsi="Arial" w:cs="Arial"/>
          <w:color w:val="000000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14:paraId="0A7E468D" w14:textId="77777777" w:rsidR="00D62283" w:rsidRDefault="00BD3F94" w:rsidP="00BD3F9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3.17 </w:t>
      </w:r>
      <w:r w:rsidR="003A1AF1">
        <w:rPr>
          <w:rFonts w:ascii="Arial" w:eastAsia="Arial" w:hAnsi="Arial" w:cs="Arial"/>
          <w:color w:val="000000"/>
          <w:sz w:val="20"/>
          <w:szCs w:val="20"/>
        </w:rPr>
        <w:t>Pořadatel se zavazuje poskytnout účinkujícímu prostor (stolek) pro prodej CD, zároveň zamezí jakékoli jiné osobě prodej hudebních nosičů v místě koncertu před, během a po vystoupení. (v případě festivalové produkce pouze prostor pro prodej CD)</w:t>
      </w:r>
    </w:p>
    <w:p w14:paraId="296541E0" w14:textId="77777777" w:rsidR="00D62283" w:rsidRDefault="001B5E8E" w:rsidP="00BD3F9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3.18</w:t>
      </w:r>
      <w:r w:rsidR="00BD3F9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A1AF1">
        <w:rPr>
          <w:rFonts w:ascii="Arial" w:eastAsia="Arial" w:hAnsi="Arial" w:cs="Arial"/>
          <w:color w:val="000000"/>
          <w:sz w:val="20"/>
          <w:szCs w:val="20"/>
        </w:rPr>
        <w:t>Pořadatel se zavazuje poskytnout dva pomocníky na vyložení a naložení hudebního náčiní z/do aut účinkujícího před a po vystoupení.</w:t>
      </w:r>
    </w:p>
    <w:p w14:paraId="2C9D0020" w14:textId="77777777" w:rsidR="00D62283" w:rsidRDefault="00D62283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A859F" w14:textId="77777777" w:rsidR="00D62283" w:rsidRDefault="003A1AF1">
      <w:pPr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Nekonání a odřeknutí vystoupení</w:t>
      </w:r>
    </w:p>
    <w:p w14:paraId="7A84EEDD" w14:textId="77777777" w:rsidR="00D62283" w:rsidRDefault="003A1AF1">
      <w:pPr>
        <w:numPr>
          <w:ilvl w:val="1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Neumožní-li pořadatel v důsledku neodvratitelné události ležící mimo smluvní strany (přírodní katastrofa, epidemie, válečný konflikt, úřední zákaz, ...) účinkujícímu provést své vystoupení v souladu s touto smlouvou, zaniká účinkujícímu v plné výši právo na dohodnutou odměnu.</w:t>
      </w:r>
    </w:p>
    <w:p w14:paraId="58CC86C6" w14:textId="77777777" w:rsidR="00D62283" w:rsidRDefault="003A1AF1">
      <w:pPr>
        <w:numPr>
          <w:ilvl w:val="1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Vznikne-li na základě neodvratitelné události překážka na straně účinkujícího (vážné onemocnění, úraz, úmrtí, ...), která mu neumožní v souladu s touto smlouvou provést své vystoupení, zaniká účinkujícímu v plné výši právo na dohodnutou odměnu a pořadatel není oprávněn po účinkujícím požadovat náhradu škody v důsledku toho vzniklé.</w:t>
      </w:r>
    </w:p>
    <w:p w14:paraId="395B48C0" w14:textId="77777777" w:rsidR="00D62283" w:rsidRDefault="003A1AF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4.3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V případě neuskutečnění se vystoupení zaviněním účinkujícího z důvodu jiného, než který je uveden v bodu 4.2.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je účinkující povinen uhradit pořadateli veškeré jeho náklady související s přípravou, realizací i zrušením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neuskutečněného vystoupení vč. výše přiměřeného zisku, pokud se strany nedohodnou jinak.</w:t>
      </w:r>
    </w:p>
    <w:p w14:paraId="7E02BA06" w14:textId="77777777" w:rsidR="00D62283" w:rsidRDefault="003A1AF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Zruší-li pořadatel vystoupení z jiného důvodu, než-li je uveden v bodě 4.1, je povinen vyplatit účinkujícímu 30 %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 celkové částky honoráře při zrušení smlouvy, následně 50 % z honoráře oznámí-li tuto skutečnost nejpozději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měsíc před datem vystoupení, 75 % oznámí-li zrušení vystoupení nejpozději 14 dní před vystoupením. Oznámí-li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pořadatel účinkujícímu zrušení akce méně než 7 dní před vystoupením, je povinen vyplatit honorář účinkujícímu </w:t>
      </w:r>
      <w:r>
        <w:rPr>
          <w:rFonts w:ascii="Arial" w:eastAsia="Arial" w:hAnsi="Arial" w:cs="Arial"/>
          <w:color w:val="000000"/>
          <w:sz w:val="20"/>
          <w:szCs w:val="20"/>
        </w:rPr>
        <w:tab/>
        <w:t>v plné výši.</w:t>
      </w:r>
    </w:p>
    <w:p w14:paraId="49A774EF" w14:textId="77777777" w:rsidR="00D62283" w:rsidRDefault="00D62283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3DDF4C" w14:textId="77777777" w:rsidR="00D62283" w:rsidRDefault="003A1AF1">
      <w:pPr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14:paraId="38AC44B8" w14:textId="77777777" w:rsidR="00D62283" w:rsidRDefault="003A1AF1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   Tuto smlouvu a její podmínky lze měnit pouze dohodou obou stran v písemné formě.</w:t>
      </w:r>
    </w:p>
    <w:p w14:paraId="43D52614" w14:textId="77777777" w:rsidR="00D62283" w:rsidRDefault="003A1AF1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Veškeré spory plynoucí z této smlouvy a v souvislosti s ní budou řešeny u místně příslušného soudu účinkujícího.</w:t>
      </w:r>
    </w:p>
    <w:p w14:paraId="6322A1EF" w14:textId="77777777" w:rsidR="00D62283" w:rsidRDefault="003A1AF1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Tato smlouva byla vyhotovena ve dvou exemplářích, z nichž jeden obdrží účinkující a jeden pořadatel.</w:t>
      </w:r>
    </w:p>
    <w:p w14:paraId="42AB3167" w14:textId="77777777" w:rsidR="00D62283" w:rsidRDefault="00D6228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C93259E" w14:textId="77777777" w:rsidR="001B5E8E" w:rsidRDefault="001B5E8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416F922" w14:textId="77777777" w:rsidR="001B5E8E" w:rsidRDefault="001B5E8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0608C48" w14:textId="6F777505" w:rsidR="00D62283" w:rsidRDefault="003A1AF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Praze dne </w:t>
      </w:r>
      <w:r w:rsidR="001B5E8E">
        <w:rPr>
          <w:rFonts w:ascii="Arial" w:eastAsia="Arial" w:hAnsi="Arial" w:cs="Arial"/>
          <w:color w:val="000000"/>
          <w:sz w:val="20"/>
          <w:szCs w:val="20"/>
        </w:rPr>
        <w:t>24. 1. 2024</w:t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  <w:t>V Chomutově dne</w:t>
      </w:r>
      <w:r w:rsidR="005F40BB">
        <w:rPr>
          <w:rFonts w:ascii="Arial" w:eastAsia="Arial" w:hAnsi="Arial" w:cs="Arial"/>
          <w:color w:val="000000"/>
          <w:sz w:val="20"/>
          <w:szCs w:val="20"/>
        </w:rPr>
        <w:t xml:space="preserve"> 29.1.2024</w:t>
      </w:r>
    </w:p>
    <w:p w14:paraId="02F2749C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2A703EF8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2F2C6FB6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56C66BC3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1520FF18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2DE6FABC" w14:textId="77777777" w:rsidR="001B5E8E" w:rsidRDefault="001B5E8E">
      <w:pPr>
        <w:spacing w:after="0" w:line="240" w:lineRule="auto"/>
        <w:ind w:firstLine="360"/>
        <w:rPr>
          <w:rFonts w:ascii="Arial" w:eastAsia="Arial" w:hAnsi="Arial" w:cs="Arial"/>
          <w:noProof/>
          <w:color w:val="000000"/>
          <w:sz w:val="20"/>
          <w:szCs w:val="20"/>
        </w:rPr>
      </w:pPr>
    </w:p>
    <w:p w14:paraId="112DCEEC" w14:textId="77777777" w:rsidR="00D62283" w:rsidRDefault="001B5E8E" w:rsidP="001B5E8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</w:t>
      </w:r>
    </w:p>
    <w:p w14:paraId="2567F84C" w14:textId="77777777" w:rsidR="00D62283" w:rsidRDefault="003A1AF1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</w:p>
    <w:p w14:paraId="20AD36CE" w14:textId="77777777" w:rsidR="00D62283" w:rsidRDefault="003A1AF1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účinkující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1B5E8E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pořadatel</w:t>
      </w:r>
    </w:p>
    <w:sectPr w:rsidR="00D62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2" w:right="641" w:bottom="947" w:left="493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81C4" w14:textId="77777777" w:rsidR="004526C7" w:rsidRDefault="004526C7">
      <w:pPr>
        <w:spacing w:after="0" w:line="240" w:lineRule="auto"/>
      </w:pPr>
      <w:r>
        <w:separator/>
      </w:r>
    </w:p>
  </w:endnote>
  <w:endnote w:type="continuationSeparator" w:id="0">
    <w:p w14:paraId="0FB7EBD8" w14:textId="77777777" w:rsidR="004526C7" w:rsidRDefault="0045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6424" w14:textId="77777777" w:rsidR="00D62283" w:rsidRDefault="00D62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D4DA" w14:textId="77777777" w:rsidR="00D62283" w:rsidRDefault="003A1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05"/>
      <w:jc w:val="right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B5E8E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F5F" w14:textId="77777777" w:rsidR="00D62283" w:rsidRDefault="00D62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D9BE" w14:textId="77777777" w:rsidR="004526C7" w:rsidRDefault="004526C7">
      <w:pPr>
        <w:spacing w:after="0" w:line="240" w:lineRule="auto"/>
      </w:pPr>
      <w:r>
        <w:separator/>
      </w:r>
    </w:p>
  </w:footnote>
  <w:footnote w:type="continuationSeparator" w:id="0">
    <w:p w14:paraId="15E59575" w14:textId="77777777" w:rsidR="004526C7" w:rsidRDefault="0045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D262" w14:textId="77777777" w:rsidR="00D62283" w:rsidRDefault="00D62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B13C" w14:textId="77777777" w:rsidR="00D62283" w:rsidRDefault="003A1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color w:val="808080"/>
        <w:sz w:val="16"/>
        <w:szCs w:val="16"/>
      </w:rPr>
      <w:drawing>
        <wp:anchor distT="0" distB="0" distL="0" distR="0" simplePos="0" relativeHeight="251658240" behindDoc="1" locked="0" layoutInCell="1" hidden="0" allowOverlap="1" wp14:anchorId="37E982F8" wp14:editId="145239BD">
          <wp:simplePos x="0" y="0"/>
          <wp:positionH relativeFrom="page">
            <wp:posOffset>313055</wp:posOffset>
          </wp:positionH>
          <wp:positionV relativeFrom="page">
            <wp:posOffset>201930</wp:posOffset>
          </wp:positionV>
          <wp:extent cx="1252538" cy="908921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908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808080"/>
        <w:sz w:val="16"/>
        <w:szCs w:val="16"/>
      </w:rPr>
      <w:t xml:space="preserve">Joe’s Garage </w:t>
    </w:r>
  </w:p>
  <w:p w14:paraId="176E36B2" w14:textId="77777777" w:rsidR="00D62283" w:rsidRDefault="003A1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>Live s.r.o.</w:t>
    </w:r>
  </w:p>
  <w:p w14:paraId="7A3513B7" w14:textId="77777777" w:rsidR="00D62283" w:rsidRDefault="003A1AF1">
    <w:pP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  <w:t>Terronská 873/3</w:t>
    </w:r>
  </w:p>
  <w:p w14:paraId="61425781" w14:textId="77777777" w:rsidR="00D62283" w:rsidRDefault="003A1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>160 00, Praha 6</w:t>
    </w:r>
    <w:r w:rsidR="001B5E8E">
      <w:rPr>
        <w:rFonts w:ascii="Arial Narrow" w:eastAsia="Arial Narrow" w:hAnsi="Arial Narrow" w:cs="Arial Narrow"/>
        <w:color w:val="808080"/>
        <w:sz w:val="20"/>
        <w:szCs w:val="20"/>
      </w:rPr>
      <w:t xml:space="preserve"> </w:t>
    </w:r>
    <w:r>
      <w:rPr>
        <w:rFonts w:ascii="Arial Narrow" w:eastAsia="Arial Narrow" w:hAnsi="Arial Narrow" w:cs="Arial Narrow"/>
        <w:color w:val="808080"/>
        <w:sz w:val="20"/>
        <w:szCs w:val="20"/>
      </w:rPr>
      <w:t>–</w:t>
    </w:r>
    <w:r w:rsidR="001B5E8E">
      <w:rPr>
        <w:rFonts w:ascii="Arial Narrow" w:eastAsia="Arial Narrow" w:hAnsi="Arial Narrow" w:cs="Arial Narrow"/>
        <w:color w:val="808080"/>
        <w:sz w:val="20"/>
        <w:szCs w:val="20"/>
      </w:rPr>
      <w:t xml:space="preserve"> </w:t>
    </w:r>
    <w:r>
      <w:rPr>
        <w:rFonts w:ascii="Arial Narrow" w:eastAsia="Arial Narrow" w:hAnsi="Arial Narrow" w:cs="Arial Narrow"/>
        <w:color w:val="808080"/>
        <w:sz w:val="20"/>
        <w:szCs w:val="20"/>
      </w:rPr>
      <w:t>Bubeneč</w:t>
    </w:r>
  </w:p>
  <w:p w14:paraId="4923CBCD" w14:textId="77777777" w:rsidR="00D62283" w:rsidRDefault="003A1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</w:tabs>
      <w:spacing w:after="0"/>
      <w:ind w:right="140"/>
      <w:jc w:val="right"/>
    </w:pPr>
    <w:r>
      <w:rPr>
        <w:rFonts w:ascii="Arial" w:eastAsia="Arial" w:hAnsi="Arial" w:cs="Arial"/>
        <w:color w:val="999999"/>
        <w:sz w:val="16"/>
        <w:szCs w:val="16"/>
      </w:rPr>
      <w:t>e-mail: booking@agenturajg.cz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4F5B" w14:textId="77777777" w:rsidR="00D62283" w:rsidRDefault="00D62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303"/>
    <w:multiLevelType w:val="multilevel"/>
    <w:tmpl w:val="CA6E9C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" w15:restartNumberingAfterBreak="0">
    <w:nsid w:val="28893800"/>
    <w:multiLevelType w:val="multilevel"/>
    <w:tmpl w:val="1FC41FD6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90975E5"/>
    <w:multiLevelType w:val="multilevel"/>
    <w:tmpl w:val="5C7C6F36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5F9768FF"/>
    <w:multiLevelType w:val="multilevel"/>
    <w:tmpl w:val="954C28D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71E768D3"/>
    <w:multiLevelType w:val="multilevel"/>
    <w:tmpl w:val="80302AAE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7A8D35DF"/>
    <w:multiLevelType w:val="multilevel"/>
    <w:tmpl w:val="F97A7C40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 w16cid:durableId="115149104">
    <w:abstractNumId w:val="5"/>
  </w:num>
  <w:num w:numId="2" w16cid:durableId="743380621">
    <w:abstractNumId w:val="0"/>
  </w:num>
  <w:num w:numId="3" w16cid:durableId="1645040175">
    <w:abstractNumId w:val="1"/>
  </w:num>
  <w:num w:numId="4" w16cid:durableId="788936023">
    <w:abstractNumId w:val="3"/>
  </w:num>
  <w:num w:numId="5" w16cid:durableId="1109085806">
    <w:abstractNumId w:val="4"/>
  </w:num>
  <w:num w:numId="6" w16cid:durableId="168748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83"/>
    <w:rsid w:val="001B5E8E"/>
    <w:rsid w:val="001B7DF6"/>
    <w:rsid w:val="003A1AF1"/>
    <w:rsid w:val="004526C7"/>
    <w:rsid w:val="004A2C5C"/>
    <w:rsid w:val="004B5E80"/>
    <w:rsid w:val="005F40BB"/>
    <w:rsid w:val="00BD3F94"/>
    <w:rsid w:val="00C85715"/>
    <w:rsid w:val="00D62283"/>
    <w:rsid w:val="00D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76A6"/>
  <w15:docId w15:val="{F056FCD8-498E-441C-9335-6CB0AE9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iZyVMProWSOOVET6JF1PmROxA==">CgMxLjAyCGguZ2pkZ3hzMgloLjMwajB6bGwyCWguMWZvYjl0ZTgAciExWmlSVjRxQXpxV3o2YWR5MFlXQ2tuVkltQ2czTmtfZ3Y=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Lesner</dc:creator>
  <cp:lastModifiedBy>Jaroslava Richterová - Smluvní vztahy</cp:lastModifiedBy>
  <cp:revision>4</cp:revision>
  <cp:lastPrinted>2024-01-24T09:30:00Z</cp:lastPrinted>
  <dcterms:created xsi:type="dcterms:W3CDTF">2024-02-23T08:09:00Z</dcterms:created>
  <dcterms:modified xsi:type="dcterms:W3CDTF">2024-02-23T08:11:00Z</dcterms:modified>
</cp:coreProperties>
</file>