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35EF8" w14:textId="77777777" w:rsidR="00FA7261" w:rsidRPr="00FA7261" w:rsidRDefault="00FA7261" w:rsidP="0022256F">
      <w:pPr>
        <w:jc w:val="center"/>
        <w:rPr>
          <w:b/>
          <w:sz w:val="36"/>
          <w:szCs w:val="36"/>
        </w:rPr>
      </w:pPr>
      <w:r w:rsidRPr="00FA7261">
        <w:rPr>
          <w:b/>
          <w:sz w:val="36"/>
          <w:szCs w:val="36"/>
        </w:rPr>
        <w:t>Smlouva</w:t>
      </w:r>
      <w:r w:rsidR="00341129">
        <w:rPr>
          <w:b/>
          <w:sz w:val="36"/>
          <w:szCs w:val="36"/>
        </w:rPr>
        <w:t xml:space="preserve"> o účasti na řešení projektu</w:t>
      </w:r>
    </w:p>
    <w:p w14:paraId="5E8F2BF4" w14:textId="77777777" w:rsidR="003E0F53" w:rsidRPr="00B45332" w:rsidRDefault="00341129" w:rsidP="00A7534A">
      <w:pPr>
        <w:autoSpaceDE w:val="0"/>
        <w:autoSpaceDN w:val="0"/>
        <w:adjustRightInd w:val="0"/>
        <w:jc w:val="center"/>
        <w:rPr>
          <w:sz w:val="28"/>
          <w:szCs w:val="28"/>
        </w:rPr>
      </w:pPr>
      <w:r w:rsidRPr="00341129">
        <w:rPr>
          <w:b/>
          <w:sz w:val="28"/>
          <w:szCs w:val="28"/>
        </w:rPr>
        <w:t>Q</w:t>
      </w:r>
      <w:r w:rsidR="00411F80">
        <w:rPr>
          <w:b/>
          <w:sz w:val="28"/>
          <w:szCs w:val="28"/>
        </w:rPr>
        <w:t>L240</w:t>
      </w:r>
      <w:r w:rsidR="00A7534A">
        <w:rPr>
          <w:b/>
          <w:sz w:val="28"/>
          <w:szCs w:val="28"/>
        </w:rPr>
        <w:t>2</w:t>
      </w:r>
      <w:r w:rsidR="00411F80">
        <w:rPr>
          <w:b/>
          <w:sz w:val="28"/>
          <w:szCs w:val="28"/>
        </w:rPr>
        <w:t>0</w:t>
      </w:r>
      <w:r w:rsidR="00A7534A">
        <w:rPr>
          <w:b/>
          <w:sz w:val="28"/>
          <w:szCs w:val="28"/>
        </w:rPr>
        <w:t>351</w:t>
      </w:r>
      <w:r w:rsidR="003E0F53" w:rsidRPr="00341129">
        <w:rPr>
          <w:b/>
          <w:sz w:val="28"/>
          <w:szCs w:val="28"/>
        </w:rPr>
        <w:t xml:space="preserve"> </w:t>
      </w:r>
      <w:r w:rsidR="00282BBB">
        <w:rPr>
          <w:b/>
          <w:sz w:val="28"/>
          <w:szCs w:val="28"/>
        </w:rPr>
        <w:t>–</w:t>
      </w:r>
      <w:r w:rsidRPr="00341129">
        <w:rPr>
          <w:b/>
          <w:sz w:val="28"/>
          <w:szCs w:val="28"/>
        </w:rPr>
        <w:t xml:space="preserve"> </w:t>
      </w:r>
      <w:r w:rsidR="00282BBB">
        <w:rPr>
          <w:b/>
          <w:sz w:val="28"/>
          <w:szCs w:val="28"/>
        </w:rPr>
        <w:t>„</w:t>
      </w:r>
      <w:r w:rsidR="00A7534A" w:rsidRPr="00A7534A">
        <w:rPr>
          <w:b/>
          <w:sz w:val="28"/>
          <w:szCs w:val="28"/>
        </w:rPr>
        <w:t xml:space="preserve">Aktualizace Lesnicko-typologického klasifikačního systému včetně stanovení předpokládaného vývoje lesních vegetačních stupňů s vyhodnocením vlivu </w:t>
      </w:r>
      <w:proofErr w:type="spellStart"/>
      <w:r w:rsidR="00A7534A" w:rsidRPr="00A7534A">
        <w:rPr>
          <w:b/>
          <w:sz w:val="28"/>
          <w:szCs w:val="28"/>
        </w:rPr>
        <w:t>mezo</w:t>
      </w:r>
      <w:proofErr w:type="spellEnd"/>
      <w:r w:rsidR="00A7534A" w:rsidRPr="00A7534A">
        <w:rPr>
          <w:b/>
          <w:sz w:val="28"/>
          <w:szCs w:val="28"/>
        </w:rPr>
        <w:t xml:space="preserve"> a mikroklimatu s ohledem na probíhající klimatické změny a jejich predikce</w:t>
      </w:r>
      <w:r w:rsidR="00282BBB" w:rsidRPr="00B45332">
        <w:rPr>
          <w:b/>
          <w:sz w:val="28"/>
          <w:szCs w:val="28"/>
        </w:rPr>
        <w:t>“</w:t>
      </w:r>
    </w:p>
    <w:p w14:paraId="35962401" w14:textId="77777777" w:rsidR="00FA7261" w:rsidRDefault="00FA7261"/>
    <w:p w14:paraId="5BF01793" w14:textId="77777777" w:rsidR="00341129" w:rsidRDefault="00341129"/>
    <w:p w14:paraId="24C53ABF" w14:textId="77777777" w:rsidR="00FA7261" w:rsidRPr="00A86CA4" w:rsidRDefault="00FA7261" w:rsidP="00A86CA4">
      <w:pPr>
        <w:jc w:val="center"/>
        <w:rPr>
          <w:b/>
        </w:rPr>
      </w:pPr>
      <w:r w:rsidRPr="00A86CA4">
        <w:rPr>
          <w:b/>
        </w:rPr>
        <w:t>Smluvní strany</w:t>
      </w:r>
    </w:p>
    <w:p w14:paraId="3D6B6AC8" w14:textId="77777777" w:rsidR="00FA7261" w:rsidRDefault="00FA7261"/>
    <w:p w14:paraId="5CEC59BD" w14:textId="77777777" w:rsidR="00FA7261" w:rsidRDefault="00617670" w:rsidP="00FA7261">
      <w:pPr>
        <w:numPr>
          <w:ilvl w:val="0"/>
          <w:numId w:val="1"/>
        </w:numPr>
        <w:tabs>
          <w:tab w:val="clear" w:pos="720"/>
          <w:tab w:val="num" w:pos="360"/>
        </w:tabs>
        <w:ind w:left="360"/>
      </w:pPr>
      <w:r>
        <w:rPr>
          <w:b/>
        </w:rPr>
        <w:t>P</w:t>
      </w:r>
      <w:r w:rsidR="00FA7261" w:rsidRPr="00A86CA4">
        <w:rPr>
          <w:b/>
        </w:rPr>
        <w:t>říjemce</w:t>
      </w:r>
      <w:r w:rsidR="00A86CA4">
        <w:t>:</w:t>
      </w:r>
    </w:p>
    <w:p w14:paraId="723B94C1" w14:textId="77777777" w:rsidR="00A86CA4" w:rsidRPr="00BD2D4B" w:rsidRDefault="00A86CA4" w:rsidP="00A86CA4">
      <w:pPr>
        <w:ind w:left="360"/>
        <w:rPr>
          <w:b/>
        </w:rPr>
      </w:pPr>
      <w:r w:rsidRPr="00BD2D4B">
        <w:rPr>
          <w:b/>
        </w:rPr>
        <w:t>Výzkumný ústav lesního h</w:t>
      </w:r>
      <w:r w:rsidR="00B45332">
        <w:rPr>
          <w:b/>
        </w:rPr>
        <w:t xml:space="preserve">ospodářství a myslivosti, </w:t>
      </w:r>
      <w:proofErr w:type="spellStart"/>
      <w:proofErr w:type="gramStart"/>
      <w:r w:rsidR="00B45332">
        <w:rPr>
          <w:b/>
        </w:rPr>
        <w:t>v.v.</w:t>
      </w:r>
      <w:proofErr w:type="gramEnd"/>
      <w:r w:rsidR="00B45332">
        <w:rPr>
          <w:b/>
        </w:rPr>
        <w:t>i</w:t>
      </w:r>
      <w:proofErr w:type="spellEnd"/>
      <w:r w:rsidR="00B45332">
        <w:rPr>
          <w:b/>
        </w:rPr>
        <w:t>.</w:t>
      </w:r>
    </w:p>
    <w:p w14:paraId="72C69BEF" w14:textId="77777777" w:rsidR="00A86CA4" w:rsidRDefault="00A86CA4" w:rsidP="00A86CA4">
      <w:pPr>
        <w:ind w:left="360"/>
      </w:pPr>
      <w:r>
        <w:t>se sídlem Strnady 136, 252 02 Jíloviště</w:t>
      </w:r>
    </w:p>
    <w:p w14:paraId="48590859" w14:textId="77777777" w:rsidR="00A86CA4" w:rsidRDefault="00A86CA4" w:rsidP="00A86CA4">
      <w:pPr>
        <w:ind w:left="360"/>
      </w:pPr>
      <w:r>
        <w:t>IČ</w:t>
      </w:r>
      <w:r w:rsidR="00473CEF">
        <w:t>O</w:t>
      </w:r>
      <w:r>
        <w:t>: 00020702</w:t>
      </w:r>
    </w:p>
    <w:p w14:paraId="1AA22729" w14:textId="77777777" w:rsidR="00A86CA4" w:rsidRDefault="00A86CA4" w:rsidP="00A86CA4">
      <w:pPr>
        <w:ind w:left="360"/>
      </w:pPr>
      <w:r>
        <w:t>DIČ: CZ00020702</w:t>
      </w:r>
    </w:p>
    <w:p w14:paraId="59C507CA" w14:textId="77777777" w:rsidR="00A86CA4" w:rsidRDefault="00935A70" w:rsidP="00A86CA4">
      <w:pPr>
        <w:ind w:left="360"/>
      </w:pPr>
      <w:r>
        <w:t>Z</w:t>
      </w:r>
      <w:r w:rsidR="00A86CA4">
        <w:t>astoupený</w:t>
      </w:r>
      <w:r>
        <w:t>:</w:t>
      </w:r>
      <w:r w:rsidR="00A86CA4">
        <w:t xml:space="preserve"> doc. </w:t>
      </w:r>
      <w:r w:rsidR="00BD2D4B">
        <w:t>Ing. Vítem Šrámkem, Ph.D.</w:t>
      </w:r>
      <w:r w:rsidR="00797C98">
        <w:t>, ředitelem</w:t>
      </w:r>
    </w:p>
    <w:p w14:paraId="76C8BD8D" w14:textId="2617DE14" w:rsidR="003973A2" w:rsidRDefault="00A86CA4" w:rsidP="00A86CA4">
      <w:pPr>
        <w:ind w:left="360"/>
      </w:pPr>
      <w:r w:rsidRPr="00F017D9">
        <w:t>odpovědný řešitel:</w:t>
      </w:r>
      <w:r w:rsidR="00FB5B84">
        <w:t xml:space="preserve"> </w:t>
      </w:r>
      <w:proofErr w:type="spellStart"/>
      <w:r w:rsidR="00FB5B84">
        <w:t>xxx</w:t>
      </w:r>
      <w:proofErr w:type="spellEnd"/>
    </w:p>
    <w:p w14:paraId="0E1CBD04" w14:textId="34CBEA44" w:rsidR="00A86CA4" w:rsidRDefault="009017FE" w:rsidP="00A86CA4">
      <w:pPr>
        <w:ind w:left="360"/>
      </w:pPr>
      <w:r>
        <w:t xml:space="preserve">bankovní spojení: </w:t>
      </w:r>
      <w:proofErr w:type="spellStart"/>
      <w:r w:rsidR="00FB5B84">
        <w:t>xxx</w:t>
      </w:r>
      <w:proofErr w:type="spellEnd"/>
    </w:p>
    <w:p w14:paraId="7F8C006A" w14:textId="476D1179" w:rsidR="00A86CA4" w:rsidRDefault="00B45332" w:rsidP="00A86CA4">
      <w:pPr>
        <w:ind w:left="360"/>
      </w:pPr>
      <w:r>
        <w:tab/>
      </w:r>
      <w:r>
        <w:tab/>
      </w:r>
      <w:r>
        <w:tab/>
        <w:t xml:space="preserve">číslo účtu </w:t>
      </w:r>
      <w:proofErr w:type="spellStart"/>
      <w:r w:rsidR="00FB5B84">
        <w:t>xxx</w:t>
      </w:r>
      <w:proofErr w:type="spellEnd"/>
    </w:p>
    <w:p w14:paraId="38F8EB07" w14:textId="2EBB4B29" w:rsidR="00A86CA4" w:rsidRDefault="00A86CA4" w:rsidP="00A86CA4">
      <w:pPr>
        <w:ind w:left="360"/>
      </w:pPr>
      <w:r>
        <w:t xml:space="preserve">(dále jen </w:t>
      </w:r>
      <w:r w:rsidR="005A07FF">
        <w:t>„</w:t>
      </w:r>
      <w:r w:rsidRPr="00A86CA4">
        <w:rPr>
          <w:i/>
          <w:u w:val="single"/>
        </w:rPr>
        <w:t>příjemce</w:t>
      </w:r>
      <w:r w:rsidR="005A07FF">
        <w:rPr>
          <w:i/>
          <w:u w:val="single"/>
        </w:rPr>
        <w:t>“</w:t>
      </w:r>
      <w:r>
        <w:t>)</w:t>
      </w:r>
    </w:p>
    <w:p w14:paraId="405D4396" w14:textId="77777777" w:rsidR="00A86CA4" w:rsidRDefault="00A86CA4" w:rsidP="00A86CA4">
      <w:pPr>
        <w:jc w:val="center"/>
      </w:pPr>
      <w:r>
        <w:t>a</w:t>
      </w:r>
    </w:p>
    <w:p w14:paraId="54F69560" w14:textId="77777777" w:rsidR="00A86CA4" w:rsidRDefault="00A86CA4" w:rsidP="00A86CA4"/>
    <w:p w14:paraId="12CD7372" w14:textId="77777777" w:rsidR="00FA7261" w:rsidRPr="0070674F" w:rsidRDefault="0044279B" w:rsidP="00FA7261">
      <w:pPr>
        <w:numPr>
          <w:ilvl w:val="0"/>
          <w:numId w:val="1"/>
        </w:numPr>
        <w:tabs>
          <w:tab w:val="clear" w:pos="720"/>
          <w:tab w:val="num" w:pos="360"/>
        </w:tabs>
        <w:ind w:left="360"/>
      </w:pPr>
      <w:r w:rsidRPr="0070674F">
        <w:rPr>
          <w:b/>
        </w:rPr>
        <w:t>další účastník projektu</w:t>
      </w:r>
      <w:r w:rsidR="00A86CA4" w:rsidRPr="0070674F">
        <w:t>:</w:t>
      </w:r>
    </w:p>
    <w:p w14:paraId="6ED2A1A5" w14:textId="77777777" w:rsidR="00F000E4" w:rsidRPr="00F017D9" w:rsidRDefault="000454D1" w:rsidP="00A86CA4">
      <w:pPr>
        <w:ind w:left="360"/>
      </w:pPr>
      <w:r>
        <w:rPr>
          <w:b/>
          <w:bCs/>
        </w:rPr>
        <w:t>Mendelova univerzita v Brně</w:t>
      </w:r>
      <w:r w:rsidR="00473CEF" w:rsidRPr="004955F3">
        <w:rPr>
          <w:b/>
          <w:bCs/>
        </w:rPr>
        <w:br/>
      </w:r>
      <w:r w:rsidR="00935A70">
        <w:t xml:space="preserve">se </w:t>
      </w:r>
      <w:r w:rsidR="00585B8C" w:rsidRPr="00F017D9">
        <w:t>s</w:t>
      </w:r>
      <w:r w:rsidR="00F017D9" w:rsidRPr="00F017D9">
        <w:t>ídl</w:t>
      </w:r>
      <w:r w:rsidR="00935A70">
        <w:t>em</w:t>
      </w:r>
      <w:r w:rsidR="00B45332">
        <w:t xml:space="preserve">: </w:t>
      </w:r>
      <w:r>
        <w:t>Zemědělská 1665/1, 613 00 Brno – Černá Pole</w:t>
      </w:r>
    </w:p>
    <w:p w14:paraId="219030DA" w14:textId="77777777" w:rsidR="00F000E4" w:rsidRPr="00F017D9" w:rsidRDefault="0044279B" w:rsidP="00A86CA4">
      <w:pPr>
        <w:ind w:left="360"/>
      </w:pPr>
      <w:r w:rsidRPr="00F017D9">
        <w:t>IČ</w:t>
      </w:r>
      <w:r w:rsidR="00473CEF">
        <w:t>O</w:t>
      </w:r>
      <w:r w:rsidRPr="00F017D9">
        <w:t>:</w:t>
      </w:r>
      <w:r w:rsidR="00473CEF">
        <w:t xml:space="preserve"> </w:t>
      </w:r>
      <w:r w:rsidR="000454D1">
        <w:t>62156489</w:t>
      </w:r>
    </w:p>
    <w:p w14:paraId="33AEE30D" w14:textId="77777777" w:rsidR="00F2466D" w:rsidRPr="00F017D9" w:rsidRDefault="00282BBB" w:rsidP="00A86CA4">
      <w:pPr>
        <w:ind w:left="360"/>
      </w:pPr>
      <w:r>
        <w:t xml:space="preserve">DIČ: </w:t>
      </w:r>
      <w:r w:rsidR="000454D1">
        <w:t>CZ62156489</w:t>
      </w:r>
    </w:p>
    <w:p w14:paraId="57494AFA" w14:textId="78C1570E" w:rsidR="0070674F" w:rsidRPr="00F017D9" w:rsidRDefault="00804DEF" w:rsidP="00A86CA4">
      <w:pPr>
        <w:ind w:left="360"/>
      </w:pPr>
      <w:r w:rsidRPr="00F017D9">
        <w:t>z</w:t>
      </w:r>
      <w:r w:rsidR="0044279B" w:rsidRPr="00F017D9">
        <w:t>astoupený</w:t>
      </w:r>
      <w:r w:rsidRPr="00F017D9">
        <w:t>:</w:t>
      </w:r>
      <w:r w:rsidR="004D1D98">
        <w:t xml:space="preserve"> prof.</w:t>
      </w:r>
      <w:r w:rsidR="000454D1">
        <w:t xml:space="preserve"> Dr. Ing. Janem Marešem</w:t>
      </w:r>
      <w:r w:rsidR="0056198F">
        <w:t>,</w:t>
      </w:r>
      <w:r w:rsidR="004D1D98">
        <w:t xml:space="preserve"> rektor</w:t>
      </w:r>
      <w:r w:rsidR="000454D1">
        <w:t>em</w:t>
      </w:r>
      <w:r w:rsidR="004D1D98">
        <w:t xml:space="preserve"> </w:t>
      </w:r>
    </w:p>
    <w:p w14:paraId="31CE502F" w14:textId="737B22AD" w:rsidR="00F000E4" w:rsidRPr="00F017D9" w:rsidRDefault="00F000E4" w:rsidP="00A86CA4">
      <w:pPr>
        <w:ind w:left="360"/>
      </w:pPr>
      <w:r w:rsidRPr="00F017D9">
        <w:t>odpověd</w:t>
      </w:r>
      <w:r w:rsidR="00282BBB">
        <w:t>ný za řešení:</w:t>
      </w:r>
      <w:r w:rsidR="00B45332">
        <w:t xml:space="preserve"> </w:t>
      </w:r>
      <w:proofErr w:type="spellStart"/>
      <w:r w:rsidR="00FB5B84">
        <w:t>xxx</w:t>
      </w:r>
      <w:proofErr w:type="spellEnd"/>
    </w:p>
    <w:p w14:paraId="52E6DC1C" w14:textId="301A5BA1" w:rsidR="00F000E4" w:rsidRPr="000928C7" w:rsidRDefault="00F000E4" w:rsidP="004F03AB">
      <w:pPr>
        <w:ind w:left="360"/>
      </w:pPr>
      <w:r w:rsidRPr="000928C7">
        <w:t>ban</w:t>
      </w:r>
      <w:r w:rsidR="00CF6360" w:rsidRPr="000928C7">
        <w:t>kovní spojen</w:t>
      </w:r>
      <w:r w:rsidR="000706B3">
        <w:t xml:space="preserve">í: </w:t>
      </w:r>
      <w:proofErr w:type="spellStart"/>
      <w:r w:rsidR="00FB5B84">
        <w:t>xxx</w:t>
      </w:r>
      <w:proofErr w:type="spellEnd"/>
    </w:p>
    <w:p w14:paraId="7D97117C" w14:textId="0F4EBDB0" w:rsidR="00A74C2A" w:rsidRDefault="00F000E4" w:rsidP="00A86CA4">
      <w:pPr>
        <w:ind w:left="360"/>
      </w:pPr>
      <w:r w:rsidRPr="000928C7">
        <w:t>číslo úč</w:t>
      </w:r>
      <w:r w:rsidR="0044279B" w:rsidRPr="000928C7">
        <w:t>tu</w:t>
      </w:r>
      <w:r w:rsidR="000706B3">
        <w:t xml:space="preserve">: </w:t>
      </w:r>
      <w:proofErr w:type="spellStart"/>
      <w:r w:rsidR="00FB5B84">
        <w:t>xxxx</w:t>
      </w:r>
      <w:proofErr w:type="spellEnd"/>
    </w:p>
    <w:p w14:paraId="2786B0CB" w14:textId="623F3F15" w:rsidR="00F000E4" w:rsidRPr="0070674F" w:rsidRDefault="00F000E4" w:rsidP="00A86CA4">
      <w:pPr>
        <w:ind w:left="360"/>
      </w:pPr>
      <w:r w:rsidRPr="0070674F">
        <w:t xml:space="preserve">(dále jen </w:t>
      </w:r>
      <w:r w:rsidR="005A07FF">
        <w:t>„</w:t>
      </w:r>
      <w:r w:rsidR="00F2466D" w:rsidRPr="00F2466D">
        <w:rPr>
          <w:i/>
          <w:u w:val="single"/>
        </w:rPr>
        <w:t>další účastník</w:t>
      </w:r>
      <w:r w:rsidR="00F2466D">
        <w:t>“</w:t>
      </w:r>
      <w:r w:rsidRPr="0070674F">
        <w:t>)</w:t>
      </w:r>
    </w:p>
    <w:p w14:paraId="75392134" w14:textId="77777777" w:rsidR="00F000E4" w:rsidRDefault="00F000E4" w:rsidP="00A86CA4">
      <w:pPr>
        <w:ind w:left="360"/>
      </w:pPr>
    </w:p>
    <w:p w14:paraId="2BBBB058" w14:textId="77777777" w:rsidR="00101853" w:rsidRDefault="00D41323" w:rsidP="00A86CA4">
      <w:pPr>
        <w:ind w:left="360"/>
      </w:pPr>
      <w:r>
        <w:t>(společně dále také jako „</w:t>
      </w:r>
      <w:r w:rsidRPr="00367380">
        <w:rPr>
          <w:i/>
          <w:u w:val="single"/>
        </w:rPr>
        <w:t>smluvní strany</w:t>
      </w:r>
      <w:r>
        <w:t>“ nebo samostatně jako „</w:t>
      </w:r>
      <w:r w:rsidRPr="00367380">
        <w:rPr>
          <w:i/>
          <w:u w:val="single"/>
        </w:rPr>
        <w:t>smluvní strana</w:t>
      </w:r>
      <w:r>
        <w:t>“)</w:t>
      </w:r>
    </w:p>
    <w:p w14:paraId="5A68DB89" w14:textId="77777777" w:rsidR="00D41323" w:rsidRDefault="00D41323" w:rsidP="00177030">
      <w:pPr>
        <w:ind w:left="360"/>
        <w:jc w:val="center"/>
        <w:rPr>
          <w:b/>
        </w:rPr>
      </w:pPr>
    </w:p>
    <w:p w14:paraId="03BB001F" w14:textId="26474384" w:rsidR="00253F73" w:rsidRPr="00253F73" w:rsidRDefault="008F6FFB" w:rsidP="008F6FFB">
      <w:pPr>
        <w:ind w:left="360"/>
        <w:jc w:val="both"/>
      </w:pPr>
      <w:r w:rsidRPr="00253F73">
        <w:t>uzavírají dle § 1746 odst. 2 zákona č. 89/2012 Sb., občanský zákoník, ve znění pozdějších předpisů</w:t>
      </w:r>
      <w:r w:rsidR="00253F73" w:rsidRPr="00253F73">
        <w:t xml:space="preserve"> (dále též „občanský zákoník“), smlouvu následujícího znění:</w:t>
      </w:r>
    </w:p>
    <w:p w14:paraId="38006793" w14:textId="77777777" w:rsidR="008F6FFB" w:rsidRDefault="008F6FFB" w:rsidP="008F6FFB">
      <w:pPr>
        <w:ind w:left="360"/>
        <w:jc w:val="both"/>
        <w:rPr>
          <w:b/>
        </w:rPr>
      </w:pPr>
      <w:r>
        <w:rPr>
          <w:b/>
        </w:rPr>
        <w:t xml:space="preserve"> </w:t>
      </w:r>
    </w:p>
    <w:p w14:paraId="029242BB" w14:textId="77777777" w:rsidR="007B7A70" w:rsidRDefault="007B7A70" w:rsidP="008F6FFB">
      <w:pPr>
        <w:ind w:left="360"/>
        <w:jc w:val="both"/>
        <w:rPr>
          <w:b/>
        </w:rPr>
      </w:pPr>
    </w:p>
    <w:p w14:paraId="4016A89F" w14:textId="77777777" w:rsidR="00690E7B" w:rsidRPr="00460BA4" w:rsidRDefault="00690E7B" w:rsidP="00177030">
      <w:pPr>
        <w:ind w:left="360"/>
        <w:jc w:val="center"/>
        <w:rPr>
          <w:b/>
        </w:rPr>
      </w:pPr>
      <w:r w:rsidRPr="00460BA4">
        <w:rPr>
          <w:b/>
        </w:rPr>
        <w:t>I.</w:t>
      </w:r>
    </w:p>
    <w:p w14:paraId="404FA771" w14:textId="77777777" w:rsidR="00177030" w:rsidRPr="00460BA4" w:rsidRDefault="00177030" w:rsidP="00177030">
      <w:pPr>
        <w:ind w:left="360"/>
        <w:jc w:val="center"/>
        <w:rPr>
          <w:b/>
        </w:rPr>
      </w:pPr>
      <w:r w:rsidRPr="00460BA4">
        <w:rPr>
          <w:b/>
        </w:rPr>
        <w:t>Předmět a účel smlouvy</w:t>
      </w:r>
      <w:r w:rsidR="007F7691">
        <w:rPr>
          <w:b/>
        </w:rPr>
        <w:t>, doba řešení projektu</w:t>
      </w:r>
    </w:p>
    <w:p w14:paraId="4AD77610" w14:textId="77777777" w:rsidR="00177030" w:rsidRDefault="00177030" w:rsidP="00177030">
      <w:pPr>
        <w:ind w:left="360"/>
        <w:jc w:val="center"/>
      </w:pPr>
    </w:p>
    <w:p w14:paraId="46D91FC0" w14:textId="77777777" w:rsidR="00690E7B" w:rsidRPr="00493FAE" w:rsidRDefault="00690E7B" w:rsidP="0079034D">
      <w:pPr>
        <w:numPr>
          <w:ilvl w:val="0"/>
          <w:numId w:val="2"/>
        </w:numPr>
        <w:tabs>
          <w:tab w:val="clear" w:pos="720"/>
          <w:tab w:val="num" w:pos="426"/>
        </w:tabs>
        <w:ind w:left="426" w:hanging="426"/>
        <w:jc w:val="both"/>
      </w:pPr>
      <w:r w:rsidRPr="00F017D9">
        <w:t xml:space="preserve">Na základě ustanovení </w:t>
      </w:r>
      <w:r w:rsidR="00312A14">
        <w:t xml:space="preserve">Smlouvy o poskytnutí podpory na řešení projektu </w:t>
      </w:r>
      <w:r w:rsidR="00804DEF" w:rsidRPr="00493FAE">
        <w:t>č</w:t>
      </w:r>
      <w:r w:rsidRPr="00493FAE">
        <w:t>.</w:t>
      </w:r>
      <w:r w:rsidR="00804DEF" w:rsidRPr="00493FAE">
        <w:t xml:space="preserve"> Q</w:t>
      </w:r>
      <w:r w:rsidR="00E76036">
        <w:t>L</w:t>
      </w:r>
      <w:r w:rsidR="007772A5" w:rsidRPr="00493FAE">
        <w:t>2</w:t>
      </w:r>
      <w:r w:rsidR="00E76036">
        <w:t>4</w:t>
      </w:r>
      <w:r w:rsidR="00282BBB" w:rsidRPr="00493FAE">
        <w:t>0</w:t>
      </w:r>
      <w:r w:rsidR="00A7534A">
        <w:t>2</w:t>
      </w:r>
      <w:r w:rsidR="00493FAE" w:rsidRPr="00493FAE">
        <w:t>0</w:t>
      </w:r>
      <w:r w:rsidR="00A7534A">
        <w:t>351</w:t>
      </w:r>
      <w:r w:rsidR="00367380" w:rsidRPr="00493FAE">
        <w:t xml:space="preserve">, </w:t>
      </w:r>
      <w:r w:rsidRPr="00493FAE">
        <w:t xml:space="preserve">kterou uzavřel příjemce s poskytovatelem dotační podpory ČR – Ministerstvem zemědělství, se sídlem </w:t>
      </w:r>
      <w:proofErr w:type="spellStart"/>
      <w:r w:rsidRPr="00493FAE">
        <w:t>Těšnov</w:t>
      </w:r>
      <w:proofErr w:type="spellEnd"/>
      <w:r w:rsidRPr="00493FAE">
        <w:t xml:space="preserve"> 17, 117 05 Praha 1, zastoupen</w:t>
      </w:r>
      <w:r w:rsidR="00F2466D" w:rsidRPr="00493FAE">
        <w:t>ým</w:t>
      </w:r>
      <w:r w:rsidRPr="00493FAE">
        <w:t xml:space="preserve"> Ing. </w:t>
      </w:r>
      <w:r w:rsidR="00804DEF" w:rsidRPr="00493FAE">
        <w:t>P</w:t>
      </w:r>
      <w:r w:rsidR="00953CD3">
        <w:t>etrem</w:t>
      </w:r>
      <w:r w:rsidR="00804DEF" w:rsidRPr="00493FAE">
        <w:t xml:space="preserve"> </w:t>
      </w:r>
      <w:r w:rsidR="00953CD3">
        <w:t>Jílkem</w:t>
      </w:r>
      <w:r w:rsidRPr="00493FAE">
        <w:t xml:space="preserve">, náměstkem ministra </w:t>
      </w:r>
      <w:r w:rsidR="0044279B" w:rsidRPr="00493FAE">
        <w:t xml:space="preserve">pro </w:t>
      </w:r>
      <w:r w:rsidR="00381801" w:rsidRPr="00493FAE">
        <w:t>řízení Sekce</w:t>
      </w:r>
      <w:r w:rsidR="00F2466D" w:rsidRPr="00493FAE">
        <w:t xml:space="preserve"> </w:t>
      </w:r>
      <w:r w:rsidR="00953CD3">
        <w:t>ekologického zemědělství, komodit,</w:t>
      </w:r>
      <w:r w:rsidR="00804DEF" w:rsidRPr="00493FAE">
        <w:t xml:space="preserve"> výzkum</w:t>
      </w:r>
      <w:r w:rsidR="00953CD3">
        <w:t>u</w:t>
      </w:r>
      <w:r w:rsidR="00804DEF" w:rsidRPr="00493FAE">
        <w:t xml:space="preserve"> a vzdělávání</w:t>
      </w:r>
      <w:r w:rsidR="0044279B" w:rsidRPr="00493FAE">
        <w:t xml:space="preserve"> </w:t>
      </w:r>
      <w:r w:rsidRPr="00493FAE">
        <w:t>(dále jen „</w:t>
      </w:r>
      <w:r w:rsidRPr="00493FAE">
        <w:rPr>
          <w:i/>
          <w:u w:val="single"/>
        </w:rPr>
        <w:t>poskytovatel</w:t>
      </w:r>
      <w:r w:rsidRPr="00493FAE">
        <w:t xml:space="preserve">“), uzavírají </w:t>
      </w:r>
      <w:r w:rsidR="009E5746" w:rsidRPr="00493FAE">
        <w:t>p</w:t>
      </w:r>
      <w:r w:rsidR="00CD4E3E" w:rsidRPr="00493FAE">
        <w:t>říjemce</w:t>
      </w:r>
      <w:r w:rsidRPr="00493FAE">
        <w:t xml:space="preserve"> a </w:t>
      </w:r>
      <w:r w:rsidR="00F2466D" w:rsidRPr="00493FAE">
        <w:t>další účastník</w:t>
      </w:r>
      <w:r w:rsidRPr="00493FAE">
        <w:t xml:space="preserve"> </w:t>
      </w:r>
      <w:r w:rsidR="005E4254" w:rsidRPr="00493FAE">
        <w:t xml:space="preserve">projektu </w:t>
      </w:r>
      <w:r w:rsidRPr="00493FAE">
        <w:t xml:space="preserve">tuto </w:t>
      </w:r>
      <w:r w:rsidR="00737CA0" w:rsidRPr="00493FAE">
        <w:t>„</w:t>
      </w:r>
      <w:r w:rsidR="00CD4E3E" w:rsidRPr="00493FAE">
        <w:t>S</w:t>
      </w:r>
      <w:r w:rsidRPr="00493FAE">
        <w:t>mlouvu o</w:t>
      </w:r>
      <w:r w:rsidR="007772A5" w:rsidRPr="00493FAE">
        <w:t xml:space="preserve"> účasti na řešení projektu</w:t>
      </w:r>
      <w:r w:rsidR="00312A14">
        <w:t xml:space="preserve"> č.</w:t>
      </w:r>
      <w:r w:rsidR="007772A5" w:rsidRPr="00493FAE">
        <w:t xml:space="preserve"> Q</w:t>
      </w:r>
      <w:r w:rsidR="00E76036">
        <w:t>L24</w:t>
      </w:r>
      <w:r w:rsidR="00282BBB" w:rsidRPr="00493FAE">
        <w:t>0</w:t>
      </w:r>
      <w:r w:rsidR="00A7534A">
        <w:t>2</w:t>
      </w:r>
      <w:r w:rsidR="00493FAE" w:rsidRPr="00493FAE">
        <w:t>0</w:t>
      </w:r>
      <w:r w:rsidR="00A7534A">
        <w:t>351</w:t>
      </w:r>
      <w:r w:rsidR="00737CA0" w:rsidRPr="00493FAE">
        <w:t xml:space="preserve">“ (dále jen </w:t>
      </w:r>
      <w:r w:rsidR="00737CA0" w:rsidRPr="009151CF">
        <w:rPr>
          <w:iCs/>
        </w:rPr>
        <w:t>„</w:t>
      </w:r>
      <w:r w:rsidR="00737CA0" w:rsidRPr="00493FAE">
        <w:rPr>
          <w:i/>
          <w:u w:val="single"/>
        </w:rPr>
        <w:t>smlouva</w:t>
      </w:r>
      <w:r w:rsidR="00737CA0" w:rsidRPr="009151CF">
        <w:rPr>
          <w:iCs/>
        </w:rPr>
        <w:t>“</w:t>
      </w:r>
      <w:r w:rsidR="00737CA0" w:rsidRPr="00493FAE">
        <w:rPr>
          <w:i/>
        </w:rPr>
        <w:t>)</w:t>
      </w:r>
    </w:p>
    <w:p w14:paraId="12A3DDB9" w14:textId="77777777" w:rsidR="0079034D" w:rsidRDefault="003974EC" w:rsidP="0079034D">
      <w:pPr>
        <w:numPr>
          <w:ilvl w:val="0"/>
          <w:numId w:val="2"/>
        </w:numPr>
        <w:tabs>
          <w:tab w:val="clear" w:pos="720"/>
          <w:tab w:val="num" w:pos="426"/>
        </w:tabs>
        <w:ind w:left="426" w:hanging="426"/>
        <w:jc w:val="both"/>
      </w:pPr>
      <w:r w:rsidRPr="00493FAE">
        <w:t>Projekt je spe</w:t>
      </w:r>
      <w:r w:rsidR="004B79A7" w:rsidRPr="00493FAE">
        <w:t>ci</w:t>
      </w:r>
      <w:r w:rsidRPr="00493FAE">
        <w:t>fikován v </w:t>
      </w:r>
      <w:r w:rsidRPr="00493FAE">
        <w:rPr>
          <w:i/>
        </w:rPr>
        <w:t xml:space="preserve">Příloze I. – </w:t>
      </w:r>
      <w:r w:rsidR="00493FAE" w:rsidRPr="00493FAE">
        <w:rPr>
          <w:i/>
        </w:rPr>
        <w:t xml:space="preserve">Závazné parametry </w:t>
      </w:r>
      <w:r w:rsidR="001D1109">
        <w:rPr>
          <w:i/>
        </w:rPr>
        <w:t xml:space="preserve">řešení </w:t>
      </w:r>
      <w:r w:rsidR="00493FAE" w:rsidRPr="00493FAE">
        <w:rPr>
          <w:i/>
        </w:rPr>
        <w:t>projektu</w:t>
      </w:r>
      <w:r w:rsidRPr="00493FAE">
        <w:t>, která je nedílnou</w:t>
      </w:r>
      <w:r w:rsidRPr="00F017D9">
        <w:t xml:space="preserve"> součástí této smlouvy</w:t>
      </w:r>
      <w:r w:rsidR="00493FAE">
        <w:t xml:space="preserve"> a vychází z Návrhu projektu </w:t>
      </w:r>
      <w:r w:rsidR="00493FAE" w:rsidRPr="00F017D9">
        <w:t>(dále jen „</w:t>
      </w:r>
      <w:r w:rsidR="00493FAE" w:rsidRPr="009151CF">
        <w:rPr>
          <w:i/>
          <w:u w:val="single"/>
        </w:rPr>
        <w:t>projekt</w:t>
      </w:r>
      <w:r w:rsidR="00493FAE" w:rsidRPr="00F017D9">
        <w:t>“)</w:t>
      </w:r>
      <w:r w:rsidR="00493FAE">
        <w:t>, schváleným k řešení poskytovatelem.</w:t>
      </w:r>
      <w:r w:rsidR="001C6406">
        <w:t xml:space="preserve"> </w:t>
      </w:r>
    </w:p>
    <w:p w14:paraId="337DB4EF" w14:textId="77777777" w:rsidR="00757882" w:rsidRPr="00FA57DD" w:rsidRDefault="0079034D" w:rsidP="00FA57DD">
      <w:pPr>
        <w:numPr>
          <w:ilvl w:val="0"/>
          <w:numId w:val="2"/>
        </w:numPr>
        <w:tabs>
          <w:tab w:val="clear" w:pos="720"/>
          <w:tab w:val="num" w:pos="426"/>
        </w:tabs>
        <w:ind w:left="426" w:hanging="426"/>
        <w:jc w:val="both"/>
      </w:pPr>
      <w:r w:rsidRPr="004D1D98">
        <w:lastRenderedPageBreak/>
        <w:t xml:space="preserve">Předmět </w:t>
      </w:r>
      <w:r w:rsidR="001C6406" w:rsidRPr="004D1D98">
        <w:t>této smlouvy je spolupráce smluvních stran za účelem realizace</w:t>
      </w:r>
      <w:r w:rsidRPr="004D1D98">
        <w:t xml:space="preserve"> projektu</w:t>
      </w:r>
      <w:r w:rsidR="001C6406" w:rsidRPr="00FA57DD">
        <w:t xml:space="preserve">. </w:t>
      </w:r>
      <w:r w:rsidR="00FA57DD" w:rsidRPr="00FA57DD">
        <w:t>Cílem projektu je aktualizace systému lesnické typologie v měnících se klimatických podmínkách pro potřeby hospodářské úpravy lesů. Bude provedena analýza stavu typologického systému, dynamiky a trendů jednotlivých klimatických prvků i vybraných indexů, dále srovnání vybraných klimatických období, vyhodnocení porostních měření podle lesních vegetačních stupňů (</w:t>
      </w:r>
      <w:proofErr w:type="spellStart"/>
      <w:r w:rsidR="00FA57DD" w:rsidRPr="00FA57DD">
        <w:t>LVS</w:t>
      </w:r>
      <w:proofErr w:type="spellEnd"/>
      <w:r w:rsidR="00FA57DD" w:rsidRPr="00FA57DD">
        <w:t xml:space="preserve">) z hlediska mikroklimatu ve vztahu k makroklimatu. Dále analýza dynamiky </w:t>
      </w:r>
      <w:proofErr w:type="spellStart"/>
      <w:r w:rsidR="00FA57DD" w:rsidRPr="00FA57DD">
        <w:t>fenofází</w:t>
      </w:r>
      <w:proofErr w:type="spellEnd"/>
      <w:r w:rsidR="00FA57DD" w:rsidRPr="00FA57DD">
        <w:t xml:space="preserve"> vybraných dřevin, klimaticko-růstových vztahů napříč </w:t>
      </w:r>
      <w:proofErr w:type="spellStart"/>
      <w:r w:rsidR="00FA57DD" w:rsidRPr="00FA57DD">
        <w:t>LVS</w:t>
      </w:r>
      <w:proofErr w:type="spellEnd"/>
      <w:r w:rsidR="00FA57DD" w:rsidRPr="00FA57DD">
        <w:t xml:space="preserve"> a predikce možného posunu výškového rozšíření lesních dřevin a </w:t>
      </w:r>
      <w:proofErr w:type="spellStart"/>
      <w:r w:rsidR="00FA57DD" w:rsidRPr="00FA57DD">
        <w:t>bioindikačně</w:t>
      </w:r>
      <w:proofErr w:type="spellEnd"/>
      <w:r w:rsidR="00FA57DD" w:rsidRPr="00FA57DD">
        <w:t xml:space="preserve"> významných bylin a trav v závislosti na scénářích vývoje klimatu. Výsledkem budou metodika, mapy a návrhy úprav související legislativy, případové studie u spolupracujících podniků, publikace a seminář.</w:t>
      </w:r>
    </w:p>
    <w:p w14:paraId="78930D89" w14:textId="77777777" w:rsidR="00E23BC6" w:rsidRDefault="0079034D" w:rsidP="005E7CB4">
      <w:pPr>
        <w:numPr>
          <w:ilvl w:val="0"/>
          <w:numId w:val="2"/>
        </w:numPr>
        <w:tabs>
          <w:tab w:val="clear" w:pos="720"/>
          <w:tab w:val="num" w:pos="426"/>
        </w:tabs>
        <w:ind w:left="426" w:hanging="426"/>
        <w:jc w:val="both"/>
      </w:pPr>
      <w:r>
        <w:t xml:space="preserve">Další účastník se zavazuje k odbornému </w:t>
      </w:r>
      <w:r w:rsidR="00177030" w:rsidRPr="00101853">
        <w:t>řešení část</w:t>
      </w:r>
      <w:r w:rsidR="00804DEF">
        <w:t>í</w:t>
      </w:r>
      <w:r w:rsidR="00177030" w:rsidRPr="00101853">
        <w:t xml:space="preserve"> projektu</w:t>
      </w:r>
      <w:r w:rsidR="006609AB">
        <w:t xml:space="preserve"> a ke spolufinancování jemu vymezené části projektu z </w:t>
      </w:r>
      <w:r w:rsidR="00053E98">
        <w:t>ostatních</w:t>
      </w:r>
      <w:r w:rsidR="006609AB">
        <w:t xml:space="preserve"> zdrojů,</w:t>
      </w:r>
      <w:r w:rsidR="0076347A">
        <w:t xml:space="preserve"> tak</w:t>
      </w:r>
      <w:r w:rsidR="00B3614B">
        <w:t xml:space="preserve"> jak jsou </w:t>
      </w:r>
      <w:r w:rsidR="006609AB">
        <w:t>definov</w:t>
      </w:r>
      <w:r w:rsidR="00B3614B">
        <w:t>ány</w:t>
      </w:r>
      <w:r w:rsidR="006609AB">
        <w:t xml:space="preserve"> v projektu. </w:t>
      </w:r>
      <w:r w:rsidR="004A75E5">
        <w:t xml:space="preserve">Další účastník bude při realizaci projektu dbát </w:t>
      </w:r>
      <w:r w:rsidR="00B3614B">
        <w:t>řídících</w:t>
      </w:r>
      <w:r w:rsidR="005E4254">
        <w:t xml:space="preserve"> </w:t>
      </w:r>
      <w:r w:rsidR="004A75E5">
        <w:t>pokynů příjemce.</w:t>
      </w:r>
      <w:r w:rsidR="008C2CB6">
        <w:t xml:space="preserve"> Účelem této smlou</w:t>
      </w:r>
      <w:r w:rsidR="00B3614B">
        <w:t>vy je dosažení stanovených cílů</w:t>
      </w:r>
      <w:r w:rsidR="00954A10">
        <w:t xml:space="preserve"> a výstupů</w:t>
      </w:r>
      <w:r w:rsidR="008C2CB6">
        <w:t>, vymezených v</w:t>
      </w:r>
      <w:r w:rsidR="006609AB">
        <w:t> </w:t>
      </w:r>
      <w:r w:rsidR="008C2CB6">
        <w:t>projektu</w:t>
      </w:r>
      <w:r w:rsidR="006609AB">
        <w:t xml:space="preserve">. </w:t>
      </w:r>
      <w:r w:rsidR="00E23BC6">
        <w:t>R</w:t>
      </w:r>
      <w:r w:rsidR="006609AB">
        <w:t xml:space="preserve">ozdělení </w:t>
      </w:r>
      <w:r w:rsidR="001D1109">
        <w:t>práv k výsledkům</w:t>
      </w:r>
      <w:r w:rsidR="00460BA4">
        <w:t xml:space="preserve"> řešení</w:t>
      </w:r>
      <w:r w:rsidR="006609AB">
        <w:t xml:space="preserve"> </w:t>
      </w:r>
      <w:r w:rsidR="00460BA4">
        <w:t xml:space="preserve">projektu, </w:t>
      </w:r>
      <w:r w:rsidR="00B73034">
        <w:t xml:space="preserve">určení </w:t>
      </w:r>
      <w:r w:rsidR="00E23BC6">
        <w:t>výsledků projektu a jejich druhů</w:t>
      </w:r>
      <w:r w:rsidR="00C52BBA">
        <w:t>,</w:t>
      </w:r>
      <w:r w:rsidR="00B73034">
        <w:t xml:space="preserve"> </w:t>
      </w:r>
      <w:r w:rsidR="003E0F53">
        <w:t>t</w:t>
      </w:r>
      <w:r w:rsidR="00CD4E3E">
        <w:t xml:space="preserve">ermínů </w:t>
      </w:r>
      <w:r w:rsidR="00B73034">
        <w:t xml:space="preserve">jejich </w:t>
      </w:r>
      <w:r w:rsidR="00E23BC6">
        <w:t xml:space="preserve">dosažení s vymezením pracovních podílů pro </w:t>
      </w:r>
      <w:r w:rsidR="00493FAE">
        <w:t>příjemce</w:t>
      </w:r>
      <w:r w:rsidR="00312A14">
        <w:t xml:space="preserve"> a další</w:t>
      </w:r>
      <w:r w:rsidR="00E23BC6">
        <w:t xml:space="preserve"> účastník</w:t>
      </w:r>
      <w:r w:rsidR="00A7534A">
        <w:t>y projektu je</w:t>
      </w:r>
      <w:r w:rsidR="006E2C23">
        <w:t xml:space="preserve"> následující</w:t>
      </w:r>
      <w:r w:rsidR="00A7534A">
        <w:t>:</w:t>
      </w:r>
    </w:p>
    <w:tbl>
      <w:tblPr>
        <w:tblW w:w="96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2398"/>
        <w:gridCol w:w="818"/>
        <w:gridCol w:w="887"/>
        <w:gridCol w:w="1001"/>
        <w:gridCol w:w="1125"/>
        <w:gridCol w:w="971"/>
        <w:gridCol w:w="1071"/>
      </w:tblGrid>
      <w:tr w:rsidR="00A7534A" w:rsidRPr="00016225" w14:paraId="113EF6FF" w14:textId="77777777" w:rsidTr="00A7534A">
        <w:trPr>
          <w:trHeight w:val="378"/>
        </w:trPr>
        <w:tc>
          <w:tcPr>
            <w:tcW w:w="1369" w:type="dxa"/>
            <w:shd w:val="clear" w:color="auto" w:fill="auto"/>
            <w:tcMar>
              <w:left w:w="28" w:type="dxa"/>
              <w:right w:w="28" w:type="dxa"/>
            </w:tcMar>
            <w:vAlign w:val="center"/>
          </w:tcPr>
          <w:p w14:paraId="3C7B435F" w14:textId="77777777" w:rsidR="00A7534A" w:rsidRPr="00016225" w:rsidRDefault="00A7534A" w:rsidP="000A3C22">
            <w:pPr>
              <w:rPr>
                <w:sz w:val="18"/>
                <w:szCs w:val="18"/>
              </w:rPr>
            </w:pPr>
            <w:r w:rsidRPr="00016225">
              <w:rPr>
                <w:sz w:val="18"/>
                <w:szCs w:val="18"/>
              </w:rPr>
              <w:t>Kód výsledku</w:t>
            </w:r>
          </w:p>
        </w:tc>
        <w:tc>
          <w:tcPr>
            <w:tcW w:w="2398" w:type="dxa"/>
            <w:shd w:val="clear" w:color="auto" w:fill="auto"/>
            <w:tcMar>
              <w:left w:w="28" w:type="dxa"/>
              <w:right w:w="28" w:type="dxa"/>
            </w:tcMar>
            <w:vAlign w:val="center"/>
          </w:tcPr>
          <w:p w14:paraId="5FD45E10" w14:textId="77777777" w:rsidR="00A7534A" w:rsidRPr="00016225" w:rsidRDefault="00A7534A" w:rsidP="000A3C22">
            <w:pPr>
              <w:rPr>
                <w:sz w:val="18"/>
                <w:szCs w:val="18"/>
              </w:rPr>
            </w:pPr>
            <w:r w:rsidRPr="00016225">
              <w:rPr>
                <w:sz w:val="18"/>
                <w:szCs w:val="18"/>
              </w:rPr>
              <w:t>Název</w:t>
            </w:r>
          </w:p>
        </w:tc>
        <w:tc>
          <w:tcPr>
            <w:tcW w:w="818" w:type="dxa"/>
            <w:shd w:val="clear" w:color="auto" w:fill="auto"/>
            <w:tcMar>
              <w:left w:w="28" w:type="dxa"/>
              <w:right w:w="28" w:type="dxa"/>
            </w:tcMar>
            <w:vAlign w:val="center"/>
          </w:tcPr>
          <w:p w14:paraId="712981BF" w14:textId="77777777" w:rsidR="00A7534A" w:rsidRPr="00016225" w:rsidRDefault="00A7534A" w:rsidP="000A3C22">
            <w:pPr>
              <w:rPr>
                <w:sz w:val="18"/>
                <w:szCs w:val="18"/>
              </w:rPr>
            </w:pPr>
            <w:r w:rsidRPr="00016225">
              <w:rPr>
                <w:sz w:val="18"/>
                <w:szCs w:val="18"/>
              </w:rPr>
              <w:t>Druh výsledku</w:t>
            </w:r>
          </w:p>
        </w:tc>
        <w:tc>
          <w:tcPr>
            <w:tcW w:w="887" w:type="dxa"/>
            <w:shd w:val="clear" w:color="auto" w:fill="auto"/>
            <w:tcMar>
              <w:left w:w="28" w:type="dxa"/>
              <w:right w:w="28" w:type="dxa"/>
            </w:tcMar>
            <w:vAlign w:val="center"/>
          </w:tcPr>
          <w:p w14:paraId="606378D7" w14:textId="77777777" w:rsidR="00A7534A" w:rsidRPr="00016225" w:rsidRDefault="00A7534A" w:rsidP="000A3C22">
            <w:pPr>
              <w:rPr>
                <w:sz w:val="18"/>
                <w:szCs w:val="18"/>
              </w:rPr>
            </w:pPr>
            <w:r w:rsidRPr="00016225">
              <w:rPr>
                <w:sz w:val="18"/>
                <w:szCs w:val="18"/>
              </w:rPr>
              <w:t>Termín dosažení</w:t>
            </w:r>
          </w:p>
        </w:tc>
        <w:tc>
          <w:tcPr>
            <w:tcW w:w="1001" w:type="dxa"/>
            <w:shd w:val="clear" w:color="auto" w:fill="auto"/>
            <w:tcMar>
              <w:left w:w="28" w:type="dxa"/>
              <w:right w:w="28" w:type="dxa"/>
            </w:tcMar>
            <w:vAlign w:val="center"/>
          </w:tcPr>
          <w:p w14:paraId="631FC511" w14:textId="77777777" w:rsidR="00A7534A" w:rsidRPr="00016225" w:rsidRDefault="00A7534A" w:rsidP="000A3C22">
            <w:pPr>
              <w:rPr>
                <w:sz w:val="18"/>
                <w:szCs w:val="18"/>
              </w:rPr>
            </w:pPr>
            <w:r w:rsidRPr="00016225">
              <w:rPr>
                <w:sz w:val="18"/>
                <w:szCs w:val="18"/>
              </w:rPr>
              <w:t xml:space="preserve">Podíl příjemce - </w:t>
            </w:r>
            <w:proofErr w:type="spellStart"/>
            <w:r w:rsidRPr="00016225">
              <w:rPr>
                <w:sz w:val="18"/>
                <w:szCs w:val="18"/>
              </w:rPr>
              <w:t>VULHM</w:t>
            </w:r>
            <w:proofErr w:type="spellEnd"/>
          </w:p>
        </w:tc>
        <w:tc>
          <w:tcPr>
            <w:tcW w:w="1125" w:type="dxa"/>
          </w:tcPr>
          <w:p w14:paraId="54D80BC5" w14:textId="77777777" w:rsidR="00A7534A" w:rsidRPr="00016225" w:rsidRDefault="00A7534A" w:rsidP="000A3C22">
            <w:pPr>
              <w:rPr>
                <w:sz w:val="18"/>
                <w:szCs w:val="18"/>
              </w:rPr>
            </w:pPr>
            <w:r w:rsidRPr="00016225">
              <w:rPr>
                <w:sz w:val="18"/>
                <w:szCs w:val="18"/>
              </w:rPr>
              <w:t>Podíl dalšího účastníka – MENDELU</w:t>
            </w:r>
          </w:p>
        </w:tc>
        <w:tc>
          <w:tcPr>
            <w:tcW w:w="971" w:type="dxa"/>
          </w:tcPr>
          <w:p w14:paraId="7F48624C" w14:textId="77777777" w:rsidR="00A7534A" w:rsidRPr="00016225" w:rsidRDefault="00A7534A" w:rsidP="000A3C22">
            <w:pPr>
              <w:rPr>
                <w:sz w:val="18"/>
                <w:szCs w:val="18"/>
              </w:rPr>
            </w:pPr>
            <w:r w:rsidRPr="00016225">
              <w:rPr>
                <w:sz w:val="18"/>
                <w:szCs w:val="18"/>
              </w:rPr>
              <w:t xml:space="preserve">Podíl dalšího účastníka – </w:t>
            </w:r>
            <w:proofErr w:type="spellStart"/>
            <w:r w:rsidRPr="00016225">
              <w:rPr>
                <w:sz w:val="18"/>
                <w:szCs w:val="18"/>
              </w:rPr>
              <w:t>ČZU</w:t>
            </w:r>
            <w:proofErr w:type="spellEnd"/>
          </w:p>
        </w:tc>
        <w:tc>
          <w:tcPr>
            <w:tcW w:w="1071" w:type="dxa"/>
          </w:tcPr>
          <w:p w14:paraId="16F006BB" w14:textId="77777777" w:rsidR="00A7534A" w:rsidRPr="00016225" w:rsidRDefault="00A7534A" w:rsidP="000A3C22">
            <w:pPr>
              <w:rPr>
                <w:sz w:val="18"/>
                <w:szCs w:val="18"/>
              </w:rPr>
            </w:pPr>
            <w:r w:rsidRPr="00016225">
              <w:rPr>
                <w:sz w:val="18"/>
                <w:szCs w:val="18"/>
              </w:rPr>
              <w:t xml:space="preserve">Podíl dalšího účastníka – </w:t>
            </w:r>
            <w:proofErr w:type="spellStart"/>
            <w:r>
              <w:rPr>
                <w:sz w:val="18"/>
                <w:szCs w:val="18"/>
              </w:rPr>
              <w:t>ČHMU</w:t>
            </w:r>
            <w:proofErr w:type="spellEnd"/>
          </w:p>
        </w:tc>
      </w:tr>
      <w:tr w:rsidR="00A7534A" w:rsidRPr="00A61BB5" w14:paraId="7429312D" w14:textId="77777777" w:rsidTr="00A7534A">
        <w:trPr>
          <w:trHeight w:val="378"/>
        </w:trPr>
        <w:tc>
          <w:tcPr>
            <w:tcW w:w="1369" w:type="dxa"/>
            <w:shd w:val="clear" w:color="auto" w:fill="auto"/>
            <w:tcMar>
              <w:left w:w="28" w:type="dxa"/>
              <w:right w:w="28" w:type="dxa"/>
            </w:tcMar>
            <w:vAlign w:val="center"/>
          </w:tcPr>
          <w:p w14:paraId="37965DEB" w14:textId="77777777" w:rsidR="00A7534A" w:rsidRPr="00016225" w:rsidRDefault="00A7534A" w:rsidP="000A3C22">
            <w:pPr>
              <w:rPr>
                <w:sz w:val="18"/>
                <w:szCs w:val="18"/>
              </w:rPr>
            </w:pPr>
            <w:r w:rsidRPr="00016225">
              <w:rPr>
                <w:sz w:val="18"/>
                <w:szCs w:val="18"/>
              </w:rPr>
              <w:t>QL24020351-V1</w:t>
            </w:r>
          </w:p>
        </w:tc>
        <w:tc>
          <w:tcPr>
            <w:tcW w:w="2398" w:type="dxa"/>
            <w:shd w:val="clear" w:color="auto" w:fill="auto"/>
            <w:tcMar>
              <w:left w:w="28" w:type="dxa"/>
              <w:right w:w="28" w:type="dxa"/>
            </w:tcMar>
            <w:vAlign w:val="center"/>
          </w:tcPr>
          <w:p w14:paraId="1E9DCC93" w14:textId="77777777" w:rsidR="00A7534A" w:rsidRPr="00016225" w:rsidRDefault="00A7534A" w:rsidP="000A3C22">
            <w:pPr>
              <w:autoSpaceDE w:val="0"/>
              <w:autoSpaceDN w:val="0"/>
              <w:adjustRightInd w:val="0"/>
              <w:rPr>
                <w:rFonts w:ascii="Cambria" w:hAnsi="Cambria" w:cs="Cambria"/>
                <w:sz w:val="18"/>
                <w:szCs w:val="18"/>
              </w:rPr>
            </w:pPr>
            <w:r w:rsidRPr="00016225">
              <w:rPr>
                <w:rFonts w:ascii="Cambria" w:hAnsi="Cambria" w:cs="Cambria"/>
                <w:sz w:val="18"/>
                <w:szCs w:val="18"/>
              </w:rPr>
              <w:t>Klimaticko-růstové vztahy hlavních produkčních dřevin v</w:t>
            </w:r>
          </w:p>
          <w:p w14:paraId="26BDF2D4" w14:textId="77777777" w:rsidR="00A7534A" w:rsidRPr="00016225" w:rsidRDefault="00A7534A" w:rsidP="000A3C22">
            <w:pPr>
              <w:autoSpaceDE w:val="0"/>
              <w:autoSpaceDN w:val="0"/>
              <w:adjustRightInd w:val="0"/>
              <w:rPr>
                <w:sz w:val="18"/>
                <w:szCs w:val="18"/>
              </w:rPr>
            </w:pPr>
            <w:r w:rsidRPr="00016225">
              <w:rPr>
                <w:rFonts w:ascii="Cambria" w:hAnsi="Cambria" w:cs="Cambria"/>
                <w:sz w:val="18"/>
                <w:szCs w:val="18"/>
              </w:rPr>
              <w:t>rámci vegetační stupňovitosti ČR</w:t>
            </w:r>
          </w:p>
        </w:tc>
        <w:tc>
          <w:tcPr>
            <w:tcW w:w="818" w:type="dxa"/>
            <w:shd w:val="clear" w:color="auto" w:fill="auto"/>
            <w:tcMar>
              <w:left w:w="28" w:type="dxa"/>
              <w:right w:w="28" w:type="dxa"/>
            </w:tcMar>
            <w:vAlign w:val="center"/>
          </w:tcPr>
          <w:p w14:paraId="6019772C" w14:textId="77777777" w:rsidR="00A7534A" w:rsidRPr="00016225" w:rsidRDefault="00A7534A" w:rsidP="000A3C22">
            <w:pPr>
              <w:jc w:val="center"/>
              <w:rPr>
                <w:sz w:val="18"/>
                <w:szCs w:val="18"/>
              </w:rPr>
            </w:pPr>
            <w:proofErr w:type="spellStart"/>
            <w:r w:rsidRPr="00016225">
              <w:rPr>
                <w:sz w:val="18"/>
                <w:szCs w:val="18"/>
              </w:rPr>
              <w:t>Jimp</w:t>
            </w:r>
            <w:proofErr w:type="spellEnd"/>
          </w:p>
        </w:tc>
        <w:tc>
          <w:tcPr>
            <w:tcW w:w="887" w:type="dxa"/>
            <w:shd w:val="clear" w:color="auto" w:fill="auto"/>
            <w:tcMar>
              <w:left w:w="28" w:type="dxa"/>
              <w:right w:w="28" w:type="dxa"/>
            </w:tcMar>
            <w:vAlign w:val="center"/>
          </w:tcPr>
          <w:p w14:paraId="4BFDA9C0" w14:textId="77777777" w:rsidR="00A7534A" w:rsidRPr="00016225" w:rsidRDefault="00A7534A" w:rsidP="000A3C22">
            <w:pPr>
              <w:jc w:val="center"/>
              <w:rPr>
                <w:sz w:val="18"/>
                <w:szCs w:val="18"/>
              </w:rPr>
            </w:pPr>
            <w:r w:rsidRPr="00016225">
              <w:rPr>
                <w:sz w:val="18"/>
                <w:szCs w:val="18"/>
              </w:rPr>
              <w:t>12/2026</w:t>
            </w:r>
          </w:p>
        </w:tc>
        <w:tc>
          <w:tcPr>
            <w:tcW w:w="1001" w:type="dxa"/>
            <w:shd w:val="clear" w:color="auto" w:fill="auto"/>
            <w:tcMar>
              <w:left w:w="28" w:type="dxa"/>
              <w:right w:w="28" w:type="dxa"/>
            </w:tcMar>
            <w:vAlign w:val="center"/>
          </w:tcPr>
          <w:p w14:paraId="5D6611A0" w14:textId="77777777" w:rsidR="00A7534A" w:rsidRPr="00A61BB5" w:rsidRDefault="00A7534A" w:rsidP="000A3C22">
            <w:pPr>
              <w:jc w:val="center"/>
              <w:rPr>
                <w:sz w:val="18"/>
                <w:szCs w:val="18"/>
              </w:rPr>
            </w:pPr>
            <w:r w:rsidRPr="00A61BB5">
              <w:rPr>
                <w:sz w:val="18"/>
                <w:szCs w:val="18"/>
              </w:rPr>
              <w:t>0 %</w:t>
            </w:r>
          </w:p>
        </w:tc>
        <w:tc>
          <w:tcPr>
            <w:tcW w:w="1125" w:type="dxa"/>
            <w:shd w:val="clear" w:color="auto" w:fill="auto"/>
            <w:vAlign w:val="center"/>
          </w:tcPr>
          <w:p w14:paraId="2FBF1007" w14:textId="2C06C97B" w:rsidR="00A7534A" w:rsidRPr="00A61BB5" w:rsidRDefault="000943B0" w:rsidP="000A3C22">
            <w:pPr>
              <w:jc w:val="center"/>
              <w:rPr>
                <w:sz w:val="18"/>
                <w:szCs w:val="18"/>
              </w:rPr>
            </w:pPr>
            <w:r>
              <w:rPr>
                <w:sz w:val="18"/>
                <w:szCs w:val="18"/>
              </w:rPr>
              <w:t>10</w:t>
            </w:r>
            <w:r w:rsidR="00A7534A" w:rsidRPr="00A61BB5">
              <w:rPr>
                <w:sz w:val="18"/>
                <w:szCs w:val="18"/>
              </w:rPr>
              <w:t>0 %</w:t>
            </w:r>
          </w:p>
        </w:tc>
        <w:tc>
          <w:tcPr>
            <w:tcW w:w="971" w:type="dxa"/>
            <w:vAlign w:val="center"/>
          </w:tcPr>
          <w:p w14:paraId="4FD69B68" w14:textId="16F5F3ED" w:rsidR="00A7534A" w:rsidRPr="00A61BB5" w:rsidRDefault="00A7534A" w:rsidP="000943B0">
            <w:pPr>
              <w:jc w:val="center"/>
              <w:rPr>
                <w:sz w:val="18"/>
                <w:szCs w:val="18"/>
              </w:rPr>
            </w:pPr>
            <w:r w:rsidRPr="00A61BB5">
              <w:rPr>
                <w:sz w:val="18"/>
                <w:szCs w:val="18"/>
              </w:rPr>
              <w:t>0 %</w:t>
            </w:r>
          </w:p>
        </w:tc>
        <w:tc>
          <w:tcPr>
            <w:tcW w:w="1071" w:type="dxa"/>
            <w:vAlign w:val="center"/>
          </w:tcPr>
          <w:p w14:paraId="7714CDD4" w14:textId="77777777" w:rsidR="00A7534A" w:rsidRPr="00A61BB5" w:rsidRDefault="00A7534A" w:rsidP="000A3C22">
            <w:pPr>
              <w:jc w:val="center"/>
              <w:rPr>
                <w:sz w:val="18"/>
                <w:szCs w:val="18"/>
              </w:rPr>
            </w:pPr>
            <w:r w:rsidRPr="00A61BB5">
              <w:rPr>
                <w:sz w:val="18"/>
                <w:szCs w:val="18"/>
              </w:rPr>
              <w:t>0 %</w:t>
            </w:r>
          </w:p>
        </w:tc>
      </w:tr>
      <w:tr w:rsidR="00A7534A" w:rsidRPr="00A61BB5" w14:paraId="0D44221C" w14:textId="77777777" w:rsidTr="00A7534A">
        <w:trPr>
          <w:trHeight w:val="183"/>
        </w:trPr>
        <w:tc>
          <w:tcPr>
            <w:tcW w:w="1369" w:type="dxa"/>
            <w:shd w:val="clear" w:color="auto" w:fill="auto"/>
            <w:tcMar>
              <w:left w:w="28" w:type="dxa"/>
              <w:right w:w="28" w:type="dxa"/>
            </w:tcMar>
            <w:vAlign w:val="center"/>
          </w:tcPr>
          <w:p w14:paraId="6B509297" w14:textId="77777777" w:rsidR="00A7534A" w:rsidRPr="00016225" w:rsidRDefault="00A7534A" w:rsidP="000A3C22">
            <w:pPr>
              <w:jc w:val="center"/>
              <w:rPr>
                <w:sz w:val="18"/>
                <w:szCs w:val="18"/>
              </w:rPr>
            </w:pPr>
            <w:r w:rsidRPr="00016225">
              <w:rPr>
                <w:sz w:val="18"/>
                <w:szCs w:val="18"/>
              </w:rPr>
              <w:t>QL24020351-V</w:t>
            </w:r>
            <w:r>
              <w:rPr>
                <w:sz w:val="18"/>
                <w:szCs w:val="18"/>
              </w:rPr>
              <w:t>2</w:t>
            </w:r>
          </w:p>
        </w:tc>
        <w:tc>
          <w:tcPr>
            <w:tcW w:w="2398" w:type="dxa"/>
            <w:shd w:val="clear" w:color="auto" w:fill="auto"/>
            <w:tcMar>
              <w:left w:w="28" w:type="dxa"/>
              <w:right w:w="28" w:type="dxa"/>
            </w:tcMar>
            <w:vAlign w:val="center"/>
          </w:tcPr>
          <w:p w14:paraId="0D14A5D1" w14:textId="77777777" w:rsidR="00A7534A" w:rsidRPr="00016225" w:rsidRDefault="00A7534A" w:rsidP="000A3C22">
            <w:pPr>
              <w:autoSpaceDE w:val="0"/>
              <w:autoSpaceDN w:val="0"/>
              <w:adjustRightInd w:val="0"/>
              <w:rPr>
                <w:sz w:val="18"/>
                <w:szCs w:val="18"/>
              </w:rPr>
            </w:pPr>
            <w:r w:rsidRPr="00016225">
              <w:rPr>
                <w:rFonts w:ascii="Cambria" w:hAnsi="Cambria" w:cs="Cambria"/>
                <w:sz w:val="18"/>
                <w:szCs w:val="18"/>
              </w:rPr>
              <w:t>Dynamika vývoje klimatu a jeho extrémů ve vztahu k</w:t>
            </w:r>
            <w:r>
              <w:rPr>
                <w:rFonts w:ascii="Cambria" w:hAnsi="Cambria" w:cs="Cambria"/>
                <w:sz w:val="18"/>
                <w:szCs w:val="18"/>
              </w:rPr>
              <w:t> </w:t>
            </w:r>
            <w:r w:rsidRPr="00016225">
              <w:rPr>
                <w:rFonts w:ascii="Cambria" w:hAnsi="Cambria" w:cs="Cambria"/>
                <w:sz w:val="18"/>
                <w:szCs w:val="18"/>
              </w:rPr>
              <w:t>lesním</w:t>
            </w:r>
            <w:r>
              <w:rPr>
                <w:rFonts w:ascii="Cambria" w:hAnsi="Cambria" w:cs="Cambria"/>
                <w:sz w:val="18"/>
                <w:szCs w:val="18"/>
              </w:rPr>
              <w:t xml:space="preserve"> </w:t>
            </w:r>
            <w:r w:rsidRPr="00016225">
              <w:rPr>
                <w:rFonts w:ascii="Cambria" w:hAnsi="Cambria" w:cs="Cambria"/>
                <w:sz w:val="18"/>
                <w:szCs w:val="18"/>
              </w:rPr>
              <w:t>vegetačním stupňům</w:t>
            </w:r>
          </w:p>
        </w:tc>
        <w:tc>
          <w:tcPr>
            <w:tcW w:w="818" w:type="dxa"/>
            <w:shd w:val="clear" w:color="auto" w:fill="auto"/>
            <w:tcMar>
              <w:left w:w="28" w:type="dxa"/>
              <w:right w:w="28" w:type="dxa"/>
            </w:tcMar>
            <w:vAlign w:val="center"/>
          </w:tcPr>
          <w:p w14:paraId="6C29F93F" w14:textId="77777777" w:rsidR="00A7534A" w:rsidRPr="00016225" w:rsidRDefault="00A7534A" w:rsidP="000A3C22">
            <w:pPr>
              <w:jc w:val="center"/>
              <w:rPr>
                <w:sz w:val="18"/>
                <w:szCs w:val="18"/>
              </w:rPr>
            </w:pPr>
            <w:proofErr w:type="spellStart"/>
            <w:r w:rsidRPr="00016225">
              <w:rPr>
                <w:sz w:val="18"/>
                <w:szCs w:val="18"/>
              </w:rPr>
              <w:t>Jimp</w:t>
            </w:r>
            <w:proofErr w:type="spellEnd"/>
          </w:p>
        </w:tc>
        <w:tc>
          <w:tcPr>
            <w:tcW w:w="887" w:type="dxa"/>
            <w:shd w:val="clear" w:color="auto" w:fill="auto"/>
            <w:tcMar>
              <w:left w:w="28" w:type="dxa"/>
              <w:right w:w="28" w:type="dxa"/>
            </w:tcMar>
            <w:vAlign w:val="center"/>
          </w:tcPr>
          <w:p w14:paraId="214BDA2D" w14:textId="77777777" w:rsidR="00A7534A" w:rsidRPr="00016225" w:rsidRDefault="00A7534A" w:rsidP="000A3C22">
            <w:pPr>
              <w:jc w:val="center"/>
              <w:rPr>
                <w:sz w:val="18"/>
                <w:szCs w:val="18"/>
              </w:rPr>
            </w:pPr>
            <w:r w:rsidRPr="00016225">
              <w:rPr>
                <w:sz w:val="18"/>
                <w:szCs w:val="18"/>
              </w:rPr>
              <w:t>12/2026</w:t>
            </w:r>
          </w:p>
        </w:tc>
        <w:tc>
          <w:tcPr>
            <w:tcW w:w="1001" w:type="dxa"/>
            <w:shd w:val="clear" w:color="auto" w:fill="auto"/>
            <w:tcMar>
              <w:left w:w="28" w:type="dxa"/>
              <w:right w:w="28" w:type="dxa"/>
            </w:tcMar>
            <w:vAlign w:val="center"/>
          </w:tcPr>
          <w:p w14:paraId="75FDC696" w14:textId="77777777" w:rsidR="00A7534A" w:rsidRPr="00A61BB5" w:rsidRDefault="00235FB5" w:rsidP="000A3C22">
            <w:pPr>
              <w:jc w:val="center"/>
              <w:rPr>
                <w:sz w:val="18"/>
                <w:szCs w:val="18"/>
              </w:rPr>
            </w:pPr>
            <w:r>
              <w:rPr>
                <w:sz w:val="18"/>
                <w:szCs w:val="18"/>
              </w:rPr>
              <w:t xml:space="preserve">10 </w:t>
            </w:r>
            <w:r w:rsidR="00A7534A" w:rsidRPr="00A61BB5">
              <w:rPr>
                <w:sz w:val="18"/>
                <w:szCs w:val="18"/>
              </w:rPr>
              <w:t>%</w:t>
            </w:r>
          </w:p>
        </w:tc>
        <w:tc>
          <w:tcPr>
            <w:tcW w:w="1125" w:type="dxa"/>
            <w:shd w:val="clear" w:color="auto" w:fill="auto"/>
            <w:vAlign w:val="center"/>
          </w:tcPr>
          <w:p w14:paraId="23B86B52" w14:textId="77777777" w:rsidR="00A7534A" w:rsidRPr="00A61BB5" w:rsidRDefault="00A7534A" w:rsidP="000A3C22">
            <w:pPr>
              <w:jc w:val="center"/>
              <w:rPr>
                <w:sz w:val="18"/>
                <w:szCs w:val="18"/>
              </w:rPr>
            </w:pPr>
            <w:r w:rsidRPr="00A61BB5">
              <w:rPr>
                <w:sz w:val="18"/>
                <w:szCs w:val="18"/>
              </w:rPr>
              <w:t>10 %</w:t>
            </w:r>
          </w:p>
        </w:tc>
        <w:tc>
          <w:tcPr>
            <w:tcW w:w="971" w:type="dxa"/>
            <w:vAlign w:val="center"/>
          </w:tcPr>
          <w:p w14:paraId="74F9E1F5" w14:textId="77777777" w:rsidR="00A7534A" w:rsidRPr="00A61BB5" w:rsidRDefault="00A7534A" w:rsidP="000A3C22">
            <w:pPr>
              <w:jc w:val="center"/>
              <w:rPr>
                <w:sz w:val="18"/>
                <w:szCs w:val="18"/>
              </w:rPr>
            </w:pPr>
            <w:r w:rsidRPr="00A61BB5">
              <w:rPr>
                <w:sz w:val="18"/>
                <w:szCs w:val="18"/>
              </w:rPr>
              <w:t>0 %</w:t>
            </w:r>
          </w:p>
        </w:tc>
        <w:tc>
          <w:tcPr>
            <w:tcW w:w="1071" w:type="dxa"/>
            <w:vAlign w:val="center"/>
          </w:tcPr>
          <w:p w14:paraId="315E648C" w14:textId="77777777" w:rsidR="00A7534A" w:rsidRPr="00A61BB5" w:rsidRDefault="00A7534A" w:rsidP="000A3C22">
            <w:pPr>
              <w:jc w:val="center"/>
              <w:rPr>
                <w:sz w:val="18"/>
                <w:szCs w:val="18"/>
              </w:rPr>
            </w:pPr>
            <w:r w:rsidRPr="00A61BB5">
              <w:rPr>
                <w:sz w:val="18"/>
                <w:szCs w:val="18"/>
              </w:rPr>
              <w:t>80 %</w:t>
            </w:r>
          </w:p>
        </w:tc>
      </w:tr>
      <w:tr w:rsidR="00A7534A" w:rsidRPr="00A61BB5" w14:paraId="5C399C22" w14:textId="77777777" w:rsidTr="00A7534A">
        <w:trPr>
          <w:trHeight w:val="183"/>
        </w:trPr>
        <w:tc>
          <w:tcPr>
            <w:tcW w:w="1369" w:type="dxa"/>
            <w:shd w:val="clear" w:color="auto" w:fill="auto"/>
            <w:tcMar>
              <w:left w:w="28" w:type="dxa"/>
              <w:right w:w="28" w:type="dxa"/>
            </w:tcMar>
            <w:vAlign w:val="center"/>
          </w:tcPr>
          <w:p w14:paraId="09DD3815" w14:textId="77777777" w:rsidR="00A7534A" w:rsidRPr="00016225" w:rsidRDefault="00A7534A" w:rsidP="000A3C22">
            <w:pPr>
              <w:jc w:val="center"/>
              <w:rPr>
                <w:sz w:val="18"/>
                <w:szCs w:val="18"/>
              </w:rPr>
            </w:pPr>
            <w:r w:rsidRPr="00016225">
              <w:rPr>
                <w:sz w:val="18"/>
                <w:szCs w:val="18"/>
              </w:rPr>
              <w:t>QL24020351-V</w:t>
            </w:r>
            <w:r>
              <w:rPr>
                <w:sz w:val="18"/>
                <w:szCs w:val="18"/>
              </w:rPr>
              <w:t>3</w:t>
            </w:r>
          </w:p>
        </w:tc>
        <w:tc>
          <w:tcPr>
            <w:tcW w:w="2398" w:type="dxa"/>
            <w:shd w:val="clear" w:color="auto" w:fill="auto"/>
            <w:tcMar>
              <w:left w:w="28" w:type="dxa"/>
              <w:right w:w="28" w:type="dxa"/>
            </w:tcMar>
            <w:vAlign w:val="center"/>
          </w:tcPr>
          <w:p w14:paraId="06BD420B" w14:textId="77777777" w:rsidR="00A7534A" w:rsidRPr="00016225" w:rsidRDefault="00A7534A" w:rsidP="000A3C22">
            <w:pPr>
              <w:autoSpaceDE w:val="0"/>
              <w:autoSpaceDN w:val="0"/>
              <w:adjustRightInd w:val="0"/>
              <w:rPr>
                <w:rFonts w:ascii="Cambria" w:hAnsi="Cambria" w:cs="Cambria"/>
                <w:sz w:val="18"/>
                <w:szCs w:val="18"/>
              </w:rPr>
            </w:pPr>
            <w:r w:rsidRPr="00387247">
              <w:rPr>
                <w:sz w:val="18"/>
                <w:szCs w:val="18"/>
              </w:rPr>
              <w:t>Vliv lesních porostů na klima půdy v jednotlivých vegetačních</w:t>
            </w:r>
            <w:r>
              <w:rPr>
                <w:sz w:val="18"/>
                <w:szCs w:val="18"/>
              </w:rPr>
              <w:t xml:space="preserve"> </w:t>
            </w:r>
            <w:r w:rsidRPr="00387247">
              <w:rPr>
                <w:sz w:val="18"/>
                <w:szCs w:val="18"/>
              </w:rPr>
              <w:t>stupních</w:t>
            </w:r>
          </w:p>
        </w:tc>
        <w:tc>
          <w:tcPr>
            <w:tcW w:w="818" w:type="dxa"/>
            <w:shd w:val="clear" w:color="auto" w:fill="auto"/>
            <w:tcMar>
              <w:left w:w="28" w:type="dxa"/>
              <w:right w:w="28" w:type="dxa"/>
            </w:tcMar>
            <w:vAlign w:val="center"/>
          </w:tcPr>
          <w:p w14:paraId="259B4D41" w14:textId="77777777" w:rsidR="00A7534A" w:rsidRPr="00016225" w:rsidRDefault="00A7534A" w:rsidP="000A3C22">
            <w:pPr>
              <w:jc w:val="center"/>
              <w:rPr>
                <w:sz w:val="18"/>
                <w:szCs w:val="18"/>
              </w:rPr>
            </w:pPr>
            <w:proofErr w:type="spellStart"/>
            <w:r>
              <w:rPr>
                <w:sz w:val="18"/>
                <w:szCs w:val="18"/>
              </w:rPr>
              <w:t>Jimp</w:t>
            </w:r>
            <w:proofErr w:type="spellEnd"/>
          </w:p>
        </w:tc>
        <w:tc>
          <w:tcPr>
            <w:tcW w:w="887" w:type="dxa"/>
            <w:shd w:val="clear" w:color="auto" w:fill="auto"/>
            <w:tcMar>
              <w:left w:w="28" w:type="dxa"/>
              <w:right w:w="28" w:type="dxa"/>
            </w:tcMar>
            <w:vAlign w:val="center"/>
          </w:tcPr>
          <w:p w14:paraId="51EF855D" w14:textId="77777777" w:rsidR="00A7534A" w:rsidRPr="00016225" w:rsidRDefault="00A7534A" w:rsidP="000A3C22">
            <w:pPr>
              <w:jc w:val="center"/>
              <w:rPr>
                <w:sz w:val="18"/>
                <w:szCs w:val="18"/>
              </w:rPr>
            </w:pPr>
            <w:r>
              <w:rPr>
                <w:sz w:val="18"/>
                <w:szCs w:val="18"/>
              </w:rPr>
              <w:t>12/2025</w:t>
            </w:r>
          </w:p>
        </w:tc>
        <w:tc>
          <w:tcPr>
            <w:tcW w:w="1001" w:type="dxa"/>
            <w:shd w:val="clear" w:color="auto" w:fill="auto"/>
            <w:tcMar>
              <w:left w:w="28" w:type="dxa"/>
              <w:right w:w="28" w:type="dxa"/>
            </w:tcMar>
            <w:vAlign w:val="center"/>
          </w:tcPr>
          <w:p w14:paraId="6CDC16F3" w14:textId="77777777" w:rsidR="00A7534A" w:rsidRPr="00A61BB5" w:rsidRDefault="00A7534A" w:rsidP="000A3C22">
            <w:pPr>
              <w:jc w:val="center"/>
              <w:rPr>
                <w:sz w:val="18"/>
                <w:szCs w:val="18"/>
              </w:rPr>
            </w:pPr>
            <w:r w:rsidRPr="00A61BB5">
              <w:rPr>
                <w:sz w:val="18"/>
                <w:szCs w:val="18"/>
              </w:rPr>
              <w:t>25 %</w:t>
            </w:r>
          </w:p>
        </w:tc>
        <w:tc>
          <w:tcPr>
            <w:tcW w:w="1125" w:type="dxa"/>
            <w:shd w:val="clear" w:color="auto" w:fill="auto"/>
            <w:vAlign w:val="center"/>
          </w:tcPr>
          <w:p w14:paraId="52696422" w14:textId="77777777" w:rsidR="00A7534A" w:rsidRPr="00A61BB5" w:rsidRDefault="00A7534A" w:rsidP="000A3C22">
            <w:pPr>
              <w:jc w:val="center"/>
              <w:rPr>
                <w:sz w:val="18"/>
                <w:szCs w:val="18"/>
              </w:rPr>
            </w:pPr>
            <w:r w:rsidRPr="00A61BB5">
              <w:rPr>
                <w:sz w:val="18"/>
                <w:szCs w:val="18"/>
              </w:rPr>
              <w:t>25 %</w:t>
            </w:r>
          </w:p>
        </w:tc>
        <w:tc>
          <w:tcPr>
            <w:tcW w:w="971" w:type="dxa"/>
            <w:vAlign w:val="center"/>
          </w:tcPr>
          <w:p w14:paraId="30334FEF" w14:textId="77777777" w:rsidR="00A7534A" w:rsidRPr="00A61BB5" w:rsidRDefault="00A7534A" w:rsidP="000A3C22">
            <w:pPr>
              <w:jc w:val="center"/>
              <w:rPr>
                <w:sz w:val="18"/>
                <w:szCs w:val="18"/>
              </w:rPr>
            </w:pPr>
            <w:r w:rsidRPr="00A61BB5">
              <w:rPr>
                <w:sz w:val="18"/>
                <w:szCs w:val="18"/>
              </w:rPr>
              <w:t>25 %</w:t>
            </w:r>
          </w:p>
        </w:tc>
        <w:tc>
          <w:tcPr>
            <w:tcW w:w="1071" w:type="dxa"/>
            <w:vAlign w:val="center"/>
          </w:tcPr>
          <w:p w14:paraId="3B8E46A9" w14:textId="77777777" w:rsidR="00A7534A" w:rsidRPr="00A61BB5" w:rsidRDefault="00A7534A" w:rsidP="000A3C22">
            <w:pPr>
              <w:jc w:val="center"/>
              <w:rPr>
                <w:sz w:val="18"/>
                <w:szCs w:val="18"/>
              </w:rPr>
            </w:pPr>
            <w:r w:rsidRPr="00A61BB5">
              <w:rPr>
                <w:sz w:val="18"/>
                <w:szCs w:val="18"/>
              </w:rPr>
              <w:t>25 %</w:t>
            </w:r>
          </w:p>
        </w:tc>
      </w:tr>
      <w:tr w:rsidR="00A7534A" w:rsidRPr="00A61BB5" w14:paraId="0D4C56C2" w14:textId="77777777" w:rsidTr="00A7534A">
        <w:trPr>
          <w:trHeight w:val="368"/>
        </w:trPr>
        <w:tc>
          <w:tcPr>
            <w:tcW w:w="1369" w:type="dxa"/>
            <w:shd w:val="clear" w:color="auto" w:fill="auto"/>
            <w:tcMar>
              <w:left w:w="28" w:type="dxa"/>
              <w:right w:w="28" w:type="dxa"/>
            </w:tcMar>
            <w:vAlign w:val="center"/>
          </w:tcPr>
          <w:p w14:paraId="29279CEB" w14:textId="77777777" w:rsidR="00A7534A" w:rsidRPr="00016225" w:rsidRDefault="00A7534A" w:rsidP="000A3C22">
            <w:pPr>
              <w:jc w:val="center"/>
              <w:rPr>
                <w:sz w:val="18"/>
                <w:szCs w:val="18"/>
              </w:rPr>
            </w:pPr>
            <w:r w:rsidRPr="00016225">
              <w:rPr>
                <w:sz w:val="18"/>
                <w:szCs w:val="18"/>
              </w:rPr>
              <w:t>QL24020351-V</w:t>
            </w:r>
            <w:r>
              <w:rPr>
                <w:sz w:val="18"/>
                <w:szCs w:val="18"/>
              </w:rPr>
              <w:t>4</w:t>
            </w:r>
          </w:p>
        </w:tc>
        <w:tc>
          <w:tcPr>
            <w:tcW w:w="2398" w:type="dxa"/>
            <w:shd w:val="clear" w:color="auto" w:fill="auto"/>
            <w:tcMar>
              <w:left w:w="28" w:type="dxa"/>
              <w:right w:w="28" w:type="dxa"/>
            </w:tcMar>
            <w:vAlign w:val="center"/>
          </w:tcPr>
          <w:p w14:paraId="6FBBB1AB" w14:textId="77777777" w:rsidR="00A7534A" w:rsidRPr="00016225" w:rsidRDefault="00A7534A" w:rsidP="000A3C22">
            <w:pPr>
              <w:autoSpaceDE w:val="0"/>
              <w:autoSpaceDN w:val="0"/>
              <w:adjustRightInd w:val="0"/>
              <w:rPr>
                <w:sz w:val="18"/>
                <w:szCs w:val="18"/>
              </w:rPr>
            </w:pPr>
            <w:r w:rsidRPr="00016225">
              <w:rPr>
                <w:sz w:val="18"/>
                <w:szCs w:val="18"/>
              </w:rPr>
              <w:t xml:space="preserve">Podklady pro úpravu legislativy zaměřené na </w:t>
            </w:r>
            <w:proofErr w:type="spellStart"/>
            <w:r w:rsidRPr="00016225">
              <w:rPr>
                <w:sz w:val="18"/>
                <w:szCs w:val="18"/>
              </w:rPr>
              <w:t>lesnickotypologický</w:t>
            </w:r>
            <w:proofErr w:type="spellEnd"/>
            <w:r>
              <w:rPr>
                <w:sz w:val="18"/>
                <w:szCs w:val="18"/>
              </w:rPr>
              <w:t xml:space="preserve"> </w:t>
            </w:r>
            <w:r w:rsidRPr="00016225">
              <w:rPr>
                <w:sz w:val="18"/>
                <w:szCs w:val="18"/>
              </w:rPr>
              <w:t>klasifikační systém</w:t>
            </w:r>
          </w:p>
        </w:tc>
        <w:tc>
          <w:tcPr>
            <w:tcW w:w="818" w:type="dxa"/>
            <w:shd w:val="clear" w:color="auto" w:fill="auto"/>
            <w:tcMar>
              <w:left w:w="28" w:type="dxa"/>
              <w:right w:w="28" w:type="dxa"/>
            </w:tcMar>
            <w:vAlign w:val="center"/>
          </w:tcPr>
          <w:p w14:paraId="0E9BE635" w14:textId="77777777" w:rsidR="00A7534A" w:rsidRPr="00016225" w:rsidRDefault="00A7534A" w:rsidP="000A3C22">
            <w:pPr>
              <w:jc w:val="center"/>
              <w:rPr>
                <w:sz w:val="18"/>
                <w:szCs w:val="18"/>
              </w:rPr>
            </w:pPr>
            <w:proofErr w:type="spellStart"/>
            <w:r>
              <w:rPr>
                <w:sz w:val="18"/>
                <w:szCs w:val="18"/>
              </w:rPr>
              <w:t>Hleg</w:t>
            </w:r>
            <w:proofErr w:type="spellEnd"/>
          </w:p>
        </w:tc>
        <w:tc>
          <w:tcPr>
            <w:tcW w:w="887" w:type="dxa"/>
            <w:shd w:val="clear" w:color="auto" w:fill="auto"/>
            <w:tcMar>
              <w:left w:w="28" w:type="dxa"/>
              <w:right w:w="28" w:type="dxa"/>
            </w:tcMar>
            <w:vAlign w:val="center"/>
          </w:tcPr>
          <w:p w14:paraId="0DDB471D" w14:textId="77777777" w:rsidR="00A7534A" w:rsidRPr="00016225" w:rsidRDefault="00A7534A" w:rsidP="000A3C22">
            <w:pPr>
              <w:jc w:val="center"/>
              <w:rPr>
                <w:sz w:val="18"/>
                <w:szCs w:val="18"/>
              </w:rPr>
            </w:pPr>
            <w:r>
              <w:rPr>
                <w:sz w:val="18"/>
                <w:szCs w:val="18"/>
              </w:rPr>
              <w:t>12/2026</w:t>
            </w:r>
          </w:p>
        </w:tc>
        <w:tc>
          <w:tcPr>
            <w:tcW w:w="1001" w:type="dxa"/>
            <w:shd w:val="clear" w:color="auto" w:fill="auto"/>
            <w:tcMar>
              <w:left w:w="28" w:type="dxa"/>
              <w:right w:w="28" w:type="dxa"/>
            </w:tcMar>
            <w:vAlign w:val="center"/>
          </w:tcPr>
          <w:p w14:paraId="3043DE6E" w14:textId="77777777" w:rsidR="00A7534A" w:rsidRPr="00A61BB5" w:rsidRDefault="00A7534A" w:rsidP="000A3C22">
            <w:pPr>
              <w:jc w:val="center"/>
              <w:rPr>
                <w:sz w:val="18"/>
                <w:szCs w:val="18"/>
              </w:rPr>
            </w:pPr>
            <w:r w:rsidRPr="00A61BB5">
              <w:rPr>
                <w:sz w:val="18"/>
                <w:szCs w:val="18"/>
              </w:rPr>
              <w:t>85 %</w:t>
            </w:r>
          </w:p>
        </w:tc>
        <w:tc>
          <w:tcPr>
            <w:tcW w:w="1125" w:type="dxa"/>
            <w:shd w:val="clear" w:color="auto" w:fill="auto"/>
            <w:vAlign w:val="center"/>
          </w:tcPr>
          <w:p w14:paraId="36B8F2F6" w14:textId="77777777" w:rsidR="00A7534A" w:rsidRPr="00A61BB5" w:rsidRDefault="00A7534A" w:rsidP="000A3C22">
            <w:pPr>
              <w:jc w:val="center"/>
              <w:rPr>
                <w:sz w:val="18"/>
                <w:szCs w:val="18"/>
              </w:rPr>
            </w:pPr>
            <w:r w:rsidRPr="00A61BB5">
              <w:rPr>
                <w:sz w:val="18"/>
                <w:szCs w:val="18"/>
              </w:rPr>
              <w:t>5 %</w:t>
            </w:r>
          </w:p>
        </w:tc>
        <w:tc>
          <w:tcPr>
            <w:tcW w:w="971" w:type="dxa"/>
            <w:vAlign w:val="center"/>
          </w:tcPr>
          <w:p w14:paraId="704D8867" w14:textId="77777777" w:rsidR="00A7534A" w:rsidRPr="00A61BB5" w:rsidRDefault="00A7534A" w:rsidP="000A3C22">
            <w:pPr>
              <w:jc w:val="center"/>
              <w:rPr>
                <w:sz w:val="18"/>
                <w:szCs w:val="18"/>
              </w:rPr>
            </w:pPr>
            <w:r w:rsidRPr="00A61BB5">
              <w:rPr>
                <w:sz w:val="18"/>
                <w:szCs w:val="18"/>
              </w:rPr>
              <w:t>5 %</w:t>
            </w:r>
          </w:p>
        </w:tc>
        <w:tc>
          <w:tcPr>
            <w:tcW w:w="1071" w:type="dxa"/>
            <w:vAlign w:val="center"/>
          </w:tcPr>
          <w:p w14:paraId="6976CABB" w14:textId="77777777" w:rsidR="00A7534A" w:rsidRPr="00A61BB5" w:rsidRDefault="00A7534A" w:rsidP="000A3C22">
            <w:pPr>
              <w:jc w:val="center"/>
              <w:rPr>
                <w:sz w:val="18"/>
                <w:szCs w:val="18"/>
              </w:rPr>
            </w:pPr>
            <w:r w:rsidRPr="00A61BB5">
              <w:rPr>
                <w:sz w:val="18"/>
                <w:szCs w:val="18"/>
              </w:rPr>
              <w:t>5 %</w:t>
            </w:r>
          </w:p>
        </w:tc>
      </w:tr>
      <w:tr w:rsidR="00A7534A" w:rsidRPr="00A61BB5" w14:paraId="69D1B5DB" w14:textId="77777777" w:rsidTr="00A7534A">
        <w:trPr>
          <w:trHeight w:val="368"/>
        </w:trPr>
        <w:tc>
          <w:tcPr>
            <w:tcW w:w="1369" w:type="dxa"/>
            <w:shd w:val="clear" w:color="auto" w:fill="auto"/>
            <w:tcMar>
              <w:left w:w="28" w:type="dxa"/>
              <w:right w:w="28" w:type="dxa"/>
            </w:tcMar>
            <w:vAlign w:val="center"/>
          </w:tcPr>
          <w:p w14:paraId="44A8F664" w14:textId="77777777" w:rsidR="00A7534A" w:rsidRPr="00016225" w:rsidRDefault="00A7534A" w:rsidP="000A3C22">
            <w:pPr>
              <w:jc w:val="center"/>
              <w:rPr>
                <w:sz w:val="18"/>
                <w:szCs w:val="18"/>
              </w:rPr>
            </w:pPr>
            <w:r w:rsidRPr="00016225">
              <w:rPr>
                <w:sz w:val="18"/>
                <w:szCs w:val="18"/>
              </w:rPr>
              <w:t>QL24020351-V</w:t>
            </w:r>
            <w:r>
              <w:rPr>
                <w:sz w:val="18"/>
                <w:szCs w:val="18"/>
              </w:rPr>
              <w:t>5</w:t>
            </w:r>
          </w:p>
        </w:tc>
        <w:tc>
          <w:tcPr>
            <w:tcW w:w="2398" w:type="dxa"/>
            <w:shd w:val="clear" w:color="auto" w:fill="auto"/>
            <w:tcMar>
              <w:left w:w="28" w:type="dxa"/>
              <w:right w:w="28" w:type="dxa"/>
            </w:tcMar>
            <w:vAlign w:val="center"/>
          </w:tcPr>
          <w:p w14:paraId="210130B9" w14:textId="77777777" w:rsidR="00A7534A" w:rsidRPr="00016225" w:rsidRDefault="00A7534A" w:rsidP="000A3C22">
            <w:pPr>
              <w:autoSpaceDE w:val="0"/>
              <w:autoSpaceDN w:val="0"/>
              <w:adjustRightInd w:val="0"/>
              <w:rPr>
                <w:sz w:val="18"/>
                <w:szCs w:val="18"/>
              </w:rPr>
            </w:pPr>
            <w:r w:rsidRPr="00016225">
              <w:rPr>
                <w:sz w:val="18"/>
                <w:szCs w:val="18"/>
              </w:rPr>
              <w:t>Aktualizace Lesnicko-typologického klasifikačního systému a</w:t>
            </w:r>
            <w:r>
              <w:rPr>
                <w:sz w:val="18"/>
                <w:szCs w:val="18"/>
              </w:rPr>
              <w:t xml:space="preserve"> </w:t>
            </w:r>
            <w:r w:rsidRPr="00016225">
              <w:rPr>
                <w:sz w:val="18"/>
                <w:szCs w:val="18"/>
              </w:rPr>
              <w:t>stanovení vývoje lesních vegetačních stupňů na území ČR</w:t>
            </w:r>
          </w:p>
        </w:tc>
        <w:tc>
          <w:tcPr>
            <w:tcW w:w="818" w:type="dxa"/>
            <w:shd w:val="clear" w:color="auto" w:fill="auto"/>
            <w:tcMar>
              <w:left w:w="28" w:type="dxa"/>
              <w:right w:w="28" w:type="dxa"/>
            </w:tcMar>
            <w:vAlign w:val="center"/>
          </w:tcPr>
          <w:p w14:paraId="45B6ED3E" w14:textId="77777777" w:rsidR="00A7534A" w:rsidRPr="00016225" w:rsidRDefault="00A7534A" w:rsidP="000A3C22">
            <w:pPr>
              <w:jc w:val="center"/>
              <w:rPr>
                <w:sz w:val="18"/>
                <w:szCs w:val="18"/>
              </w:rPr>
            </w:pPr>
            <w:proofErr w:type="spellStart"/>
            <w:r>
              <w:rPr>
                <w:sz w:val="18"/>
                <w:szCs w:val="18"/>
              </w:rPr>
              <w:t>NmetS</w:t>
            </w:r>
            <w:proofErr w:type="spellEnd"/>
          </w:p>
        </w:tc>
        <w:tc>
          <w:tcPr>
            <w:tcW w:w="887" w:type="dxa"/>
            <w:shd w:val="clear" w:color="auto" w:fill="auto"/>
            <w:tcMar>
              <w:left w:w="28" w:type="dxa"/>
              <w:right w:w="28" w:type="dxa"/>
            </w:tcMar>
            <w:vAlign w:val="center"/>
          </w:tcPr>
          <w:p w14:paraId="15B83AAB" w14:textId="77777777" w:rsidR="00A7534A" w:rsidRPr="00016225" w:rsidRDefault="00A7534A" w:rsidP="000A3C22">
            <w:pPr>
              <w:jc w:val="center"/>
              <w:rPr>
                <w:sz w:val="18"/>
                <w:szCs w:val="18"/>
              </w:rPr>
            </w:pPr>
            <w:r>
              <w:rPr>
                <w:sz w:val="18"/>
                <w:szCs w:val="18"/>
              </w:rPr>
              <w:t>12/2026</w:t>
            </w:r>
          </w:p>
        </w:tc>
        <w:tc>
          <w:tcPr>
            <w:tcW w:w="1001" w:type="dxa"/>
            <w:shd w:val="clear" w:color="auto" w:fill="auto"/>
            <w:tcMar>
              <w:left w:w="28" w:type="dxa"/>
              <w:right w:w="28" w:type="dxa"/>
            </w:tcMar>
            <w:vAlign w:val="center"/>
          </w:tcPr>
          <w:p w14:paraId="57AF6F1D" w14:textId="77777777" w:rsidR="00A7534A" w:rsidRPr="00A61BB5" w:rsidRDefault="00A7534A" w:rsidP="000A3C22">
            <w:pPr>
              <w:jc w:val="center"/>
              <w:rPr>
                <w:sz w:val="18"/>
                <w:szCs w:val="18"/>
              </w:rPr>
            </w:pPr>
            <w:r w:rsidRPr="00A61BB5">
              <w:rPr>
                <w:sz w:val="18"/>
                <w:szCs w:val="18"/>
              </w:rPr>
              <w:t>70 %</w:t>
            </w:r>
          </w:p>
        </w:tc>
        <w:tc>
          <w:tcPr>
            <w:tcW w:w="1125" w:type="dxa"/>
            <w:shd w:val="clear" w:color="auto" w:fill="auto"/>
            <w:vAlign w:val="center"/>
          </w:tcPr>
          <w:p w14:paraId="00467FD5" w14:textId="77777777" w:rsidR="00A7534A" w:rsidRPr="00A61BB5" w:rsidRDefault="00A7534A" w:rsidP="000A3C22">
            <w:pPr>
              <w:jc w:val="center"/>
              <w:rPr>
                <w:sz w:val="18"/>
                <w:szCs w:val="18"/>
              </w:rPr>
            </w:pPr>
            <w:r w:rsidRPr="00A61BB5">
              <w:rPr>
                <w:sz w:val="18"/>
                <w:szCs w:val="18"/>
              </w:rPr>
              <w:t>10 %</w:t>
            </w:r>
          </w:p>
        </w:tc>
        <w:tc>
          <w:tcPr>
            <w:tcW w:w="971" w:type="dxa"/>
            <w:vAlign w:val="center"/>
          </w:tcPr>
          <w:p w14:paraId="2BA2CF1E" w14:textId="77777777" w:rsidR="00A7534A" w:rsidRPr="00A61BB5" w:rsidRDefault="00A7534A" w:rsidP="000A3C22">
            <w:pPr>
              <w:jc w:val="center"/>
              <w:rPr>
                <w:sz w:val="18"/>
                <w:szCs w:val="18"/>
              </w:rPr>
            </w:pPr>
            <w:r w:rsidRPr="00A61BB5">
              <w:rPr>
                <w:sz w:val="18"/>
                <w:szCs w:val="18"/>
              </w:rPr>
              <w:t>10 %</w:t>
            </w:r>
          </w:p>
        </w:tc>
        <w:tc>
          <w:tcPr>
            <w:tcW w:w="1071" w:type="dxa"/>
            <w:vAlign w:val="center"/>
          </w:tcPr>
          <w:p w14:paraId="1FF08958" w14:textId="77777777" w:rsidR="00A7534A" w:rsidRPr="00A61BB5" w:rsidRDefault="00A7534A" w:rsidP="000A3C22">
            <w:pPr>
              <w:jc w:val="center"/>
              <w:rPr>
                <w:sz w:val="18"/>
                <w:szCs w:val="18"/>
              </w:rPr>
            </w:pPr>
            <w:r w:rsidRPr="00A61BB5">
              <w:rPr>
                <w:sz w:val="18"/>
                <w:szCs w:val="18"/>
              </w:rPr>
              <w:t>10 %</w:t>
            </w:r>
          </w:p>
        </w:tc>
      </w:tr>
      <w:tr w:rsidR="00A7534A" w:rsidRPr="00A61BB5" w14:paraId="5FE38DA4" w14:textId="77777777" w:rsidTr="00A7534A">
        <w:trPr>
          <w:trHeight w:val="368"/>
        </w:trPr>
        <w:tc>
          <w:tcPr>
            <w:tcW w:w="1369" w:type="dxa"/>
            <w:shd w:val="clear" w:color="auto" w:fill="auto"/>
            <w:tcMar>
              <w:left w:w="28" w:type="dxa"/>
              <w:right w:w="28" w:type="dxa"/>
            </w:tcMar>
            <w:vAlign w:val="center"/>
          </w:tcPr>
          <w:p w14:paraId="2D3A77F0" w14:textId="77777777" w:rsidR="00A7534A" w:rsidRPr="00016225" w:rsidRDefault="00A7534A" w:rsidP="000A3C22">
            <w:pPr>
              <w:jc w:val="center"/>
              <w:rPr>
                <w:sz w:val="18"/>
                <w:szCs w:val="18"/>
              </w:rPr>
            </w:pPr>
            <w:r w:rsidRPr="00016225">
              <w:rPr>
                <w:sz w:val="18"/>
                <w:szCs w:val="18"/>
              </w:rPr>
              <w:t>QL24020351-V</w:t>
            </w:r>
            <w:r>
              <w:rPr>
                <w:sz w:val="18"/>
                <w:szCs w:val="18"/>
              </w:rPr>
              <w:t>6</w:t>
            </w:r>
          </w:p>
        </w:tc>
        <w:tc>
          <w:tcPr>
            <w:tcW w:w="2398" w:type="dxa"/>
            <w:shd w:val="clear" w:color="auto" w:fill="auto"/>
            <w:tcMar>
              <w:left w:w="28" w:type="dxa"/>
              <w:right w:w="28" w:type="dxa"/>
            </w:tcMar>
            <w:vAlign w:val="center"/>
          </w:tcPr>
          <w:p w14:paraId="371802D0" w14:textId="77777777" w:rsidR="00A7534A" w:rsidRPr="00387247" w:rsidRDefault="00A7534A" w:rsidP="000A3C22">
            <w:pPr>
              <w:autoSpaceDE w:val="0"/>
              <w:autoSpaceDN w:val="0"/>
              <w:adjustRightInd w:val="0"/>
              <w:rPr>
                <w:sz w:val="18"/>
                <w:szCs w:val="18"/>
              </w:rPr>
            </w:pPr>
            <w:r w:rsidRPr="00387247">
              <w:rPr>
                <w:sz w:val="18"/>
                <w:szCs w:val="18"/>
              </w:rPr>
              <w:t>Současné rozšíření indikačně významných druhů rostlin.</w:t>
            </w:r>
          </w:p>
        </w:tc>
        <w:tc>
          <w:tcPr>
            <w:tcW w:w="818" w:type="dxa"/>
            <w:shd w:val="clear" w:color="auto" w:fill="auto"/>
            <w:tcMar>
              <w:left w:w="28" w:type="dxa"/>
              <w:right w:w="28" w:type="dxa"/>
            </w:tcMar>
            <w:vAlign w:val="center"/>
          </w:tcPr>
          <w:p w14:paraId="2F30AA20" w14:textId="77777777" w:rsidR="00A7534A" w:rsidRPr="00016225" w:rsidRDefault="00A7534A" w:rsidP="000A3C22">
            <w:pPr>
              <w:jc w:val="center"/>
              <w:rPr>
                <w:sz w:val="18"/>
                <w:szCs w:val="18"/>
              </w:rPr>
            </w:pPr>
            <w:proofErr w:type="spellStart"/>
            <w:r>
              <w:rPr>
                <w:sz w:val="18"/>
                <w:szCs w:val="18"/>
              </w:rPr>
              <w:t>Nmap</w:t>
            </w:r>
            <w:proofErr w:type="spellEnd"/>
          </w:p>
        </w:tc>
        <w:tc>
          <w:tcPr>
            <w:tcW w:w="887" w:type="dxa"/>
            <w:shd w:val="clear" w:color="auto" w:fill="auto"/>
            <w:tcMar>
              <w:left w:w="28" w:type="dxa"/>
              <w:right w:w="28" w:type="dxa"/>
            </w:tcMar>
            <w:vAlign w:val="center"/>
          </w:tcPr>
          <w:p w14:paraId="78FB48D1" w14:textId="77777777" w:rsidR="00A7534A" w:rsidRPr="00016225" w:rsidRDefault="00A7534A" w:rsidP="000A3C22">
            <w:pPr>
              <w:jc w:val="center"/>
              <w:rPr>
                <w:sz w:val="18"/>
                <w:szCs w:val="18"/>
              </w:rPr>
            </w:pPr>
            <w:r>
              <w:rPr>
                <w:sz w:val="18"/>
                <w:szCs w:val="18"/>
              </w:rPr>
              <w:t>12/2026</w:t>
            </w:r>
          </w:p>
        </w:tc>
        <w:tc>
          <w:tcPr>
            <w:tcW w:w="1001" w:type="dxa"/>
            <w:shd w:val="clear" w:color="auto" w:fill="auto"/>
            <w:tcMar>
              <w:left w:w="28" w:type="dxa"/>
              <w:right w:w="28" w:type="dxa"/>
            </w:tcMar>
            <w:vAlign w:val="center"/>
          </w:tcPr>
          <w:p w14:paraId="5B2566CC" w14:textId="77777777" w:rsidR="00A7534A" w:rsidRPr="00A61BB5" w:rsidRDefault="00A7534A" w:rsidP="000A3C22">
            <w:pPr>
              <w:jc w:val="center"/>
              <w:rPr>
                <w:sz w:val="18"/>
                <w:szCs w:val="18"/>
              </w:rPr>
            </w:pPr>
            <w:r w:rsidRPr="00A61BB5">
              <w:rPr>
                <w:sz w:val="18"/>
                <w:szCs w:val="18"/>
              </w:rPr>
              <w:t>0 %</w:t>
            </w:r>
          </w:p>
        </w:tc>
        <w:tc>
          <w:tcPr>
            <w:tcW w:w="1125" w:type="dxa"/>
            <w:shd w:val="clear" w:color="auto" w:fill="auto"/>
            <w:vAlign w:val="center"/>
          </w:tcPr>
          <w:p w14:paraId="44E5771A" w14:textId="77777777" w:rsidR="00A7534A" w:rsidRPr="00A61BB5" w:rsidRDefault="00A7534A" w:rsidP="000A3C22">
            <w:pPr>
              <w:jc w:val="center"/>
              <w:rPr>
                <w:sz w:val="18"/>
                <w:szCs w:val="18"/>
              </w:rPr>
            </w:pPr>
            <w:r w:rsidRPr="00A61BB5">
              <w:rPr>
                <w:sz w:val="18"/>
                <w:szCs w:val="18"/>
              </w:rPr>
              <w:t>40 %</w:t>
            </w:r>
          </w:p>
        </w:tc>
        <w:tc>
          <w:tcPr>
            <w:tcW w:w="971" w:type="dxa"/>
            <w:vAlign w:val="center"/>
          </w:tcPr>
          <w:p w14:paraId="3216F5DD" w14:textId="77777777" w:rsidR="00A7534A" w:rsidRPr="00A61BB5" w:rsidRDefault="00A7534A" w:rsidP="000A3C22">
            <w:pPr>
              <w:jc w:val="center"/>
              <w:rPr>
                <w:sz w:val="18"/>
                <w:szCs w:val="18"/>
              </w:rPr>
            </w:pPr>
            <w:r w:rsidRPr="00A61BB5">
              <w:rPr>
                <w:sz w:val="18"/>
                <w:szCs w:val="18"/>
              </w:rPr>
              <w:t>40 %</w:t>
            </w:r>
          </w:p>
        </w:tc>
        <w:tc>
          <w:tcPr>
            <w:tcW w:w="1071" w:type="dxa"/>
            <w:vAlign w:val="center"/>
          </w:tcPr>
          <w:p w14:paraId="35E2FBD3" w14:textId="77777777" w:rsidR="00A7534A" w:rsidRPr="00A61BB5" w:rsidRDefault="00A7534A" w:rsidP="000A3C22">
            <w:pPr>
              <w:jc w:val="center"/>
              <w:rPr>
                <w:sz w:val="18"/>
                <w:szCs w:val="18"/>
              </w:rPr>
            </w:pPr>
            <w:r w:rsidRPr="00A61BB5">
              <w:rPr>
                <w:sz w:val="18"/>
                <w:szCs w:val="18"/>
              </w:rPr>
              <w:t>20 %</w:t>
            </w:r>
          </w:p>
        </w:tc>
      </w:tr>
      <w:tr w:rsidR="00A7534A" w:rsidRPr="00A61BB5" w14:paraId="2A4FA38A" w14:textId="77777777" w:rsidTr="00A7534A">
        <w:trPr>
          <w:trHeight w:val="368"/>
        </w:trPr>
        <w:tc>
          <w:tcPr>
            <w:tcW w:w="1369" w:type="dxa"/>
            <w:shd w:val="clear" w:color="auto" w:fill="auto"/>
            <w:tcMar>
              <w:left w:w="28" w:type="dxa"/>
              <w:right w:w="28" w:type="dxa"/>
            </w:tcMar>
            <w:vAlign w:val="center"/>
          </w:tcPr>
          <w:p w14:paraId="37BDAB10" w14:textId="77777777" w:rsidR="00A7534A" w:rsidRPr="00016225" w:rsidRDefault="00A7534A" w:rsidP="000A3C22">
            <w:pPr>
              <w:jc w:val="center"/>
              <w:rPr>
                <w:sz w:val="18"/>
                <w:szCs w:val="18"/>
              </w:rPr>
            </w:pPr>
            <w:r w:rsidRPr="00016225">
              <w:rPr>
                <w:sz w:val="18"/>
                <w:szCs w:val="18"/>
              </w:rPr>
              <w:t>QL24020351-V</w:t>
            </w:r>
            <w:r>
              <w:rPr>
                <w:sz w:val="18"/>
                <w:szCs w:val="18"/>
              </w:rPr>
              <w:t>7</w:t>
            </w:r>
          </w:p>
        </w:tc>
        <w:tc>
          <w:tcPr>
            <w:tcW w:w="2398" w:type="dxa"/>
            <w:shd w:val="clear" w:color="auto" w:fill="auto"/>
            <w:tcMar>
              <w:left w:w="28" w:type="dxa"/>
              <w:right w:w="28" w:type="dxa"/>
            </w:tcMar>
            <w:vAlign w:val="center"/>
          </w:tcPr>
          <w:p w14:paraId="02586087" w14:textId="77777777" w:rsidR="00A7534A" w:rsidRPr="00387247" w:rsidRDefault="00A7534A" w:rsidP="000A3C22">
            <w:pPr>
              <w:autoSpaceDE w:val="0"/>
              <w:autoSpaceDN w:val="0"/>
              <w:adjustRightInd w:val="0"/>
              <w:rPr>
                <w:sz w:val="18"/>
                <w:szCs w:val="18"/>
              </w:rPr>
            </w:pPr>
            <w:r w:rsidRPr="00387247">
              <w:rPr>
                <w:sz w:val="18"/>
                <w:szCs w:val="18"/>
              </w:rPr>
              <w:t>Mapy posunu areálů indikačně významných druhů rostlin</w:t>
            </w:r>
          </w:p>
        </w:tc>
        <w:tc>
          <w:tcPr>
            <w:tcW w:w="818" w:type="dxa"/>
            <w:shd w:val="clear" w:color="auto" w:fill="auto"/>
            <w:tcMar>
              <w:left w:w="28" w:type="dxa"/>
              <w:right w:w="28" w:type="dxa"/>
            </w:tcMar>
            <w:vAlign w:val="center"/>
          </w:tcPr>
          <w:p w14:paraId="137BDB1C" w14:textId="77777777" w:rsidR="00A7534A" w:rsidRPr="00016225" w:rsidRDefault="00A7534A" w:rsidP="000A3C22">
            <w:pPr>
              <w:jc w:val="center"/>
              <w:rPr>
                <w:sz w:val="18"/>
                <w:szCs w:val="18"/>
              </w:rPr>
            </w:pPr>
            <w:proofErr w:type="spellStart"/>
            <w:r>
              <w:rPr>
                <w:sz w:val="18"/>
                <w:szCs w:val="18"/>
              </w:rPr>
              <w:t>Nmap</w:t>
            </w:r>
            <w:proofErr w:type="spellEnd"/>
          </w:p>
        </w:tc>
        <w:tc>
          <w:tcPr>
            <w:tcW w:w="887" w:type="dxa"/>
            <w:shd w:val="clear" w:color="auto" w:fill="auto"/>
            <w:tcMar>
              <w:left w:w="28" w:type="dxa"/>
              <w:right w:w="28" w:type="dxa"/>
            </w:tcMar>
            <w:vAlign w:val="center"/>
          </w:tcPr>
          <w:p w14:paraId="11918044" w14:textId="77777777" w:rsidR="00A7534A" w:rsidRPr="00016225" w:rsidRDefault="00A7534A" w:rsidP="000A3C22">
            <w:pPr>
              <w:jc w:val="center"/>
              <w:rPr>
                <w:sz w:val="18"/>
                <w:szCs w:val="18"/>
              </w:rPr>
            </w:pPr>
            <w:r>
              <w:rPr>
                <w:sz w:val="18"/>
                <w:szCs w:val="18"/>
              </w:rPr>
              <w:t>12/2026</w:t>
            </w:r>
          </w:p>
        </w:tc>
        <w:tc>
          <w:tcPr>
            <w:tcW w:w="1001" w:type="dxa"/>
            <w:shd w:val="clear" w:color="auto" w:fill="auto"/>
            <w:tcMar>
              <w:left w:w="28" w:type="dxa"/>
              <w:right w:w="28" w:type="dxa"/>
            </w:tcMar>
            <w:vAlign w:val="center"/>
          </w:tcPr>
          <w:p w14:paraId="15F278F0" w14:textId="77777777" w:rsidR="00A7534A" w:rsidRPr="00A61BB5" w:rsidRDefault="00A7534A" w:rsidP="000A3C22">
            <w:pPr>
              <w:jc w:val="center"/>
              <w:rPr>
                <w:sz w:val="18"/>
                <w:szCs w:val="18"/>
              </w:rPr>
            </w:pPr>
            <w:r w:rsidRPr="00A61BB5">
              <w:rPr>
                <w:sz w:val="18"/>
                <w:szCs w:val="18"/>
              </w:rPr>
              <w:t>0 %</w:t>
            </w:r>
          </w:p>
        </w:tc>
        <w:tc>
          <w:tcPr>
            <w:tcW w:w="1125" w:type="dxa"/>
            <w:shd w:val="clear" w:color="auto" w:fill="auto"/>
            <w:vAlign w:val="center"/>
          </w:tcPr>
          <w:p w14:paraId="12164690" w14:textId="77777777" w:rsidR="00A7534A" w:rsidRPr="00A61BB5" w:rsidRDefault="00A7534A" w:rsidP="000A3C22">
            <w:pPr>
              <w:jc w:val="center"/>
              <w:rPr>
                <w:sz w:val="18"/>
                <w:szCs w:val="18"/>
              </w:rPr>
            </w:pPr>
            <w:r w:rsidRPr="00A61BB5">
              <w:rPr>
                <w:sz w:val="18"/>
                <w:szCs w:val="18"/>
              </w:rPr>
              <w:t>40 %</w:t>
            </w:r>
          </w:p>
        </w:tc>
        <w:tc>
          <w:tcPr>
            <w:tcW w:w="971" w:type="dxa"/>
            <w:vAlign w:val="center"/>
          </w:tcPr>
          <w:p w14:paraId="7B9DBEB4" w14:textId="77777777" w:rsidR="00A7534A" w:rsidRPr="00A61BB5" w:rsidRDefault="00A7534A" w:rsidP="000A3C22">
            <w:pPr>
              <w:jc w:val="center"/>
              <w:rPr>
                <w:sz w:val="18"/>
                <w:szCs w:val="18"/>
              </w:rPr>
            </w:pPr>
            <w:r w:rsidRPr="00A61BB5">
              <w:rPr>
                <w:sz w:val="18"/>
                <w:szCs w:val="18"/>
              </w:rPr>
              <w:t>40 %</w:t>
            </w:r>
          </w:p>
        </w:tc>
        <w:tc>
          <w:tcPr>
            <w:tcW w:w="1071" w:type="dxa"/>
            <w:vAlign w:val="center"/>
          </w:tcPr>
          <w:p w14:paraId="6DA9E8AA" w14:textId="77777777" w:rsidR="00A7534A" w:rsidRPr="00A61BB5" w:rsidRDefault="00A7534A" w:rsidP="000A3C22">
            <w:pPr>
              <w:jc w:val="center"/>
              <w:rPr>
                <w:sz w:val="18"/>
                <w:szCs w:val="18"/>
              </w:rPr>
            </w:pPr>
            <w:r w:rsidRPr="00A61BB5">
              <w:rPr>
                <w:sz w:val="18"/>
                <w:szCs w:val="18"/>
              </w:rPr>
              <w:t>20 %</w:t>
            </w:r>
          </w:p>
        </w:tc>
      </w:tr>
      <w:tr w:rsidR="00A7534A" w:rsidRPr="00A61BB5" w14:paraId="00159673" w14:textId="77777777" w:rsidTr="00A7534A">
        <w:trPr>
          <w:trHeight w:val="368"/>
        </w:trPr>
        <w:tc>
          <w:tcPr>
            <w:tcW w:w="1369" w:type="dxa"/>
            <w:shd w:val="clear" w:color="auto" w:fill="auto"/>
            <w:tcMar>
              <w:left w:w="28" w:type="dxa"/>
              <w:right w:w="28" w:type="dxa"/>
            </w:tcMar>
            <w:vAlign w:val="center"/>
          </w:tcPr>
          <w:p w14:paraId="4C41C09F" w14:textId="77777777" w:rsidR="00A7534A" w:rsidRPr="00016225" w:rsidRDefault="00A7534A" w:rsidP="000A3C22">
            <w:pPr>
              <w:jc w:val="center"/>
              <w:rPr>
                <w:sz w:val="18"/>
                <w:szCs w:val="18"/>
              </w:rPr>
            </w:pPr>
            <w:r w:rsidRPr="00016225">
              <w:rPr>
                <w:sz w:val="18"/>
                <w:szCs w:val="18"/>
              </w:rPr>
              <w:t>QL24020351-V</w:t>
            </w:r>
            <w:r>
              <w:rPr>
                <w:sz w:val="18"/>
                <w:szCs w:val="18"/>
              </w:rPr>
              <w:t>8</w:t>
            </w:r>
          </w:p>
        </w:tc>
        <w:tc>
          <w:tcPr>
            <w:tcW w:w="2398" w:type="dxa"/>
            <w:shd w:val="clear" w:color="auto" w:fill="auto"/>
            <w:tcMar>
              <w:left w:w="28" w:type="dxa"/>
              <w:right w:w="28" w:type="dxa"/>
            </w:tcMar>
            <w:vAlign w:val="center"/>
          </w:tcPr>
          <w:p w14:paraId="11876549" w14:textId="77777777" w:rsidR="00A7534A" w:rsidRPr="00387247" w:rsidRDefault="00A7534A" w:rsidP="000A3C22">
            <w:pPr>
              <w:autoSpaceDE w:val="0"/>
              <w:autoSpaceDN w:val="0"/>
              <w:adjustRightInd w:val="0"/>
              <w:rPr>
                <w:sz w:val="18"/>
                <w:szCs w:val="18"/>
              </w:rPr>
            </w:pPr>
            <w:r w:rsidRPr="00387247">
              <w:rPr>
                <w:sz w:val="18"/>
                <w:szCs w:val="18"/>
              </w:rPr>
              <w:t>Seminář zaměřený na dopady změny klimatu na lesnické</w:t>
            </w:r>
            <w:r>
              <w:rPr>
                <w:sz w:val="18"/>
                <w:szCs w:val="18"/>
              </w:rPr>
              <w:t xml:space="preserve"> </w:t>
            </w:r>
            <w:r w:rsidRPr="00387247">
              <w:rPr>
                <w:sz w:val="18"/>
                <w:szCs w:val="18"/>
              </w:rPr>
              <w:t>hospodaření</w:t>
            </w:r>
          </w:p>
        </w:tc>
        <w:tc>
          <w:tcPr>
            <w:tcW w:w="818" w:type="dxa"/>
            <w:shd w:val="clear" w:color="auto" w:fill="auto"/>
            <w:tcMar>
              <w:left w:w="28" w:type="dxa"/>
              <w:right w:w="28" w:type="dxa"/>
            </w:tcMar>
            <w:vAlign w:val="center"/>
          </w:tcPr>
          <w:p w14:paraId="12456CFA" w14:textId="77777777" w:rsidR="00A7534A" w:rsidRPr="00016225" w:rsidRDefault="00A7534A" w:rsidP="000A3C22">
            <w:pPr>
              <w:jc w:val="center"/>
              <w:rPr>
                <w:sz w:val="18"/>
                <w:szCs w:val="18"/>
              </w:rPr>
            </w:pPr>
            <w:r>
              <w:rPr>
                <w:sz w:val="18"/>
                <w:szCs w:val="18"/>
              </w:rPr>
              <w:t>M</w:t>
            </w:r>
          </w:p>
        </w:tc>
        <w:tc>
          <w:tcPr>
            <w:tcW w:w="887" w:type="dxa"/>
            <w:shd w:val="clear" w:color="auto" w:fill="auto"/>
            <w:tcMar>
              <w:left w:w="28" w:type="dxa"/>
              <w:right w:w="28" w:type="dxa"/>
            </w:tcMar>
            <w:vAlign w:val="center"/>
          </w:tcPr>
          <w:p w14:paraId="0C7262EE" w14:textId="77777777" w:rsidR="00A7534A" w:rsidRPr="00016225" w:rsidRDefault="00A7534A" w:rsidP="000A3C22">
            <w:pPr>
              <w:jc w:val="center"/>
              <w:rPr>
                <w:sz w:val="18"/>
                <w:szCs w:val="18"/>
              </w:rPr>
            </w:pPr>
            <w:r>
              <w:rPr>
                <w:sz w:val="18"/>
                <w:szCs w:val="18"/>
              </w:rPr>
              <w:t>12/2025</w:t>
            </w:r>
          </w:p>
        </w:tc>
        <w:tc>
          <w:tcPr>
            <w:tcW w:w="1001" w:type="dxa"/>
            <w:shd w:val="clear" w:color="auto" w:fill="auto"/>
            <w:tcMar>
              <w:left w:w="28" w:type="dxa"/>
              <w:right w:w="28" w:type="dxa"/>
            </w:tcMar>
            <w:vAlign w:val="center"/>
          </w:tcPr>
          <w:p w14:paraId="1B49E91A" w14:textId="77777777" w:rsidR="00A7534A" w:rsidRPr="00A61BB5" w:rsidRDefault="00A7534A" w:rsidP="000A3C22">
            <w:pPr>
              <w:jc w:val="center"/>
              <w:rPr>
                <w:sz w:val="18"/>
                <w:szCs w:val="18"/>
              </w:rPr>
            </w:pPr>
            <w:r w:rsidRPr="00A61BB5">
              <w:rPr>
                <w:sz w:val="18"/>
                <w:szCs w:val="18"/>
              </w:rPr>
              <w:t>40 %</w:t>
            </w:r>
          </w:p>
        </w:tc>
        <w:tc>
          <w:tcPr>
            <w:tcW w:w="1125" w:type="dxa"/>
            <w:shd w:val="clear" w:color="auto" w:fill="auto"/>
            <w:vAlign w:val="center"/>
          </w:tcPr>
          <w:p w14:paraId="7D805D76" w14:textId="77777777" w:rsidR="00A7534A" w:rsidRPr="00A61BB5" w:rsidRDefault="00A7534A" w:rsidP="000A3C22">
            <w:pPr>
              <w:jc w:val="center"/>
              <w:rPr>
                <w:sz w:val="18"/>
                <w:szCs w:val="18"/>
              </w:rPr>
            </w:pPr>
            <w:r w:rsidRPr="00A61BB5">
              <w:rPr>
                <w:sz w:val="18"/>
                <w:szCs w:val="18"/>
              </w:rPr>
              <w:t>20 %</w:t>
            </w:r>
          </w:p>
        </w:tc>
        <w:tc>
          <w:tcPr>
            <w:tcW w:w="971" w:type="dxa"/>
            <w:vAlign w:val="center"/>
          </w:tcPr>
          <w:p w14:paraId="408E81F6" w14:textId="77777777" w:rsidR="00A7534A" w:rsidRPr="00A61BB5" w:rsidRDefault="00A7534A" w:rsidP="000A3C22">
            <w:pPr>
              <w:jc w:val="center"/>
              <w:rPr>
                <w:sz w:val="18"/>
                <w:szCs w:val="18"/>
              </w:rPr>
            </w:pPr>
            <w:r w:rsidRPr="00A61BB5">
              <w:rPr>
                <w:sz w:val="18"/>
                <w:szCs w:val="18"/>
              </w:rPr>
              <w:t>20 %</w:t>
            </w:r>
          </w:p>
        </w:tc>
        <w:tc>
          <w:tcPr>
            <w:tcW w:w="1071" w:type="dxa"/>
            <w:vAlign w:val="center"/>
          </w:tcPr>
          <w:p w14:paraId="361C8B37" w14:textId="77777777" w:rsidR="00A7534A" w:rsidRPr="00A61BB5" w:rsidRDefault="00A7534A" w:rsidP="000A3C22">
            <w:pPr>
              <w:jc w:val="center"/>
              <w:rPr>
                <w:sz w:val="18"/>
                <w:szCs w:val="18"/>
              </w:rPr>
            </w:pPr>
            <w:r w:rsidRPr="00A61BB5">
              <w:rPr>
                <w:sz w:val="18"/>
                <w:szCs w:val="18"/>
              </w:rPr>
              <w:t>20 %</w:t>
            </w:r>
          </w:p>
        </w:tc>
      </w:tr>
      <w:tr w:rsidR="00A7534A" w:rsidRPr="00A61BB5" w14:paraId="323146F3" w14:textId="77777777" w:rsidTr="00A7534A">
        <w:trPr>
          <w:trHeight w:val="368"/>
        </w:trPr>
        <w:tc>
          <w:tcPr>
            <w:tcW w:w="1369" w:type="dxa"/>
            <w:shd w:val="clear" w:color="auto" w:fill="auto"/>
            <w:tcMar>
              <w:left w:w="28" w:type="dxa"/>
              <w:right w:w="28" w:type="dxa"/>
            </w:tcMar>
            <w:vAlign w:val="center"/>
          </w:tcPr>
          <w:p w14:paraId="5739689B" w14:textId="77777777" w:rsidR="00A7534A" w:rsidRPr="00016225" w:rsidRDefault="00A7534A" w:rsidP="000A3C22">
            <w:pPr>
              <w:jc w:val="center"/>
              <w:rPr>
                <w:sz w:val="18"/>
                <w:szCs w:val="18"/>
              </w:rPr>
            </w:pPr>
            <w:r w:rsidRPr="00016225">
              <w:rPr>
                <w:sz w:val="18"/>
                <w:szCs w:val="18"/>
              </w:rPr>
              <w:t>QL24020351-V</w:t>
            </w:r>
            <w:r>
              <w:rPr>
                <w:sz w:val="18"/>
                <w:szCs w:val="18"/>
              </w:rPr>
              <w:t>9</w:t>
            </w:r>
          </w:p>
        </w:tc>
        <w:tc>
          <w:tcPr>
            <w:tcW w:w="2398" w:type="dxa"/>
            <w:shd w:val="clear" w:color="auto" w:fill="auto"/>
            <w:tcMar>
              <w:left w:w="28" w:type="dxa"/>
              <w:right w:w="28" w:type="dxa"/>
            </w:tcMar>
            <w:vAlign w:val="center"/>
          </w:tcPr>
          <w:p w14:paraId="506EF04E" w14:textId="77777777" w:rsidR="00A7534A" w:rsidRPr="00387247" w:rsidRDefault="00A7534A" w:rsidP="000A3C22">
            <w:pPr>
              <w:autoSpaceDE w:val="0"/>
              <w:autoSpaceDN w:val="0"/>
              <w:adjustRightInd w:val="0"/>
              <w:rPr>
                <w:sz w:val="18"/>
                <w:szCs w:val="18"/>
              </w:rPr>
            </w:pPr>
            <w:r w:rsidRPr="00613040">
              <w:rPr>
                <w:sz w:val="18"/>
                <w:szCs w:val="18"/>
              </w:rPr>
              <w:t>Seminář zaměřený na aktualizaci lesnicko-typologického</w:t>
            </w:r>
            <w:r>
              <w:rPr>
                <w:sz w:val="18"/>
                <w:szCs w:val="18"/>
              </w:rPr>
              <w:t xml:space="preserve"> </w:t>
            </w:r>
            <w:r w:rsidRPr="00613040">
              <w:rPr>
                <w:sz w:val="18"/>
                <w:szCs w:val="18"/>
              </w:rPr>
              <w:t>systému</w:t>
            </w:r>
          </w:p>
        </w:tc>
        <w:tc>
          <w:tcPr>
            <w:tcW w:w="818" w:type="dxa"/>
            <w:shd w:val="clear" w:color="auto" w:fill="auto"/>
            <w:tcMar>
              <w:left w:w="28" w:type="dxa"/>
              <w:right w:w="28" w:type="dxa"/>
            </w:tcMar>
            <w:vAlign w:val="center"/>
          </w:tcPr>
          <w:p w14:paraId="4B05BA53" w14:textId="77777777" w:rsidR="00A7534A" w:rsidRDefault="00A7534A" w:rsidP="000A3C22">
            <w:pPr>
              <w:jc w:val="center"/>
              <w:rPr>
                <w:sz w:val="18"/>
                <w:szCs w:val="18"/>
              </w:rPr>
            </w:pPr>
            <w:r>
              <w:rPr>
                <w:sz w:val="18"/>
                <w:szCs w:val="18"/>
              </w:rPr>
              <w:t>M</w:t>
            </w:r>
          </w:p>
        </w:tc>
        <w:tc>
          <w:tcPr>
            <w:tcW w:w="887" w:type="dxa"/>
            <w:shd w:val="clear" w:color="auto" w:fill="auto"/>
            <w:tcMar>
              <w:left w:w="28" w:type="dxa"/>
              <w:right w:w="28" w:type="dxa"/>
            </w:tcMar>
            <w:vAlign w:val="center"/>
          </w:tcPr>
          <w:p w14:paraId="35C9E1C3" w14:textId="77777777" w:rsidR="00A7534A" w:rsidRDefault="00A7534A" w:rsidP="000A3C22">
            <w:pPr>
              <w:jc w:val="center"/>
              <w:rPr>
                <w:sz w:val="18"/>
                <w:szCs w:val="18"/>
              </w:rPr>
            </w:pPr>
            <w:r>
              <w:rPr>
                <w:sz w:val="18"/>
                <w:szCs w:val="18"/>
              </w:rPr>
              <w:t>12/2026</w:t>
            </w:r>
          </w:p>
        </w:tc>
        <w:tc>
          <w:tcPr>
            <w:tcW w:w="1001" w:type="dxa"/>
            <w:shd w:val="clear" w:color="auto" w:fill="auto"/>
            <w:tcMar>
              <w:left w:w="28" w:type="dxa"/>
              <w:right w:w="28" w:type="dxa"/>
            </w:tcMar>
            <w:vAlign w:val="center"/>
          </w:tcPr>
          <w:p w14:paraId="1CE6C6FD" w14:textId="77777777" w:rsidR="00A7534A" w:rsidRPr="00A61BB5" w:rsidRDefault="00A7534A" w:rsidP="000A3C22">
            <w:pPr>
              <w:jc w:val="center"/>
              <w:rPr>
                <w:sz w:val="18"/>
                <w:szCs w:val="18"/>
              </w:rPr>
            </w:pPr>
            <w:r w:rsidRPr="00A61BB5">
              <w:rPr>
                <w:sz w:val="18"/>
                <w:szCs w:val="18"/>
              </w:rPr>
              <w:t>40 %</w:t>
            </w:r>
          </w:p>
        </w:tc>
        <w:tc>
          <w:tcPr>
            <w:tcW w:w="1125" w:type="dxa"/>
            <w:shd w:val="clear" w:color="auto" w:fill="auto"/>
            <w:vAlign w:val="center"/>
          </w:tcPr>
          <w:p w14:paraId="5C6CA6E2" w14:textId="77777777" w:rsidR="00A7534A" w:rsidRPr="00A61BB5" w:rsidRDefault="00A7534A" w:rsidP="000A3C22">
            <w:pPr>
              <w:jc w:val="center"/>
              <w:rPr>
                <w:sz w:val="18"/>
                <w:szCs w:val="18"/>
              </w:rPr>
            </w:pPr>
            <w:r w:rsidRPr="00A61BB5">
              <w:rPr>
                <w:sz w:val="18"/>
                <w:szCs w:val="18"/>
              </w:rPr>
              <w:t>20 %</w:t>
            </w:r>
          </w:p>
        </w:tc>
        <w:tc>
          <w:tcPr>
            <w:tcW w:w="971" w:type="dxa"/>
            <w:vAlign w:val="center"/>
          </w:tcPr>
          <w:p w14:paraId="4F4B172C" w14:textId="77777777" w:rsidR="00A7534A" w:rsidRPr="00A61BB5" w:rsidRDefault="00A7534A" w:rsidP="000A3C22">
            <w:pPr>
              <w:jc w:val="center"/>
              <w:rPr>
                <w:sz w:val="18"/>
                <w:szCs w:val="18"/>
              </w:rPr>
            </w:pPr>
            <w:r w:rsidRPr="00A61BB5">
              <w:rPr>
                <w:sz w:val="18"/>
                <w:szCs w:val="18"/>
              </w:rPr>
              <w:t>20 %</w:t>
            </w:r>
          </w:p>
        </w:tc>
        <w:tc>
          <w:tcPr>
            <w:tcW w:w="1071" w:type="dxa"/>
            <w:vAlign w:val="center"/>
          </w:tcPr>
          <w:p w14:paraId="0EC4E27B" w14:textId="77777777" w:rsidR="00A7534A" w:rsidRPr="00A61BB5" w:rsidRDefault="00A7534A" w:rsidP="000A3C22">
            <w:pPr>
              <w:jc w:val="center"/>
              <w:rPr>
                <w:sz w:val="18"/>
                <w:szCs w:val="18"/>
              </w:rPr>
            </w:pPr>
            <w:r w:rsidRPr="00A61BB5">
              <w:rPr>
                <w:sz w:val="18"/>
                <w:szCs w:val="18"/>
              </w:rPr>
              <w:t>20 %</w:t>
            </w:r>
          </w:p>
        </w:tc>
      </w:tr>
    </w:tbl>
    <w:p w14:paraId="277BAFF2" w14:textId="77777777" w:rsidR="00177030" w:rsidRDefault="00E23BC6" w:rsidP="0056198F">
      <w:pPr>
        <w:ind w:left="426"/>
        <w:jc w:val="both"/>
      </w:pPr>
      <w:r>
        <w:t>D</w:t>
      </w:r>
      <w:r w:rsidR="007F7691">
        <w:t>alší podmínk</w:t>
      </w:r>
      <w:r>
        <w:t>y</w:t>
      </w:r>
      <w:r w:rsidR="007F7691">
        <w:t>,</w:t>
      </w:r>
      <w:r w:rsidR="00B73034">
        <w:t xml:space="preserve"> </w:t>
      </w:r>
      <w:r>
        <w:t xml:space="preserve">za </w:t>
      </w:r>
      <w:r w:rsidR="00460BA4">
        <w:t>kter</w:t>
      </w:r>
      <w:r>
        <w:t>ých smluvní strany realizují výsledky projektu,</w:t>
      </w:r>
      <w:r w:rsidR="003E0F53">
        <w:t xml:space="preserve"> </w:t>
      </w:r>
      <w:r w:rsidR="0082585F">
        <w:t>j</w:t>
      </w:r>
      <w:r>
        <w:t>sou</w:t>
      </w:r>
      <w:r w:rsidR="003E0F53">
        <w:t xml:space="preserve"> </w:t>
      </w:r>
      <w:r w:rsidR="00B73034">
        <w:t>určen</w:t>
      </w:r>
      <w:r>
        <w:t>y</w:t>
      </w:r>
      <w:r w:rsidR="003E0F53">
        <w:t xml:space="preserve"> v </w:t>
      </w:r>
      <w:r w:rsidR="00493FAE">
        <w:t>p</w:t>
      </w:r>
      <w:r w:rsidR="003E0F53" w:rsidRPr="00B73034">
        <w:t>rojekt</w:t>
      </w:r>
      <w:r w:rsidR="002E157E" w:rsidRPr="00B73034">
        <w:t>u</w:t>
      </w:r>
      <w:r w:rsidR="00460BA4">
        <w:t>.</w:t>
      </w:r>
    </w:p>
    <w:p w14:paraId="4F199E52" w14:textId="77777777" w:rsidR="00F70CF2" w:rsidRDefault="00B3614B" w:rsidP="00177030">
      <w:pPr>
        <w:numPr>
          <w:ilvl w:val="0"/>
          <w:numId w:val="2"/>
        </w:numPr>
        <w:tabs>
          <w:tab w:val="clear" w:pos="720"/>
          <w:tab w:val="num" w:pos="426"/>
        </w:tabs>
        <w:ind w:left="426" w:hanging="426"/>
        <w:jc w:val="both"/>
      </w:pPr>
      <w:r>
        <w:t>P</w:t>
      </w:r>
      <w:r w:rsidR="003974EC">
        <w:t>říjemce</w:t>
      </w:r>
      <w:r w:rsidR="00F70CF2">
        <w:t xml:space="preserve"> poskytne na základě této smlouvy </w:t>
      </w:r>
      <w:r w:rsidR="00737CA0">
        <w:t>dalšímu účastníkovi</w:t>
      </w:r>
      <w:r w:rsidR="00F70CF2">
        <w:t xml:space="preserve"> odpovídající část </w:t>
      </w:r>
      <w:r w:rsidR="004A75E5">
        <w:t xml:space="preserve">finanční </w:t>
      </w:r>
      <w:r w:rsidR="00F70CF2">
        <w:t>podpory</w:t>
      </w:r>
      <w:r w:rsidR="003974EC">
        <w:t>, vymezené v</w:t>
      </w:r>
      <w:r w:rsidR="005362C7">
        <w:t xml:space="preserve"> Příloze I. </w:t>
      </w:r>
      <w:r w:rsidR="00493FAE">
        <w:t>–</w:t>
      </w:r>
      <w:r w:rsidR="005362C7">
        <w:t xml:space="preserve"> </w:t>
      </w:r>
      <w:r w:rsidR="00493FAE">
        <w:t xml:space="preserve">Závazné </w:t>
      </w:r>
      <w:r w:rsidR="00CF3F4D">
        <w:t>parametry řešení</w:t>
      </w:r>
      <w:r w:rsidR="00493FAE">
        <w:t xml:space="preserve"> projektu</w:t>
      </w:r>
      <w:r w:rsidR="003974EC">
        <w:t>.</w:t>
      </w:r>
      <w:r w:rsidR="00F70CF2">
        <w:t xml:space="preserve"> </w:t>
      </w:r>
    </w:p>
    <w:p w14:paraId="24DB8D9A" w14:textId="77777777" w:rsidR="00C56630" w:rsidRDefault="007F7691" w:rsidP="00C56630">
      <w:pPr>
        <w:numPr>
          <w:ilvl w:val="0"/>
          <w:numId w:val="2"/>
        </w:numPr>
        <w:tabs>
          <w:tab w:val="clear" w:pos="720"/>
          <w:tab w:val="num" w:pos="426"/>
        </w:tabs>
        <w:ind w:left="426" w:hanging="426"/>
        <w:jc w:val="both"/>
      </w:pPr>
      <w:r>
        <w:t>Řešení</w:t>
      </w:r>
      <w:r w:rsidR="00C56630">
        <w:t>m</w:t>
      </w:r>
      <w:r>
        <w:t xml:space="preserve"> projektu</w:t>
      </w:r>
      <w:r w:rsidR="00C56630">
        <w:t xml:space="preserve"> se rozumí činnost příjemce a dalšího účastníka vedoucí k dosažení cílů a výsledků projektu.</w:t>
      </w:r>
    </w:p>
    <w:p w14:paraId="15D4104F" w14:textId="77777777" w:rsidR="00C56630" w:rsidRPr="00612828" w:rsidRDefault="00C56630" w:rsidP="00C56630">
      <w:pPr>
        <w:numPr>
          <w:ilvl w:val="0"/>
          <w:numId w:val="2"/>
        </w:numPr>
        <w:tabs>
          <w:tab w:val="clear" w:pos="720"/>
          <w:tab w:val="num" w:pos="426"/>
        </w:tabs>
        <w:ind w:left="426" w:hanging="426"/>
        <w:jc w:val="both"/>
      </w:pPr>
      <w:r>
        <w:t>Termín zahá</w:t>
      </w:r>
      <w:r w:rsidR="002827FF">
        <w:t xml:space="preserve">jení a ukončení řešení projektu je stanoven v Příloze I. – Závazné parametry řešení projektu, tj. </w:t>
      </w:r>
      <w:r w:rsidR="00236C70">
        <w:t xml:space="preserve">od </w:t>
      </w:r>
      <w:r w:rsidR="00387247">
        <w:t>3</w:t>
      </w:r>
      <w:r w:rsidR="002827FF">
        <w:t>/202</w:t>
      </w:r>
      <w:r w:rsidR="00387247">
        <w:t>4</w:t>
      </w:r>
      <w:r w:rsidR="00236C70">
        <w:t xml:space="preserve"> do</w:t>
      </w:r>
      <w:r w:rsidRPr="00612828">
        <w:t xml:space="preserve"> </w:t>
      </w:r>
      <w:r w:rsidR="004D1D98">
        <w:t>12</w:t>
      </w:r>
      <w:r w:rsidRPr="00612828">
        <w:t>/20</w:t>
      </w:r>
      <w:r w:rsidR="004D1D98">
        <w:t>2</w:t>
      </w:r>
      <w:r w:rsidR="00A7534A">
        <w:t>6</w:t>
      </w:r>
      <w:r w:rsidR="00387247">
        <w:t>.</w:t>
      </w:r>
    </w:p>
    <w:p w14:paraId="0382657E" w14:textId="77777777" w:rsidR="007F7691" w:rsidRDefault="00C56630" w:rsidP="00177030">
      <w:pPr>
        <w:numPr>
          <w:ilvl w:val="0"/>
          <w:numId w:val="2"/>
        </w:numPr>
        <w:tabs>
          <w:tab w:val="clear" w:pos="720"/>
          <w:tab w:val="num" w:pos="426"/>
        </w:tabs>
        <w:ind w:left="426" w:hanging="426"/>
        <w:jc w:val="both"/>
      </w:pPr>
      <w:r>
        <w:t>Řešení projektu nesmí být zahájeno před termínem zahájení projektu.</w:t>
      </w:r>
    </w:p>
    <w:p w14:paraId="3C7C4E7E" w14:textId="77777777" w:rsidR="00C56630" w:rsidRDefault="00C56630" w:rsidP="00177030">
      <w:pPr>
        <w:numPr>
          <w:ilvl w:val="0"/>
          <w:numId w:val="2"/>
        </w:numPr>
        <w:tabs>
          <w:tab w:val="clear" w:pos="720"/>
          <w:tab w:val="num" w:pos="426"/>
        </w:tabs>
        <w:ind w:left="426" w:hanging="426"/>
        <w:jc w:val="both"/>
      </w:pPr>
      <w:r>
        <w:lastRenderedPageBreak/>
        <w:t>Řešení projektu musí být ukončeno nejpozději do termínu ukončení projektu. V tomto termínu musí být zároveň dosaženo cílů a výsledků projektu.</w:t>
      </w:r>
    </w:p>
    <w:p w14:paraId="07DC08B3" w14:textId="77777777" w:rsidR="007B7A70" w:rsidRDefault="007B7A70" w:rsidP="00177030">
      <w:pPr>
        <w:jc w:val="both"/>
      </w:pPr>
    </w:p>
    <w:p w14:paraId="1F467519" w14:textId="77777777" w:rsidR="00AF53D4" w:rsidRPr="00015CE2" w:rsidRDefault="00AF53D4" w:rsidP="00AF53D4">
      <w:pPr>
        <w:jc w:val="center"/>
        <w:rPr>
          <w:b/>
        </w:rPr>
      </w:pPr>
      <w:r w:rsidRPr="00015CE2">
        <w:rPr>
          <w:b/>
        </w:rPr>
        <w:t>II.</w:t>
      </w:r>
    </w:p>
    <w:p w14:paraId="6D071127" w14:textId="77777777" w:rsidR="00AF53D4" w:rsidRPr="00015CE2" w:rsidRDefault="007F7691" w:rsidP="00AF53D4">
      <w:pPr>
        <w:jc w:val="center"/>
        <w:rPr>
          <w:b/>
        </w:rPr>
      </w:pPr>
      <w:r w:rsidRPr="00015CE2">
        <w:rPr>
          <w:b/>
        </w:rPr>
        <w:t>P</w:t>
      </w:r>
      <w:r w:rsidR="0097365E" w:rsidRPr="00015CE2">
        <w:rPr>
          <w:b/>
        </w:rPr>
        <w:t>latnost a účinnost smlouvy</w:t>
      </w:r>
    </w:p>
    <w:p w14:paraId="4329F38A" w14:textId="77777777" w:rsidR="00647844" w:rsidRPr="00015CE2" w:rsidRDefault="00647844" w:rsidP="00AF53D4">
      <w:pPr>
        <w:jc w:val="center"/>
      </w:pPr>
    </w:p>
    <w:p w14:paraId="3B70BE0A" w14:textId="749B7DD2" w:rsidR="00715F78" w:rsidRPr="00015CE2" w:rsidRDefault="00715F78" w:rsidP="00AF53D4">
      <w:pPr>
        <w:numPr>
          <w:ilvl w:val="0"/>
          <w:numId w:val="3"/>
        </w:numPr>
        <w:tabs>
          <w:tab w:val="clear" w:pos="720"/>
          <w:tab w:val="num" w:pos="360"/>
        </w:tabs>
        <w:ind w:left="360"/>
        <w:jc w:val="both"/>
      </w:pPr>
      <w:r w:rsidRPr="00015CE2">
        <w:t>Tato smlouva nabývá platnosti dnem podpisu poslední ze smluvních stran a účinnosti dnem jejího uveřejnění v Registru smluv</w:t>
      </w:r>
      <w:r w:rsidR="005362C7" w:rsidRPr="00015CE2">
        <w:t>,</w:t>
      </w:r>
      <w:r w:rsidRPr="00015CE2">
        <w:t xml:space="preserve"> v souladu s § 6 zákona č. 340/2015 Sb., o zvláštních podmínkách účinnosti některých smluv, uveřejňování těchto smluv a o registru smluv (zákon o registru smluv), ve znění pozdějších předpisů. </w:t>
      </w:r>
    </w:p>
    <w:p w14:paraId="6F37555B" w14:textId="77777777" w:rsidR="00715F78" w:rsidRPr="00015CE2" w:rsidRDefault="0097365E" w:rsidP="00AF53D4">
      <w:pPr>
        <w:numPr>
          <w:ilvl w:val="0"/>
          <w:numId w:val="3"/>
        </w:numPr>
        <w:tabs>
          <w:tab w:val="clear" w:pos="720"/>
          <w:tab w:val="num" w:pos="360"/>
        </w:tabs>
        <w:ind w:left="360"/>
        <w:jc w:val="both"/>
      </w:pPr>
      <w:r w:rsidRPr="00015CE2">
        <w:t xml:space="preserve">Doba účinnosti smlouvy zahrnuje dobu řešení projektu a následující období potřebné pro vyhodnocení výsledků řešení projektu a vypořádání poskytnuté podpory ze strany poskytovatele. </w:t>
      </w:r>
    </w:p>
    <w:p w14:paraId="38D26817" w14:textId="04CB6006" w:rsidR="0097365E" w:rsidRPr="00015CE2" w:rsidRDefault="0097365E" w:rsidP="0097365E">
      <w:pPr>
        <w:numPr>
          <w:ilvl w:val="0"/>
          <w:numId w:val="3"/>
        </w:numPr>
        <w:tabs>
          <w:tab w:val="clear" w:pos="720"/>
          <w:tab w:val="num" w:pos="360"/>
        </w:tabs>
        <w:ind w:left="360"/>
        <w:jc w:val="both"/>
      </w:pPr>
      <w:r w:rsidRPr="00015CE2">
        <w:t xml:space="preserve">Tato smlouva pozbývá účinnosti, stane-li se plnění závazků smluvních stran vyplývajících z této smlouvy </w:t>
      </w:r>
      <w:r w:rsidRPr="000C6C0B">
        <w:t>nemožným.</w:t>
      </w:r>
      <w:r w:rsidR="0032501C" w:rsidRPr="000C6C0B">
        <w:t xml:space="preserve"> Za nemožnost plnění se považuje např. takové zhoršení met</w:t>
      </w:r>
      <w:r w:rsidR="00235FB5">
        <w:t>eo</w:t>
      </w:r>
      <w:r w:rsidR="0032501C" w:rsidRPr="000C6C0B">
        <w:t>rologický</w:t>
      </w:r>
      <w:r w:rsidR="00235FB5">
        <w:t>ch</w:t>
      </w:r>
      <w:r w:rsidR="0032501C" w:rsidRPr="000C6C0B">
        <w:t xml:space="preserve"> podmínek, které objektivně znemožňují dalšímu účastníkovi zodpovědně plnit své závazky podle této smlouvy, případně okolnosti, které nemoh</w:t>
      </w:r>
      <w:r w:rsidR="00BF4BB1" w:rsidRPr="000C6C0B">
        <w:t>l</w:t>
      </w:r>
      <w:r w:rsidR="0032501C" w:rsidRPr="000C6C0B">
        <w:t xml:space="preserve"> při uzavření této smlouvy se zřet</w:t>
      </w:r>
      <w:r w:rsidR="00BF4BB1" w:rsidRPr="000C6C0B">
        <w:t>e</w:t>
      </w:r>
      <w:r w:rsidR="0032501C" w:rsidRPr="000C6C0B">
        <w:t xml:space="preserve">lem ke všem okolnostem </w:t>
      </w:r>
      <w:r w:rsidR="00A60CC7" w:rsidRPr="000C6C0B">
        <w:t>předvídat</w:t>
      </w:r>
      <w:r w:rsidR="000C6C0B" w:rsidRPr="000C6C0B">
        <w:t xml:space="preserve"> apod.</w:t>
      </w:r>
      <w:r w:rsidR="00BF4BB1" w:rsidRPr="00BF4BB1">
        <w:rPr>
          <w:color w:val="FF0000"/>
        </w:rPr>
        <w:t xml:space="preserve"> </w:t>
      </w:r>
      <w:r w:rsidRPr="00015CE2">
        <w:t>V takovém případě uzavřou smluvní strany písemnou dohodu o řádné</w:t>
      </w:r>
      <w:r w:rsidR="00D51F94">
        <w:t>m</w:t>
      </w:r>
      <w:r w:rsidRPr="00015CE2">
        <w:t xml:space="preserve"> vyúčtování poskytnuté podpory</w:t>
      </w:r>
      <w:r w:rsidR="005362C7" w:rsidRPr="00015CE2">
        <w:t>,</w:t>
      </w:r>
      <w:r w:rsidRPr="00015CE2">
        <w:t xml:space="preserve"> způsob</w:t>
      </w:r>
      <w:r w:rsidR="00D51F94">
        <w:t>u</w:t>
      </w:r>
      <w:r w:rsidRPr="00015CE2">
        <w:t xml:space="preserve"> a form</w:t>
      </w:r>
      <w:r w:rsidR="00D51F94">
        <w:t>ě</w:t>
      </w:r>
      <w:r w:rsidRPr="00015CE2">
        <w:t xml:space="preserve"> předložení výsledků projektu realizovaných dalším účastníkem za účelem zpracování závěrečné zprávy </w:t>
      </w:r>
      <w:r w:rsidR="00B3614B" w:rsidRPr="00015CE2">
        <w:t>o</w:t>
      </w:r>
      <w:r w:rsidRPr="00015CE2">
        <w:t xml:space="preserve"> řešení projektu pro poskytovatele. </w:t>
      </w:r>
    </w:p>
    <w:p w14:paraId="7AF000B6" w14:textId="77777777" w:rsidR="00AF53D4" w:rsidRDefault="002E157E" w:rsidP="00177030">
      <w:pPr>
        <w:jc w:val="both"/>
      </w:pPr>
      <w:r>
        <w:tab/>
      </w:r>
    </w:p>
    <w:p w14:paraId="64583575" w14:textId="77777777" w:rsidR="00AF53D4" w:rsidRPr="00460BA4" w:rsidRDefault="00AF53D4" w:rsidP="007A3E5A">
      <w:pPr>
        <w:jc w:val="center"/>
        <w:rPr>
          <w:b/>
        </w:rPr>
      </w:pPr>
      <w:r w:rsidRPr="00460BA4">
        <w:rPr>
          <w:b/>
        </w:rPr>
        <w:t>III</w:t>
      </w:r>
      <w:r w:rsidR="00530EDD">
        <w:rPr>
          <w:b/>
        </w:rPr>
        <w:t>.</w:t>
      </w:r>
    </w:p>
    <w:p w14:paraId="2707C6B6" w14:textId="77777777" w:rsidR="00AF53D4" w:rsidRPr="00460BA4" w:rsidRDefault="00AF53D4" w:rsidP="007A3E5A">
      <w:pPr>
        <w:jc w:val="center"/>
        <w:rPr>
          <w:b/>
        </w:rPr>
      </w:pPr>
      <w:r w:rsidRPr="00460BA4">
        <w:rPr>
          <w:b/>
        </w:rPr>
        <w:t>Uznané náklady projektu a poskytnutí podpory</w:t>
      </w:r>
    </w:p>
    <w:p w14:paraId="705EFB99" w14:textId="77777777" w:rsidR="00647844" w:rsidRDefault="00647844" w:rsidP="007A3E5A">
      <w:pPr>
        <w:jc w:val="center"/>
      </w:pPr>
    </w:p>
    <w:p w14:paraId="06E7015D" w14:textId="77777777" w:rsidR="00AF53D4" w:rsidRPr="00015CE2" w:rsidRDefault="00737CA0" w:rsidP="009E5746">
      <w:pPr>
        <w:numPr>
          <w:ilvl w:val="0"/>
          <w:numId w:val="4"/>
        </w:numPr>
        <w:tabs>
          <w:tab w:val="clear" w:pos="720"/>
        </w:tabs>
        <w:ind w:left="426" w:hanging="426"/>
        <w:jc w:val="both"/>
      </w:pPr>
      <w:r w:rsidRPr="00015CE2">
        <w:t>Další účastník</w:t>
      </w:r>
      <w:r w:rsidR="00AF53D4" w:rsidRPr="00015CE2">
        <w:t xml:space="preserve"> </w:t>
      </w:r>
      <w:r w:rsidR="00B73034" w:rsidRPr="00015CE2">
        <w:t>se zavazuje</w:t>
      </w:r>
      <w:r w:rsidR="00AF53D4" w:rsidRPr="00015CE2">
        <w:t xml:space="preserve"> poskytnutou </w:t>
      </w:r>
      <w:r w:rsidR="00B73034" w:rsidRPr="00015CE2">
        <w:t xml:space="preserve">finanční </w:t>
      </w:r>
      <w:r w:rsidR="00AF53D4" w:rsidRPr="00015CE2">
        <w:t xml:space="preserve">podporu použít výhradně na úhradu </w:t>
      </w:r>
      <w:r w:rsidR="002E157E" w:rsidRPr="00015CE2">
        <w:t xml:space="preserve">poskytovatelem </w:t>
      </w:r>
      <w:r w:rsidR="00AF53D4" w:rsidRPr="00015CE2">
        <w:t>uznaných nákladů projek</w:t>
      </w:r>
      <w:r w:rsidR="00B17A80" w:rsidRPr="00015CE2">
        <w:t>tu</w:t>
      </w:r>
      <w:r w:rsidR="002E157E" w:rsidRPr="00015CE2">
        <w:t xml:space="preserve">, a to </w:t>
      </w:r>
      <w:r w:rsidR="00B17A80" w:rsidRPr="00015CE2">
        <w:t xml:space="preserve">za </w:t>
      </w:r>
      <w:r w:rsidRPr="00015CE2">
        <w:t xml:space="preserve">podmínek </w:t>
      </w:r>
      <w:r w:rsidR="00B17A80" w:rsidRPr="00015CE2">
        <w:t xml:space="preserve">dále </w:t>
      </w:r>
      <w:r w:rsidRPr="00015CE2">
        <w:t>uvedených v</w:t>
      </w:r>
      <w:r w:rsidR="00460BA4" w:rsidRPr="00015CE2">
        <w:t xml:space="preserve"> této</w:t>
      </w:r>
      <w:r w:rsidR="00B17A80" w:rsidRPr="00015CE2">
        <w:t xml:space="preserve"> smlouv</w:t>
      </w:r>
      <w:r w:rsidRPr="00015CE2">
        <w:t>ě</w:t>
      </w:r>
      <w:r w:rsidR="004A7807" w:rsidRPr="00015CE2">
        <w:t>, včetně jejích příloh</w:t>
      </w:r>
      <w:r w:rsidR="00B17A80" w:rsidRPr="00015CE2">
        <w:t>.</w:t>
      </w:r>
    </w:p>
    <w:p w14:paraId="672C0C19" w14:textId="77777777" w:rsidR="00976899" w:rsidRPr="00015CE2" w:rsidRDefault="007A3E5A" w:rsidP="00C56630">
      <w:pPr>
        <w:numPr>
          <w:ilvl w:val="0"/>
          <w:numId w:val="4"/>
        </w:numPr>
        <w:tabs>
          <w:tab w:val="clear" w:pos="720"/>
          <w:tab w:val="num" w:pos="426"/>
        </w:tabs>
        <w:ind w:left="426" w:hanging="426"/>
        <w:jc w:val="both"/>
      </w:pPr>
      <w:r w:rsidRPr="00015CE2">
        <w:t>P</w:t>
      </w:r>
      <w:r w:rsidR="00737CA0" w:rsidRPr="00015CE2">
        <w:t>lánované</w:t>
      </w:r>
      <w:r w:rsidRPr="00015CE2">
        <w:t xml:space="preserve"> a </w:t>
      </w:r>
      <w:r w:rsidR="00737CA0" w:rsidRPr="00015CE2">
        <w:t xml:space="preserve">poskytovatelem </w:t>
      </w:r>
      <w:r w:rsidRPr="00015CE2">
        <w:t xml:space="preserve">uznané náklady </w:t>
      </w:r>
      <w:r w:rsidR="00737CA0" w:rsidRPr="00015CE2">
        <w:t>dalšího účastníka na</w:t>
      </w:r>
      <w:r w:rsidRPr="00015CE2">
        <w:t xml:space="preserve"> řešení projektu a výše poskytované podpory</w:t>
      </w:r>
      <w:r w:rsidR="00737CA0" w:rsidRPr="00015CE2">
        <w:t xml:space="preserve"> jsou</w:t>
      </w:r>
      <w:r w:rsidR="004A7807" w:rsidRPr="00015CE2">
        <w:t xml:space="preserve"> </w:t>
      </w:r>
      <w:r w:rsidR="00B3614B" w:rsidRPr="00015CE2">
        <w:t xml:space="preserve">vymezeny v Příloze č. I. – </w:t>
      </w:r>
      <w:r w:rsidR="001D1109" w:rsidRPr="00015CE2">
        <w:t>Závazné parametry řešení projektu</w:t>
      </w:r>
      <w:r w:rsidR="00B3614B" w:rsidRPr="00015CE2">
        <w:t>.</w:t>
      </w:r>
    </w:p>
    <w:p w14:paraId="1FD90795" w14:textId="6FADFD96" w:rsidR="006A6CAB" w:rsidRPr="00015CE2" w:rsidRDefault="00B3614B" w:rsidP="009E5746">
      <w:pPr>
        <w:numPr>
          <w:ilvl w:val="0"/>
          <w:numId w:val="4"/>
        </w:numPr>
        <w:tabs>
          <w:tab w:val="clear" w:pos="720"/>
          <w:tab w:val="num" w:pos="426"/>
        </w:tabs>
        <w:ind w:left="360"/>
        <w:jc w:val="both"/>
      </w:pPr>
      <w:r w:rsidRPr="00015CE2">
        <w:t>P</w:t>
      </w:r>
      <w:r w:rsidR="003B22A5" w:rsidRPr="00015CE2">
        <w:t>říjemce</w:t>
      </w:r>
      <w:r w:rsidR="00B17A80" w:rsidRPr="00015CE2">
        <w:t xml:space="preserve"> poskytne </w:t>
      </w:r>
      <w:r w:rsidR="003353AE" w:rsidRPr="00015CE2">
        <w:t>dalšímu účastníkovi</w:t>
      </w:r>
      <w:r w:rsidR="00B17A80" w:rsidRPr="00015CE2">
        <w:t xml:space="preserve"> každoročně podporu na řešení </w:t>
      </w:r>
      <w:r w:rsidRPr="00015CE2">
        <w:t>jeho části</w:t>
      </w:r>
      <w:r w:rsidR="00B17A80" w:rsidRPr="00015CE2">
        <w:t xml:space="preserve"> projektu </w:t>
      </w:r>
      <w:r w:rsidR="00B77B90">
        <w:t xml:space="preserve">na účet dalšího účastníka </w:t>
      </w:r>
      <w:r w:rsidR="00B17A80" w:rsidRPr="00015CE2">
        <w:t>v</w:t>
      </w:r>
      <w:r w:rsidR="003B22A5" w:rsidRPr="00015CE2">
        <w:t> </w:t>
      </w:r>
      <w:r w:rsidR="00B17A80" w:rsidRPr="00015CE2">
        <w:t>termín</w:t>
      </w:r>
      <w:r w:rsidR="003B22A5" w:rsidRPr="00015CE2">
        <w:t>u nejpozději do 15 kalendářních dnů ode dne připsání podpory ze strany poskytovatele na bankovní účet příjemce.</w:t>
      </w:r>
      <w:r w:rsidR="00B17A80" w:rsidRPr="00015CE2">
        <w:t xml:space="preserve"> </w:t>
      </w:r>
    </w:p>
    <w:p w14:paraId="64049334" w14:textId="77777777" w:rsidR="006609AB" w:rsidRPr="00015CE2" w:rsidRDefault="006609AB" w:rsidP="00A7534A">
      <w:pPr>
        <w:numPr>
          <w:ilvl w:val="0"/>
          <w:numId w:val="4"/>
        </w:numPr>
        <w:tabs>
          <w:tab w:val="clear" w:pos="720"/>
          <w:tab w:val="num" w:pos="360"/>
          <w:tab w:val="num" w:pos="426"/>
        </w:tabs>
        <w:ind w:left="360"/>
        <w:jc w:val="both"/>
      </w:pPr>
      <w:r w:rsidRPr="00015CE2">
        <w:t xml:space="preserve">Další účastník se zavazuje </w:t>
      </w:r>
      <w:r w:rsidR="006A4796" w:rsidRPr="00015CE2">
        <w:t>vést ve svém účetnictví oddělen</w:t>
      </w:r>
      <w:r w:rsidR="009E5746" w:rsidRPr="00015CE2">
        <w:t>ou evidenci</w:t>
      </w:r>
      <w:r w:rsidR="006A4796" w:rsidRPr="00015CE2">
        <w:t xml:space="preserve"> </w:t>
      </w:r>
      <w:r w:rsidR="001D1109" w:rsidRPr="00015CE2">
        <w:t xml:space="preserve">výdajů a </w:t>
      </w:r>
      <w:r w:rsidR="006A4796" w:rsidRPr="00015CE2">
        <w:t>náklad</w:t>
      </w:r>
      <w:r w:rsidR="009E5746" w:rsidRPr="00015CE2">
        <w:t>ů</w:t>
      </w:r>
      <w:r w:rsidR="001D1109" w:rsidRPr="00015CE2">
        <w:t xml:space="preserve"> projektu</w:t>
      </w:r>
      <w:r w:rsidR="006A4796" w:rsidRPr="00015CE2">
        <w:t>. V případě vzniku neuznaných (tj. nezpůsobilých) nákladů projektu</w:t>
      </w:r>
      <w:r w:rsidR="009E5746" w:rsidRPr="00015CE2">
        <w:t>,</w:t>
      </w:r>
      <w:r w:rsidR="006A4796" w:rsidRPr="00015CE2">
        <w:t xml:space="preserve"> </w:t>
      </w:r>
      <w:r w:rsidR="009E5746" w:rsidRPr="00015CE2">
        <w:t>hradí</w:t>
      </w:r>
      <w:r w:rsidR="006A4796" w:rsidRPr="00015CE2">
        <w:t xml:space="preserve"> tyto náklady další účastník</w:t>
      </w:r>
      <w:r w:rsidR="009E5746" w:rsidRPr="00015CE2">
        <w:t xml:space="preserve"> ze svých zdrojů</w:t>
      </w:r>
      <w:r w:rsidR="006A4796" w:rsidRPr="000C6C0B">
        <w:t>.</w:t>
      </w:r>
      <w:r w:rsidR="009B5626" w:rsidRPr="000C6C0B">
        <w:t xml:space="preserve"> </w:t>
      </w:r>
      <w:r w:rsidR="00BF4BB1" w:rsidRPr="000C6C0B">
        <w:t>Za neuznateln</w:t>
      </w:r>
      <w:r w:rsidR="000C6C0B" w:rsidRPr="000C6C0B">
        <w:t>é</w:t>
      </w:r>
      <w:r w:rsidR="00BF4BB1" w:rsidRPr="000C6C0B">
        <w:t xml:space="preserve"> či nezpůsobilé náklady se považují zejména takové náklady, které dalšímu účastníkovi nevznikly v příčinné souvislosti s plněním povinností podle této smlouvy, resp. takové náklady, které nesplňují podmínky, stanovené zejm. v článku 6 a článku 7 Všeobecných podmínek pro realizaci projektů v rámci Programu na podporu aplikovaného výzkumu Ministerstva zemědělství na období 2024-2023, Země II</w:t>
      </w:r>
      <w:r w:rsidR="000C6C0B" w:rsidRPr="000C6C0B">
        <w:t>.</w:t>
      </w:r>
      <w:r w:rsidR="00BF4BB1" w:rsidRPr="00A7534A">
        <w:rPr>
          <w:color w:val="FF0000"/>
        </w:rPr>
        <w:t xml:space="preserve"> </w:t>
      </w:r>
    </w:p>
    <w:p w14:paraId="1E9014F3" w14:textId="7A7E642F" w:rsidR="0036787E" w:rsidRPr="00015CE2" w:rsidRDefault="0036787E" w:rsidP="00981271">
      <w:pPr>
        <w:numPr>
          <w:ilvl w:val="0"/>
          <w:numId w:val="4"/>
        </w:numPr>
        <w:tabs>
          <w:tab w:val="clear" w:pos="720"/>
          <w:tab w:val="num" w:pos="360"/>
          <w:tab w:val="num" w:pos="426"/>
        </w:tabs>
        <w:ind w:left="360"/>
        <w:jc w:val="both"/>
      </w:pPr>
      <w:r w:rsidRPr="00015CE2">
        <w:t xml:space="preserve">V případě platnosti rozpočtového provizoria státního rozpočtu nebo v případě, že dojde k regulaci čerpání prostředků státního rozpočtu v některém z roků řešení projektu ze strany poskytovatele vůči </w:t>
      </w:r>
      <w:r w:rsidR="003B22A5" w:rsidRPr="00015CE2">
        <w:t>příje</w:t>
      </w:r>
      <w:r w:rsidRPr="00015CE2">
        <w:t xml:space="preserve">mci, které </w:t>
      </w:r>
      <w:r w:rsidR="003B22A5" w:rsidRPr="00015CE2">
        <w:t>mají</w:t>
      </w:r>
      <w:r w:rsidRPr="00015CE2">
        <w:t xml:space="preserve"> vliv na výši splátek, </w:t>
      </w:r>
      <w:r w:rsidR="00781F96" w:rsidRPr="00015CE2">
        <w:t>poukazovaných</w:t>
      </w:r>
      <w:r w:rsidRPr="00015CE2">
        <w:t xml:space="preserve"> p</w:t>
      </w:r>
      <w:r w:rsidR="00460BA4" w:rsidRPr="00015CE2">
        <w:t>oskytovatelem příjemci, provede příjemce</w:t>
      </w:r>
      <w:r w:rsidR="002A1899" w:rsidRPr="00015CE2">
        <w:t xml:space="preserve"> vůči dalšímu účastníkovi</w:t>
      </w:r>
      <w:r w:rsidR="00460BA4" w:rsidRPr="00015CE2">
        <w:t xml:space="preserve"> </w:t>
      </w:r>
      <w:r w:rsidR="00660236" w:rsidRPr="00015CE2">
        <w:t xml:space="preserve">alikvotní úpravu podílu podpory. O </w:t>
      </w:r>
      <w:r w:rsidR="00460BA4" w:rsidRPr="00015CE2">
        <w:t>této</w:t>
      </w:r>
      <w:r w:rsidR="00660236" w:rsidRPr="00015CE2">
        <w:t xml:space="preserve"> situaci bude příjemce </w:t>
      </w:r>
      <w:r w:rsidR="002A1899" w:rsidRPr="00015CE2">
        <w:t>dalšího účastníka</w:t>
      </w:r>
      <w:r w:rsidR="00660236" w:rsidRPr="00015CE2">
        <w:t xml:space="preserve"> </w:t>
      </w:r>
      <w:r w:rsidR="00B00E34" w:rsidRPr="00015CE2">
        <w:t xml:space="preserve">neprodleně </w:t>
      </w:r>
      <w:r w:rsidR="00660236" w:rsidRPr="00015CE2">
        <w:t>informovat.</w:t>
      </w:r>
      <w:r w:rsidR="001041B9">
        <w:t xml:space="preserve"> </w:t>
      </w:r>
      <w:r w:rsidR="006463C5">
        <w:t>P</w:t>
      </w:r>
      <w:r w:rsidR="001041B9">
        <w:t xml:space="preserve">říjemce </w:t>
      </w:r>
      <w:r w:rsidR="00F645EF">
        <w:t xml:space="preserve">je </w:t>
      </w:r>
      <w:r w:rsidR="001041B9">
        <w:t xml:space="preserve">odpovědný za plnění povinností vůči poskytovateli </w:t>
      </w:r>
      <w:r w:rsidR="006463C5">
        <w:t xml:space="preserve">řádně a včas tak, aby </w:t>
      </w:r>
      <w:r w:rsidR="007B10E3">
        <w:t>nedošlo ke krácení či neposkytnutí podpory ze strany poskytovatele</w:t>
      </w:r>
      <w:r w:rsidR="00F645EF">
        <w:t>, přičemž je odpovědný i za náhradu škody, která by takto dalšímu účastníkovi vznikla</w:t>
      </w:r>
      <w:r w:rsidR="006463C5">
        <w:t>.</w:t>
      </w:r>
    </w:p>
    <w:p w14:paraId="188066B3" w14:textId="77777777" w:rsidR="00660236" w:rsidRPr="00015CE2" w:rsidRDefault="00660236" w:rsidP="00B3614B">
      <w:pPr>
        <w:numPr>
          <w:ilvl w:val="0"/>
          <w:numId w:val="4"/>
        </w:numPr>
        <w:tabs>
          <w:tab w:val="clear" w:pos="720"/>
          <w:tab w:val="num" w:pos="360"/>
          <w:tab w:val="num" w:pos="426"/>
        </w:tabs>
        <w:ind w:left="360"/>
        <w:jc w:val="both"/>
      </w:pPr>
      <w:r w:rsidRPr="00015CE2">
        <w:t xml:space="preserve">Poskytnutí </w:t>
      </w:r>
      <w:r w:rsidR="003604D3" w:rsidRPr="00015CE2">
        <w:t>podpory</w:t>
      </w:r>
      <w:r w:rsidRPr="00015CE2">
        <w:t xml:space="preserve"> může být přerušeno nebo zastaveno v případě, že </w:t>
      </w:r>
      <w:r w:rsidR="00283E81" w:rsidRPr="00015CE2">
        <w:t>další účastník</w:t>
      </w:r>
      <w:r w:rsidRPr="00015CE2">
        <w:t xml:space="preserve"> neplní své závazky, vyplývající z této smlouvy, nebo z důvodů jiných nedostatků</w:t>
      </w:r>
      <w:r w:rsidR="00781F96" w:rsidRPr="00015CE2">
        <w:t xml:space="preserve"> </w:t>
      </w:r>
      <w:r w:rsidR="00774620" w:rsidRPr="00015CE2">
        <w:t xml:space="preserve">souvisejících </w:t>
      </w:r>
      <w:r w:rsidR="00774620" w:rsidRPr="00015CE2">
        <w:lastRenderedPageBreak/>
        <w:t xml:space="preserve">s projektem </w:t>
      </w:r>
      <w:r w:rsidR="00781F96" w:rsidRPr="00015CE2">
        <w:t>na straně dalšího účastníka</w:t>
      </w:r>
      <w:r w:rsidR="009E5746" w:rsidRPr="00015CE2">
        <w:t>,</w:t>
      </w:r>
      <w:r w:rsidRPr="00015CE2">
        <w:t xml:space="preserve"> zjištěných při hodnocení postupu řešení části projektu, </w:t>
      </w:r>
      <w:r w:rsidR="00460BA4" w:rsidRPr="00015CE2">
        <w:t xml:space="preserve">nebo </w:t>
      </w:r>
      <w:r w:rsidRPr="00015CE2">
        <w:t xml:space="preserve">při finanční kontrole </w:t>
      </w:r>
      <w:r w:rsidR="00460BA4" w:rsidRPr="00015CE2">
        <w:t>a</w:t>
      </w:r>
      <w:r w:rsidRPr="00015CE2">
        <w:t xml:space="preserve">nebo </w:t>
      </w:r>
      <w:r w:rsidR="00460BA4" w:rsidRPr="00015CE2">
        <w:t xml:space="preserve">při </w:t>
      </w:r>
      <w:r w:rsidRPr="00015CE2">
        <w:t xml:space="preserve">kontrole plnění cílů a </w:t>
      </w:r>
      <w:r w:rsidR="00B73034" w:rsidRPr="00015CE2">
        <w:t>aktivit</w:t>
      </w:r>
      <w:r w:rsidRPr="00015CE2">
        <w:t xml:space="preserve"> projektu řešen</w:t>
      </w:r>
      <w:r w:rsidR="005E4254" w:rsidRPr="00015CE2">
        <w:t>ých</w:t>
      </w:r>
      <w:r w:rsidRPr="00015CE2">
        <w:t xml:space="preserve"> </w:t>
      </w:r>
      <w:r w:rsidR="00283E81" w:rsidRPr="00015CE2">
        <w:t>dalším účastníkem</w:t>
      </w:r>
      <w:r w:rsidRPr="00015CE2">
        <w:t>.</w:t>
      </w:r>
    </w:p>
    <w:p w14:paraId="10F0B241" w14:textId="07B92BA8" w:rsidR="00660236" w:rsidRPr="00015CE2" w:rsidRDefault="00660236" w:rsidP="000928C7">
      <w:pPr>
        <w:numPr>
          <w:ilvl w:val="0"/>
          <w:numId w:val="4"/>
        </w:numPr>
        <w:tabs>
          <w:tab w:val="clear" w:pos="720"/>
          <w:tab w:val="num" w:pos="360"/>
          <w:tab w:val="num" w:pos="426"/>
        </w:tabs>
        <w:ind w:left="360"/>
        <w:jc w:val="both"/>
      </w:pPr>
      <w:r w:rsidRPr="00015CE2">
        <w:t xml:space="preserve">Použije-li </w:t>
      </w:r>
      <w:r w:rsidR="00283E81" w:rsidRPr="00015CE2">
        <w:t>další účastník</w:t>
      </w:r>
      <w:r w:rsidRPr="00015CE2">
        <w:t xml:space="preserve"> podporu nebo její část </w:t>
      </w:r>
      <w:r w:rsidR="00283E81" w:rsidRPr="00015CE2">
        <w:t xml:space="preserve">neoprávněně </w:t>
      </w:r>
      <w:r w:rsidRPr="00015CE2">
        <w:t>na jiný účel, než stanoví tato smlouva,</w:t>
      </w:r>
      <w:r w:rsidR="00273447" w:rsidRPr="00015CE2">
        <w:t xml:space="preserve"> případně zadrží-li podporu,</w:t>
      </w:r>
      <w:r w:rsidRPr="00015CE2">
        <w:t xml:space="preserve"> zavazuje se vrátit na bankovní účet příjemc</w:t>
      </w:r>
      <w:r w:rsidR="00460BA4" w:rsidRPr="00015CE2">
        <w:t>e</w:t>
      </w:r>
      <w:r w:rsidRPr="00015CE2">
        <w:t xml:space="preserve"> zpět </w:t>
      </w:r>
      <w:r w:rsidR="00283E81" w:rsidRPr="00015CE2">
        <w:t>hodnotu neoprávněně čerpané</w:t>
      </w:r>
      <w:r w:rsidRPr="00015CE2">
        <w:t xml:space="preserve"> </w:t>
      </w:r>
      <w:r w:rsidR="00273447" w:rsidRPr="00015CE2">
        <w:t xml:space="preserve">nebo zadržené </w:t>
      </w:r>
      <w:r w:rsidRPr="00015CE2">
        <w:t>podpor</w:t>
      </w:r>
      <w:r w:rsidR="00283E81" w:rsidRPr="00015CE2">
        <w:t>y</w:t>
      </w:r>
      <w:r w:rsidRPr="00015CE2">
        <w:t>.</w:t>
      </w:r>
    </w:p>
    <w:p w14:paraId="7CF31730" w14:textId="77777777" w:rsidR="00283E81" w:rsidRPr="00015CE2" w:rsidRDefault="00660236" w:rsidP="000928C7">
      <w:pPr>
        <w:numPr>
          <w:ilvl w:val="0"/>
          <w:numId w:val="4"/>
        </w:numPr>
        <w:tabs>
          <w:tab w:val="clear" w:pos="720"/>
          <w:tab w:val="num" w:pos="360"/>
          <w:tab w:val="num" w:pos="426"/>
        </w:tabs>
        <w:ind w:left="360"/>
        <w:jc w:val="both"/>
      </w:pPr>
      <w:r w:rsidRPr="00015CE2">
        <w:t>V případě, že poskytovatel část podpory zadrží, například formou pozastávky</w:t>
      </w:r>
      <w:r w:rsidR="00781F96" w:rsidRPr="00015CE2">
        <w:t xml:space="preserve"> apod.</w:t>
      </w:r>
      <w:r w:rsidRPr="00015CE2">
        <w:t xml:space="preserve">, s termínem </w:t>
      </w:r>
      <w:r w:rsidR="00283E81" w:rsidRPr="00015CE2">
        <w:t>vyplacení</w:t>
      </w:r>
      <w:r w:rsidRPr="00015CE2">
        <w:t xml:space="preserve"> až po vyhodnocení splnění cílů a dosažených výsledků z řešení projektu</w:t>
      </w:r>
      <w:r w:rsidR="00460BA4" w:rsidRPr="00015CE2">
        <w:t xml:space="preserve"> jako celku</w:t>
      </w:r>
      <w:r w:rsidRPr="00015CE2">
        <w:t xml:space="preserve">, </w:t>
      </w:r>
      <w:r w:rsidR="00283E81" w:rsidRPr="00015CE2">
        <w:t xml:space="preserve">vztahuje se </w:t>
      </w:r>
      <w:r w:rsidRPr="00015CE2">
        <w:t>zadrž</w:t>
      </w:r>
      <w:r w:rsidR="00283E81" w:rsidRPr="00015CE2">
        <w:t>ení odpovídající části podpory i na</w:t>
      </w:r>
      <w:r w:rsidRPr="00015CE2">
        <w:t xml:space="preserve"> </w:t>
      </w:r>
      <w:r w:rsidR="00283E81" w:rsidRPr="00015CE2">
        <w:t>dalšího účastníka, za obdobných podmínek</w:t>
      </w:r>
      <w:r w:rsidRPr="00015CE2">
        <w:t>. O této situaci bude příjemce</w:t>
      </w:r>
      <w:r w:rsidR="005E4254" w:rsidRPr="00015CE2">
        <w:t xml:space="preserve"> </w:t>
      </w:r>
      <w:r w:rsidR="00283E81" w:rsidRPr="00015CE2">
        <w:t>dalšího účastníka</w:t>
      </w:r>
      <w:r w:rsidRPr="00015CE2">
        <w:t xml:space="preserve"> </w:t>
      </w:r>
      <w:r w:rsidR="005362C7" w:rsidRPr="00015CE2">
        <w:t>neprodleně</w:t>
      </w:r>
      <w:r w:rsidR="009A7A5F" w:rsidRPr="00015CE2">
        <w:t xml:space="preserve"> </w:t>
      </w:r>
      <w:r w:rsidRPr="00015CE2">
        <w:t>informovat.</w:t>
      </w:r>
      <w:r w:rsidR="00283E81" w:rsidRPr="00015CE2">
        <w:t xml:space="preserve"> </w:t>
      </w:r>
    </w:p>
    <w:p w14:paraId="14CD99C1" w14:textId="77777777" w:rsidR="003604D3" w:rsidRPr="00015CE2" w:rsidRDefault="003604D3" w:rsidP="003604D3">
      <w:pPr>
        <w:tabs>
          <w:tab w:val="left" w:pos="1608"/>
        </w:tabs>
        <w:jc w:val="both"/>
      </w:pPr>
    </w:p>
    <w:p w14:paraId="2E904AC5" w14:textId="77777777" w:rsidR="00AF53D4" w:rsidRPr="00015CE2" w:rsidRDefault="00AF53D4" w:rsidP="00647844">
      <w:pPr>
        <w:jc w:val="center"/>
        <w:rPr>
          <w:b/>
        </w:rPr>
      </w:pPr>
      <w:r w:rsidRPr="00015CE2">
        <w:rPr>
          <w:b/>
        </w:rPr>
        <w:t>IV</w:t>
      </w:r>
      <w:r w:rsidR="00530EDD" w:rsidRPr="00015CE2">
        <w:rPr>
          <w:b/>
        </w:rPr>
        <w:t>.</w:t>
      </w:r>
    </w:p>
    <w:p w14:paraId="7091303F" w14:textId="77777777" w:rsidR="00AF53D4" w:rsidRPr="00015CE2" w:rsidRDefault="00AF53D4" w:rsidP="00647844">
      <w:pPr>
        <w:jc w:val="center"/>
        <w:rPr>
          <w:b/>
        </w:rPr>
      </w:pPr>
      <w:r w:rsidRPr="00015CE2">
        <w:rPr>
          <w:b/>
        </w:rPr>
        <w:t>Zprávy a vyúčtování nákladů</w:t>
      </w:r>
    </w:p>
    <w:p w14:paraId="0CF4C212" w14:textId="77777777" w:rsidR="00647844" w:rsidRPr="00015CE2" w:rsidRDefault="00647844" w:rsidP="00647844">
      <w:pPr>
        <w:jc w:val="center"/>
      </w:pPr>
    </w:p>
    <w:p w14:paraId="24C5F6A5" w14:textId="77777777" w:rsidR="004521A7" w:rsidRPr="00015CE2" w:rsidRDefault="008C6FA5" w:rsidP="00A42864">
      <w:pPr>
        <w:numPr>
          <w:ilvl w:val="0"/>
          <w:numId w:val="6"/>
        </w:numPr>
        <w:tabs>
          <w:tab w:val="clear" w:pos="720"/>
          <w:tab w:val="num" w:pos="360"/>
        </w:tabs>
        <w:ind w:left="360"/>
        <w:jc w:val="both"/>
      </w:pPr>
      <w:r w:rsidRPr="00015CE2">
        <w:t xml:space="preserve">Způsob a formu předkládání ročních periodických zpráv a závěrečné zprávy z řešení projektu, kterou stanoví poskytovatel, má povinnost dodržovat </w:t>
      </w:r>
      <w:r w:rsidR="008463A4" w:rsidRPr="00015CE2">
        <w:t>další účastník</w:t>
      </w:r>
      <w:r w:rsidR="00DF0440" w:rsidRPr="00015CE2">
        <w:t xml:space="preserve"> obdobně </w:t>
      </w:r>
      <w:r w:rsidR="008463A4" w:rsidRPr="00015CE2">
        <w:t xml:space="preserve">jako </w:t>
      </w:r>
      <w:r w:rsidR="00096483" w:rsidRPr="00015CE2">
        <w:t>příjemce</w:t>
      </w:r>
      <w:r w:rsidR="008463A4" w:rsidRPr="00015CE2">
        <w:t>, a to za jím řešenou část</w:t>
      </w:r>
      <w:r w:rsidR="00DF0440" w:rsidRPr="00015CE2">
        <w:t xml:space="preserve"> projektu</w:t>
      </w:r>
      <w:r w:rsidRPr="00015CE2">
        <w:t xml:space="preserve">. </w:t>
      </w:r>
    </w:p>
    <w:p w14:paraId="5993E411" w14:textId="77777777" w:rsidR="00A42864" w:rsidRPr="00015CE2" w:rsidRDefault="00010DE8" w:rsidP="00A42864">
      <w:pPr>
        <w:numPr>
          <w:ilvl w:val="0"/>
          <w:numId w:val="6"/>
        </w:numPr>
        <w:tabs>
          <w:tab w:val="clear" w:pos="720"/>
          <w:tab w:val="num" w:pos="360"/>
          <w:tab w:val="num" w:pos="426"/>
        </w:tabs>
        <w:ind w:left="360"/>
        <w:jc w:val="both"/>
      </w:pPr>
      <w:r w:rsidRPr="00015CE2">
        <w:t>Podklady pro P</w:t>
      </w:r>
      <w:r w:rsidR="008C6FA5" w:rsidRPr="00015CE2">
        <w:t xml:space="preserve">eriodickou </w:t>
      </w:r>
      <w:r w:rsidRPr="00015CE2">
        <w:t>z</w:t>
      </w:r>
      <w:r w:rsidR="008C6FA5" w:rsidRPr="00015CE2">
        <w:t xml:space="preserve">právu </w:t>
      </w:r>
      <w:r w:rsidR="00863F90" w:rsidRPr="00015CE2">
        <w:t xml:space="preserve">předkládá </w:t>
      </w:r>
      <w:r w:rsidR="008463A4" w:rsidRPr="00015CE2">
        <w:t xml:space="preserve">další účastník za řešení jeho části projektu </w:t>
      </w:r>
      <w:r w:rsidR="00096483" w:rsidRPr="00015CE2">
        <w:t xml:space="preserve">za příslušný kalendářní rok </w:t>
      </w:r>
      <w:r w:rsidR="008463A4" w:rsidRPr="00015CE2">
        <w:t>příj</w:t>
      </w:r>
      <w:r w:rsidR="00863F90" w:rsidRPr="00015CE2">
        <w:t>emci</w:t>
      </w:r>
      <w:r w:rsidR="00096483" w:rsidRPr="00015CE2">
        <w:t xml:space="preserve"> </w:t>
      </w:r>
      <w:r w:rsidR="00865D9D" w:rsidRPr="00015CE2">
        <w:t>nejpozději</w:t>
      </w:r>
      <w:r w:rsidR="00096483" w:rsidRPr="00015CE2">
        <w:t xml:space="preserve"> do </w:t>
      </w:r>
      <w:r w:rsidR="00865D9D" w:rsidRPr="00015CE2">
        <w:rPr>
          <w:u w:val="single"/>
        </w:rPr>
        <w:t>23. ledna</w:t>
      </w:r>
      <w:r w:rsidR="00865D9D" w:rsidRPr="00015CE2">
        <w:t xml:space="preserve"> n</w:t>
      </w:r>
      <w:r w:rsidR="00A42864" w:rsidRPr="00015CE2">
        <w:t>ásledujícího kalendářního roku.</w:t>
      </w:r>
    </w:p>
    <w:p w14:paraId="19A14EFF" w14:textId="77777777" w:rsidR="008C6FA5" w:rsidRPr="00015CE2" w:rsidRDefault="00A42864" w:rsidP="00A42864">
      <w:pPr>
        <w:numPr>
          <w:ilvl w:val="0"/>
          <w:numId w:val="6"/>
        </w:numPr>
        <w:tabs>
          <w:tab w:val="clear" w:pos="720"/>
          <w:tab w:val="num" w:pos="360"/>
          <w:tab w:val="num" w:pos="426"/>
        </w:tabs>
        <w:ind w:left="360"/>
        <w:jc w:val="both"/>
      </w:pPr>
      <w:r w:rsidRPr="00015CE2">
        <w:t xml:space="preserve">Podklady pro Závěrečnou zprávu předkládá další účastník za řešení jeho části projektu příjemci nejpozději </w:t>
      </w:r>
      <w:r w:rsidRPr="00015CE2">
        <w:rPr>
          <w:u w:val="single"/>
        </w:rPr>
        <w:t xml:space="preserve">do </w:t>
      </w:r>
      <w:r w:rsidR="00AF6921" w:rsidRPr="00015CE2">
        <w:rPr>
          <w:u w:val="single"/>
        </w:rPr>
        <w:t>23</w:t>
      </w:r>
      <w:r w:rsidRPr="00015CE2">
        <w:rPr>
          <w:u w:val="single"/>
        </w:rPr>
        <w:t>. kalendářního dne</w:t>
      </w:r>
      <w:r w:rsidRPr="00015CE2">
        <w:t xml:space="preserve"> po termínu ukončení řešení projektu uvedeném v Příloze I., nebo po dokončení prací v případě předčasného ukončení řešení projektu, nestanoví-li poskytovatel jinak. </w:t>
      </w:r>
      <w:r w:rsidR="00096483" w:rsidRPr="00015CE2">
        <w:t xml:space="preserve"> </w:t>
      </w:r>
    </w:p>
    <w:p w14:paraId="5C6058EA" w14:textId="77777777" w:rsidR="003B2121" w:rsidRPr="00015CE2" w:rsidRDefault="00865D9D" w:rsidP="00B54D37">
      <w:pPr>
        <w:pStyle w:val="Odstavecseseznamem"/>
        <w:numPr>
          <w:ilvl w:val="0"/>
          <w:numId w:val="6"/>
        </w:numPr>
        <w:tabs>
          <w:tab w:val="clear" w:pos="720"/>
          <w:tab w:val="num" w:pos="360"/>
          <w:tab w:val="num" w:pos="426"/>
        </w:tabs>
        <w:ind w:left="357" w:hanging="357"/>
        <w:jc w:val="both"/>
      </w:pPr>
      <w:r w:rsidRPr="00015CE2">
        <w:t>Další účastník provede za každý kalendářní rok</w:t>
      </w:r>
      <w:r w:rsidR="007B37E8" w:rsidRPr="00015CE2">
        <w:t xml:space="preserve"> řešení projektu</w:t>
      </w:r>
      <w:r w:rsidRPr="00015CE2">
        <w:t xml:space="preserve"> vyúčtování uznaných nákladů vynaložených na realizaci </w:t>
      </w:r>
      <w:r w:rsidR="00AF6921" w:rsidRPr="00015CE2">
        <w:t>p</w:t>
      </w:r>
      <w:r w:rsidRPr="00015CE2">
        <w:t xml:space="preserve">rojektu a vyúčtování poskytnuté </w:t>
      </w:r>
      <w:r w:rsidR="00AF6921" w:rsidRPr="00015CE2">
        <w:t>p</w:t>
      </w:r>
      <w:r w:rsidRPr="00015CE2">
        <w:t xml:space="preserve">odpory, které předloží </w:t>
      </w:r>
      <w:r w:rsidR="00AF6921" w:rsidRPr="00015CE2">
        <w:t>p</w:t>
      </w:r>
      <w:r w:rsidRPr="00015CE2">
        <w:t xml:space="preserve">říjemci v termínu nejpozději </w:t>
      </w:r>
      <w:r w:rsidRPr="00015CE2">
        <w:rPr>
          <w:u w:val="single"/>
        </w:rPr>
        <w:t>do 23. ledna</w:t>
      </w:r>
      <w:r w:rsidRPr="00015CE2">
        <w:t xml:space="preserve"> následujícího kalendářního roku. Zároveň ve stejném termínu doloží další účastník příjemci podrobnou </w:t>
      </w:r>
      <w:r w:rsidR="007B37E8" w:rsidRPr="00015CE2">
        <w:t xml:space="preserve">položkovou </w:t>
      </w:r>
      <w:r w:rsidRPr="00015CE2">
        <w:t>účetní sestavu o</w:t>
      </w:r>
      <w:r w:rsidR="00CA2CD1" w:rsidRPr="00015CE2">
        <w:t>bsahující jednotli</w:t>
      </w:r>
      <w:r w:rsidR="007B37E8" w:rsidRPr="00015CE2">
        <w:t>vé položky zaúčtovaných nákladů a</w:t>
      </w:r>
      <w:r w:rsidR="00CA2CD1" w:rsidRPr="00015CE2">
        <w:t xml:space="preserve"> poskytnuté účelové</w:t>
      </w:r>
      <w:r w:rsidRPr="00015CE2">
        <w:t xml:space="preserve"> podpory </w:t>
      </w:r>
      <w:r w:rsidR="00CA2CD1" w:rsidRPr="00015CE2">
        <w:t xml:space="preserve">projektu </w:t>
      </w:r>
      <w:r w:rsidRPr="00015CE2">
        <w:t>za příslušný kalendářní rok</w:t>
      </w:r>
      <w:r w:rsidR="00AF6921" w:rsidRPr="00015CE2">
        <w:t xml:space="preserve"> a včetně popisu předmětu</w:t>
      </w:r>
      <w:r w:rsidR="00CA2CD1" w:rsidRPr="00015CE2">
        <w:t xml:space="preserve"> zaúčtovaných položek</w:t>
      </w:r>
      <w:r w:rsidRPr="00015CE2">
        <w:t xml:space="preserve">. </w:t>
      </w:r>
    </w:p>
    <w:p w14:paraId="773FDF66" w14:textId="77777777" w:rsidR="00865D9D" w:rsidRPr="00015CE2" w:rsidRDefault="00865D9D" w:rsidP="00A42864">
      <w:pPr>
        <w:pStyle w:val="Odstavecseseznamem"/>
        <w:numPr>
          <w:ilvl w:val="0"/>
          <w:numId w:val="6"/>
        </w:numPr>
        <w:tabs>
          <w:tab w:val="clear" w:pos="720"/>
          <w:tab w:val="num" w:pos="360"/>
          <w:tab w:val="num" w:pos="426"/>
        </w:tabs>
        <w:ind w:left="360"/>
        <w:jc w:val="both"/>
      </w:pPr>
      <w:r w:rsidRPr="00015CE2">
        <w:t xml:space="preserve">Nejpozději do </w:t>
      </w:r>
      <w:r w:rsidR="007C0500" w:rsidRPr="00015CE2">
        <w:t>termínu předložení podkladů pro Závěrečnou zprávu dle odst. 3 tohoto článku smlouvy</w:t>
      </w:r>
      <w:r w:rsidRPr="00015CE2">
        <w:t xml:space="preserve"> převede další účastník na účet příjemce nespotřebované zůstatky poskytnuté </w:t>
      </w:r>
      <w:r w:rsidR="00CA2CD1" w:rsidRPr="00015CE2">
        <w:t>účelové p</w:t>
      </w:r>
      <w:r w:rsidRPr="00015CE2">
        <w:t>odpory</w:t>
      </w:r>
      <w:r w:rsidR="007C0500" w:rsidRPr="00015CE2">
        <w:t xml:space="preserve"> projektu</w:t>
      </w:r>
      <w:r w:rsidRPr="00015CE2">
        <w:t>. Příjemce se zavazuje nespotřebované zůstatky podpory za dalšího účastníka vypořádat a převést na účty poskytovatele způsobem a v termínech dle platn</w:t>
      </w:r>
      <w:r w:rsidR="00AC0968" w:rsidRPr="00015CE2">
        <w:t xml:space="preserve">é vyhlášky o zásadách a lhůtách finančního vypořádání vztahů se státním rozpočtem </w:t>
      </w:r>
      <w:r w:rsidR="00AF6921" w:rsidRPr="00015CE2">
        <w:t>České republiky</w:t>
      </w:r>
      <w:r w:rsidRPr="00015CE2">
        <w:t xml:space="preserve">. </w:t>
      </w:r>
    </w:p>
    <w:p w14:paraId="686A3673" w14:textId="77777777" w:rsidR="00E23BC6" w:rsidRPr="00015CE2" w:rsidRDefault="00E23BC6" w:rsidP="00D76DBA">
      <w:pPr>
        <w:tabs>
          <w:tab w:val="num" w:pos="426"/>
        </w:tabs>
        <w:ind w:left="360"/>
        <w:jc w:val="both"/>
      </w:pPr>
    </w:p>
    <w:p w14:paraId="4DB7D748" w14:textId="77777777" w:rsidR="00647844" w:rsidRPr="00015CE2" w:rsidRDefault="00647844" w:rsidP="00647844">
      <w:pPr>
        <w:jc w:val="center"/>
        <w:rPr>
          <w:b/>
        </w:rPr>
      </w:pPr>
      <w:r w:rsidRPr="00015CE2">
        <w:rPr>
          <w:b/>
        </w:rPr>
        <w:t>V.</w:t>
      </w:r>
    </w:p>
    <w:p w14:paraId="20CAC883" w14:textId="77777777" w:rsidR="00647844" w:rsidRPr="00015CE2" w:rsidRDefault="00647844" w:rsidP="00647844">
      <w:pPr>
        <w:jc w:val="center"/>
        <w:rPr>
          <w:b/>
        </w:rPr>
      </w:pPr>
      <w:r w:rsidRPr="00015CE2">
        <w:rPr>
          <w:b/>
        </w:rPr>
        <w:t>Kontroly</w:t>
      </w:r>
    </w:p>
    <w:p w14:paraId="1E7B1DE3" w14:textId="77777777" w:rsidR="00647844" w:rsidRPr="00015CE2" w:rsidRDefault="00647844" w:rsidP="00647844">
      <w:pPr>
        <w:jc w:val="both"/>
      </w:pPr>
    </w:p>
    <w:p w14:paraId="74364E33" w14:textId="7D69530E" w:rsidR="00647844" w:rsidRPr="00015CE2" w:rsidRDefault="00647844" w:rsidP="00647844">
      <w:pPr>
        <w:numPr>
          <w:ilvl w:val="0"/>
          <w:numId w:val="8"/>
        </w:numPr>
        <w:tabs>
          <w:tab w:val="clear" w:pos="720"/>
          <w:tab w:val="num" w:pos="360"/>
        </w:tabs>
        <w:ind w:left="360"/>
        <w:jc w:val="both"/>
      </w:pPr>
      <w:r w:rsidRPr="00015CE2">
        <w:t>Poskytovatel podpory</w:t>
      </w:r>
      <w:r w:rsidR="00370D1F" w:rsidRPr="00015CE2">
        <w:t xml:space="preserve"> nebo jím pověřené osoby</w:t>
      </w:r>
      <w:r w:rsidRPr="00015CE2">
        <w:t xml:space="preserve"> </w:t>
      </w:r>
      <w:r w:rsidR="00370D1F" w:rsidRPr="00015CE2">
        <w:t>jsou</w:t>
      </w:r>
      <w:r w:rsidRPr="00015CE2">
        <w:t xml:space="preserve"> oprávněn</w:t>
      </w:r>
      <w:r w:rsidR="00370D1F" w:rsidRPr="00015CE2">
        <w:t>i</w:t>
      </w:r>
      <w:r w:rsidR="002C679E" w:rsidRPr="00015CE2">
        <w:t xml:space="preserve"> u </w:t>
      </w:r>
      <w:r w:rsidR="003A4072" w:rsidRPr="00015CE2">
        <w:t>dalšího účastníka</w:t>
      </w:r>
      <w:r w:rsidRPr="00015CE2">
        <w:t xml:space="preserve"> v souladu s ustanovením zákona č. 130/2002</w:t>
      </w:r>
      <w:r w:rsidR="004B448B">
        <w:t xml:space="preserve"> </w:t>
      </w:r>
      <w:r w:rsidRPr="00015CE2">
        <w:t xml:space="preserve">Sb., </w:t>
      </w:r>
      <w:r w:rsidR="004B448B" w:rsidRPr="004B448B">
        <w:t>o podpoře výzkumu, experimentálního vývoje a inovací z veřejných prostředků a o změně některých souvisejících zákonů (zákon o podpoře výzkumu, experimentálního vývoje a inovací)</w:t>
      </w:r>
      <w:r w:rsidRPr="00015CE2">
        <w:t xml:space="preserve">, ve znění pozdějších předpisů, zákona č. 320/2001 Sb., </w:t>
      </w:r>
      <w:r w:rsidR="004B448B" w:rsidRPr="004B448B">
        <w:t>o finanční kontrole ve veřejné správě a o změně některých zákonů (zákon o finanční kontrole)</w:t>
      </w:r>
      <w:r w:rsidRPr="00015CE2">
        <w:t xml:space="preserve">, ve znění pozdějších předpisů a zákona č. </w:t>
      </w:r>
      <w:r w:rsidR="003A4072" w:rsidRPr="00015CE2">
        <w:t>255</w:t>
      </w:r>
      <w:r w:rsidRPr="00015CE2">
        <w:t>/</w:t>
      </w:r>
      <w:r w:rsidR="003A4072" w:rsidRPr="00015CE2">
        <w:t>2012</w:t>
      </w:r>
      <w:r w:rsidRPr="00015CE2">
        <w:t xml:space="preserve"> Sb., </w:t>
      </w:r>
      <w:r w:rsidR="00D76DBA" w:rsidRPr="00015CE2">
        <w:t>zákon o kontrole</w:t>
      </w:r>
      <w:r w:rsidR="004B448B">
        <w:t xml:space="preserve"> (kontrolní řád)</w:t>
      </w:r>
      <w:r w:rsidR="00D76DBA" w:rsidRPr="00015CE2">
        <w:t>, ve znění pozdějších předpisů</w:t>
      </w:r>
      <w:r w:rsidRPr="00015CE2">
        <w:t xml:space="preserve">, provádět kontrolu plnění cílů projektu včetně kontroly čerpání uznaných nákladů a účelnosti využití poskytnuté podpory </w:t>
      </w:r>
      <w:r w:rsidR="00370D1F" w:rsidRPr="00015CE2">
        <w:t>na</w:t>
      </w:r>
      <w:r w:rsidRPr="00015CE2">
        <w:t xml:space="preserve"> projekt </w:t>
      </w:r>
      <w:r w:rsidR="00370D1F" w:rsidRPr="00015CE2">
        <w:t>a</w:t>
      </w:r>
      <w:r w:rsidRPr="00015CE2">
        <w:t xml:space="preserve"> jeho části.</w:t>
      </w:r>
    </w:p>
    <w:p w14:paraId="6262F855" w14:textId="77777777" w:rsidR="00647844" w:rsidRPr="00015CE2" w:rsidRDefault="003A4072" w:rsidP="00647844">
      <w:pPr>
        <w:numPr>
          <w:ilvl w:val="0"/>
          <w:numId w:val="8"/>
        </w:numPr>
        <w:tabs>
          <w:tab w:val="clear" w:pos="720"/>
          <w:tab w:val="num" w:pos="360"/>
        </w:tabs>
        <w:ind w:left="360"/>
        <w:jc w:val="both"/>
      </w:pPr>
      <w:r w:rsidRPr="00015CE2">
        <w:t>Další účastník</w:t>
      </w:r>
      <w:r w:rsidR="00647844" w:rsidRPr="00015CE2">
        <w:t xml:space="preserve"> je povinen umožnit poskytovateli </w:t>
      </w:r>
      <w:r w:rsidR="00D76DBA" w:rsidRPr="00015CE2">
        <w:t xml:space="preserve">nebo jím určeným osobám </w:t>
      </w:r>
      <w:r w:rsidR="00815C6B" w:rsidRPr="00015CE2">
        <w:t>pro</w:t>
      </w:r>
      <w:r w:rsidR="00647844" w:rsidRPr="00015CE2">
        <w:t xml:space="preserve">vést kontrolu ve smyslu ustanovení </w:t>
      </w:r>
      <w:r w:rsidR="009A7A5F" w:rsidRPr="00015CE2">
        <w:t xml:space="preserve">odst. </w:t>
      </w:r>
      <w:r w:rsidR="00647844" w:rsidRPr="00015CE2">
        <w:t>1 tohoto článku smlouvy.</w:t>
      </w:r>
    </w:p>
    <w:p w14:paraId="09DDADD3" w14:textId="77777777" w:rsidR="007B6B3F" w:rsidRPr="00015CE2" w:rsidRDefault="007B6B3F" w:rsidP="00647844">
      <w:pPr>
        <w:numPr>
          <w:ilvl w:val="0"/>
          <w:numId w:val="8"/>
        </w:numPr>
        <w:tabs>
          <w:tab w:val="clear" w:pos="720"/>
          <w:tab w:val="num" w:pos="360"/>
        </w:tabs>
        <w:ind w:left="360"/>
        <w:jc w:val="both"/>
      </w:pPr>
      <w:r w:rsidRPr="00015CE2">
        <w:lastRenderedPageBreak/>
        <w:t>Další účastník je povinen bez zbytečného odkladu prostřednictvím příjemce informovat poskytovatele o výsledcích kontrol projektu, provedených jinými o</w:t>
      </w:r>
      <w:r w:rsidR="00E23BD4" w:rsidRPr="00015CE2">
        <w:t>sobami</w:t>
      </w:r>
      <w:r w:rsidRPr="00015CE2">
        <w:t>, než je poskytovatel nebo jím určené osoby. Spolu s touto informací poskytne další účastník též informaci o přijatých nápravných opatřeních.</w:t>
      </w:r>
    </w:p>
    <w:p w14:paraId="18621C12" w14:textId="77777777" w:rsidR="005B56B3" w:rsidRDefault="005B56B3" w:rsidP="00D25792">
      <w:pPr>
        <w:jc w:val="center"/>
        <w:rPr>
          <w:b/>
        </w:rPr>
      </w:pPr>
    </w:p>
    <w:p w14:paraId="06DB9CA9" w14:textId="77777777" w:rsidR="00647844" w:rsidRPr="00E33188" w:rsidRDefault="00AC0968" w:rsidP="00D25792">
      <w:pPr>
        <w:jc w:val="center"/>
        <w:rPr>
          <w:b/>
        </w:rPr>
      </w:pPr>
      <w:r>
        <w:rPr>
          <w:b/>
        </w:rPr>
        <w:t>VI</w:t>
      </w:r>
      <w:r w:rsidR="00D25792" w:rsidRPr="00E33188">
        <w:rPr>
          <w:b/>
        </w:rPr>
        <w:t>.</w:t>
      </w:r>
    </w:p>
    <w:p w14:paraId="3215A2C3" w14:textId="77777777" w:rsidR="00D25792" w:rsidRPr="00DF0440" w:rsidRDefault="00D25792" w:rsidP="00D25792">
      <w:pPr>
        <w:jc w:val="center"/>
        <w:rPr>
          <w:b/>
        </w:rPr>
      </w:pPr>
      <w:r w:rsidRPr="00E33188">
        <w:rPr>
          <w:b/>
        </w:rPr>
        <w:t>Porušení smlouvy a sankce</w:t>
      </w:r>
    </w:p>
    <w:p w14:paraId="0311E27E" w14:textId="77777777" w:rsidR="00D25792" w:rsidRDefault="00D25792" w:rsidP="00647844">
      <w:pPr>
        <w:jc w:val="both"/>
      </w:pPr>
    </w:p>
    <w:p w14:paraId="602AB278" w14:textId="61E0F4CF" w:rsidR="00D25792" w:rsidRPr="00A42864" w:rsidRDefault="008C486A" w:rsidP="001321AF">
      <w:pPr>
        <w:numPr>
          <w:ilvl w:val="0"/>
          <w:numId w:val="9"/>
        </w:numPr>
        <w:tabs>
          <w:tab w:val="clear" w:pos="720"/>
          <w:tab w:val="num" w:pos="360"/>
        </w:tabs>
        <w:ind w:left="360"/>
        <w:jc w:val="both"/>
      </w:pPr>
      <w:r w:rsidRPr="00A42864">
        <w:t>Př</w:t>
      </w:r>
      <w:r w:rsidR="009058E0" w:rsidRPr="00A42864">
        <w:t>i</w:t>
      </w:r>
      <w:r w:rsidRPr="00A42864">
        <w:t xml:space="preserve"> </w:t>
      </w:r>
      <w:r w:rsidR="009F2B56" w:rsidRPr="00A42864">
        <w:t>podstatném</w:t>
      </w:r>
      <w:r w:rsidRPr="00A42864">
        <w:t xml:space="preserve"> porušení </w:t>
      </w:r>
      <w:r w:rsidR="009F2B56" w:rsidRPr="00A42864">
        <w:t>této smlouvy</w:t>
      </w:r>
      <w:r w:rsidRPr="00A42864">
        <w:t xml:space="preserve"> ze strany </w:t>
      </w:r>
      <w:r w:rsidR="00764CDF" w:rsidRPr="00A42864">
        <w:t>dalšího účastníka</w:t>
      </w:r>
      <w:r w:rsidRPr="00A42864">
        <w:t xml:space="preserve"> má příjemc</w:t>
      </w:r>
      <w:r w:rsidR="00764CDF" w:rsidRPr="00A42864">
        <w:t>e</w:t>
      </w:r>
      <w:r w:rsidRPr="00A42864">
        <w:t xml:space="preserve"> právo odstoupit od této smlouvy,</w:t>
      </w:r>
      <w:r w:rsidR="009F2B56" w:rsidRPr="00A42864">
        <w:t xml:space="preserve"> a to i v případě, že tak učinil </w:t>
      </w:r>
      <w:r w:rsidRPr="00A42864">
        <w:t>poskytovatel podpory projekt</w:t>
      </w:r>
      <w:r w:rsidR="009F2B56" w:rsidRPr="00A42864">
        <w:t>u vůči příjemci</w:t>
      </w:r>
      <w:r w:rsidRPr="00A42864">
        <w:t xml:space="preserve">. Za </w:t>
      </w:r>
      <w:r w:rsidR="00B55A23">
        <w:t>podstatné</w:t>
      </w:r>
      <w:r w:rsidR="00B55A23" w:rsidRPr="00A42864">
        <w:t xml:space="preserve"> </w:t>
      </w:r>
      <w:r w:rsidRPr="00A42864">
        <w:t xml:space="preserve">porušení této smlouvy </w:t>
      </w:r>
      <w:r w:rsidR="009F2B56" w:rsidRPr="00A42864">
        <w:t xml:space="preserve">ze strany dalšího účastníka </w:t>
      </w:r>
      <w:r w:rsidRPr="00A42864">
        <w:t xml:space="preserve">se považuje neplnění </w:t>
      </w:r>
      <w:r w:rsidR="00B55A23">
        <w:t xml:space="preserve">povinností </w:t>
      </w:r>
      <w:r w:rsidR="004B448B">
        <w:t xml:space="preserve">podle </w:t>
      </w:r>
      <w:r w:rsidRPr="00A42864">
        <w:t>předmětu smlouvy,</w:t>
      </w:r>
      <w:r w:rsidR="00B55A23">
        <w:t xml:space="preserve"> a to</w:t>
      </w:r>
      <w:r w:rsidR="00E32EEF">
        <w:t xml:space="preserve"> konkrétně</w:t>
      </w:r>
      <w:r w:rsidRPr="00A42864">
        <w:t>:</w:t>
      </w:r>
    </w:p>
    <w:p w14:paraId="610D965D" w14:textId="2B1468C9" w:rsidR="008C486A" w:rsidRPr="00A42864" w:rsidRDefault="00E32EEF" w:rsidP="00182BB7">
      <w:pPr>
        <w:pStyle w:val="Odstavecseseznamem"/>
        <w:numPr>
          <w:ilvl w:val="0"/>
          <w:numId w:val="24"/>
        </w:numPr>
        <w:tabs>
          <w:tab w:val="left" w:pos="1069"/>
        </w:tabs>
        <w:ind w:left="993" w:hanging="426"/>
        <w:jc w:val="both"/>
      </w:pPr>
      <w:r>
        <w:t xml:space="preserve">prodlení s </w:t>
      </w:r>
      <w:r w:rsidR="008C486A" w:rsidRPr="00A42864">
        <w:t>dodání</w:t>
      </w:r>
      <w:r>
        <w:t>m</w:t>
      </w:r>
      <w:r w:rsidR="008C486A" w:rsidRPr="00A42864">
        <w:t xml:space="preserve"> </w:t>
      </w:r>
      <w:r w:rsidR="004F6519" w:rsidRPr="00A42864">
        <w:t xml:space="preserve">podkladů do </w:t>
      </w:r>
      <w:r w:rsidR="008C486A" w:rsidRPr="00A42864">
        <w:t>periodické</w:t>
      </w:r>
      <w:r w:rsidR="00BD7676" w:rsidRPr="00A42864">
        <w:t xml:space="preserve"> nebo závěrečné zprávy o řešení </w:t>
      </w:r>
      <w:r w:rsidR="008C486A" w:rsidRPr="00A42864">
        <w:t>dílčí části projektu,</w:t>
      </w:r>
    </w:p>
    <w:p w14:paraId="614E466C" w14:textId="4904B206" w:rsidR="008C486A" w:rsidRPr="00A42864" w:rsidRDefault="008C486A" w:rsidP="00182BB7">
      <w:pPr>
        <w:pStyle w:val="Odstavecseseznamem"/>
        <w:numPr>
          <w:ilvl w:val="0"/>
          <w:numId w:val="24"/>
        </w:numPr>
        <w:tabs>
          <w:tab w:val="left" w:pos="1069"/>
        </w:tabs>
        <w:ind w:left="993" w:hanging="426"/>
        <w:jc w:val="both"/>
      </w:pPr>
      <w:r w:rsidRPr="00A42864">
        <w:t xml:space="preserve">použití </w:t>
      </w:r>
      <w:r w:rsidR="00815C6B" w:rsidRPr="00A42864">
        <w:t xml:space="preserve">finanční </w:t>
      </w:r>
      <w:r w:rsidRPr="00A42864">
        <w:t>podpory projektu na jiné účel</w:t>
      </w:r>
      <w:r w:rsidR="009F2B56" w:rsidRPr="00A42864">
        <w:t>y</w:t>
      </w:r>
      <w:r w:rsidR="00BD4F7A">
        <w:t>,</w:t>
      </w:r>
      <w:r w:rsidR="009F2B56" w:rsidRPr="00A42864">
        <w:t xml:space="preserve"> než je uvedené v této smlouvě,</w:t>
      </w:r>
    </w:p>
    <w:p w14:paraId="0552BBD0" w14:textId="323ED7C0" w:rsidR="00AC1C06" w:rsidRPr="00A42864" w:rsidRDefault="00E32EEF" w:rsidP="00182BB7">
      <w:pPr>
        <w:pStyle w:val="Odstavecseseznamem"/>
        <w:numPr>
          <w:ilvl w:val="0"/>
          <w:numId w:val="24"/>
        </w:numPr>
        <w:tabs>
          <w:tab w:val="left" w:pos="1069"/>
        </w:tabs>
        <w:ind w:left="993" w:hanging="426"/>
        <w:jc w:val="both"/>
      </w:pPr>
      <w:r>
        <w:t xml:space="preserve">prodlení s </w:t>
      </w:r>
      <w:r w:rsidR="00815C6B" w:rsidRPr="00A42864">
        <w:t>dodání</w:t>
      </w:r>
      <w:r>
        <w:t>m</w:t>
      </w:r>
      <w:r w:rsidR="00815C6B" w:rsidRPr="00A42864">
        <w:t xml:space="preserve"> plánovaných druhů výsledků v souladu se schváleným harmonogramem řešení projektu</w:t>
      </w:r>
      <w:r w:rsidR="00235FB5">
        <w:t>.</w:t>
      </w:r>
    </w:p>
    <w:p w14:paraId="6C3A6647" w14:textId="41BB4BD4" w:rsidR="00182BB7" w:rsidRDefault="00182BB7" w:rsidP="007618B3">
      <w:pPr>
        <w:numPr>
          <w:ilvl w:val="0"/>
          <w:numId w:val="9"/>
        </w:numPr>
        <w:tabs>
          <w:tab w:val="clear" w:pos="720"/>
          <w:tab w:val="num" w:pos="360"/>
        </w:tabs>
        <w:ind w:left="360"/>
        <w:jc w:val="both"/>
      </w:pPr>
      <w:r>
        <w:t xml:space="preserve">Za podstatné porušení smlouvy ze strany příjemce se považuje prodlení s poskytnutím podpory či neposkytnutí podpory ve stanovené výši s výjimkou, </w:t>
      </w:r>
      <w:r w:rsidR="0020283C">
        <w:t xml:space="preserve">pokud dojde k platnosti rozpočtového provizoria či </w:t>
      </w:r>
      <w:r w:rsidR="0020283C" w:rsidRPr="00015CE2">
        <w:t>k regulaci čerpání prostředků státního rozpočtu</w:t>
      </w:r>
      <w:r w:rsidR="0020283C">
        <w:t>, nebo pokud dojde k prodlení či neposkytnutí podpory ve stanovené výši v důsledku porušení povinností dalšího účastníka vůči příjemci</w:t>
      </w:r>
      <w:r>
        <w:t>.</w:t>
      </w:r>
    </w:p>
    <w:p w14:paraId="33254B40" w14:textId="0F9F82BD" w:rsidR="009F2B56" w:rsidRPr="0023698D" w:rsidRDefault="00B55A23" w:rsidP="007618B3">
      <w:pPr>
        <w:numPr>
          <w:ilvl w:val="0"/>
          <w:numId w:val="9"/>
        </w:numPr>
        <w:tabs>
          <w:tab w:val="clear" w:pos="720"/>
          <w:tab w:val="num" w:pos="360"/>
        </w:tabs>
        <w:ind w:left="360"/>
        <w:jc w:val="both"/>
      </w:pPr>
      <w:r>
        <w:t xml:space="preserve">Odstoupení od smlouvy musí být písemné a odůvodněné a je účinné okamžikem doručení </w:t>
      </w:r>
      <w:r w:rsidR="00E62D5B">
        <w:t>druhé smluvní straně</w:t>
      </w:r>
      <w:r>
        <w:t xml:space="preserve">. </w:t>
      </w:r>
    </w:p>
    <w:p w14:paraId="38C49E7B" w14:textId="147357A2" w:rsidR="0023698D" w:rsidRDefault="0023698D" w:rsidP="007618B3">
      <w:pPr>
        <w:numPr>
          <w:ilvl w:val="0"/>
          <w:numId w:val="9"/>
        </w:numPr>
        <w:tabs>
          <w:tab w:val="clear" w:pos="720"/>
          <w:tab w:val="num" w:pos="360"/>
        </w:tabs>
        <w:ind w:left="360"/>
        <w:jc w:val="both"/>
      </w:pPr>
      <w:r w:rsidRPr="0023698D">
        <w:t xml:space="preserve">V případě, že příjemci bude uložen odvod nebo sankce z důvodů, které jsou způsobeny dalším účastníkem, je další účastník povinen uhradit příjemci </w:t>
      </w:r>
      <w:r w:rsidR="0020283C">
        <w:t>náhradu škody ve výši takového odvodu či sankce</w:t>
      </w:r>
      <w:r w:rsidRPr="0023698D">
        <w:t xml:space="preserve">. </w:t>
      </w:r>
      <w:r>
        <w:t xml:space="preserve">V případě, že příjemci podpory bude uložen odvod nebo sankce z důvodu, které jsou zčásti způsobeny dalším účastníkem, je další účastník povinen uhradit příjemci </w:t>
      </w:r>
      <w:r w:rsidR="0020283C">
        <w:t>náhradu škody v poměrné výši</w:t>
      </w:r>
      <w:r>
        <w:t xml:space="preserve">. </w:t>
      </w:r>
    </w:p>
    <w:p w14:paraId="6A00B26B" w14:textId="77777777" w:rsidR="005B56B3" w:rsidRDefault="005B56B3" w:rsidP="005B56B3">
      <w:pPr>
        <w:numPr>
          <w:ilvl w:val="0"/>
          <w:numId w:val="9"/>
        </w:numPr>
        <w:tabs>
          <w:tab w:val="clear" w:pos="720"/>
          <w:tab w:val="num" w:pos="360"/>
        </w:tabs>
        <w:ind w:left="360"/>
        <w:jc w:val="both"/>
      </w:pPr>
      <w:r w:rsidRPr="005B56B3">
        <w:t>Smluvní strany se zavazují předávat si bezodkladně podklady a dokumenty, a to zejména, nikoliv však výlučně, související s kontrolou projektu poskytovatelem, zejména předávání protokolů o průběhu kontroly a protokolu o výsledku kontroly projektu ze strany poskytovatele či jiného subjektu. V případě, že nebude příslušný dokument předán druhé smluvní straně v dostatečném časovém předstihu tak, aby se mohla bránit zejména podáním opravných prostředků proti sankcím ze strany poskytovatele či jiných subjektů, zavazuje se smluvní strana, která dokument nepředala vůbec či nepředala včas, čímž znemožnila zejména podání opravného prostředku, k úhradě náhrady škody té smluvní straně, která sankci uhradila, tedy k náhradě částky odpovídající uhrazené sankci, a to v plné výši, bezodkladně, na základě písemné výzvy poškozené smluvní strany</w:t>
      </w:r>
      <w:r>
        <w:t>.</w:t>
      </w:r>
    </w:p>
    <w:p w14:paraId="4B7E0466" w14:textId="5A6317D9" w:rsidR="009A7A5F" w:rsidRDefault="009A7A5F" w:rsidP="00CD60C1">
      <w:pPr>
        <w:jc w:val="center"/>
        <w:rPr>
          <w:b/>
        </w:rPr>
      </w:pPr>
    </w:p>
    <w:p w14:paraId="3C7B9EC3" w14:textId="77777777" w:rsidR="007B7A70" w:rsidRDefault="007B7A70" w:rsidP="00CD60C1">
      <w:pPr>
        <w:jc w:val="center"/>
        <w:rPr>
          <w:b/>
        </w:rPr>
      </w:pPr>
    </w:p>
    <w:p w14:paraId="6D867348" w14:textId="77777777" w:rsidR="00E62328" w:rsidRPr="00015CE2" w:rsidRDefault="00CD60C1" w:rsidP="00E62328">
      <w:pPr>
        <w:jc w:val="center"/>
        <w:rPr>
          <w:b/>
        </w:rPr>
      </w:pPr>
      <w:r w:rsidRPr="00015CE2">
        <w:rPr>
          <w:b/>
        </w:rPr>
        <w:t>VII.</w:t>
      </w:r>
    </w:p>
    <w:p w14:paraId="5A018631" w14:textId="77777777" w:rsidR="00E62328" w:rsidRPr="00015CE2" w:rsidRDefault="00E62328" w:rsidP="00E62328">
      <w:pPr>
        <w:jc w:val="center"/>
        <w:rPr>
          <w:b/>
        </w:rPr>
      </w:pPr>
      <w:r w:rsidRPr="00015CE2">
        <w:rPr>
          <w:b/>
        </w:rPr>
        <w:t>Práva k majetku</w:t>
      </w:r>
    </w:p>
    <w:p w14:paraId="0785FB84" w14:textId="77777777" w:rsidR="00E62328" w:rsidRPr="00015CE2" w:rsidRDefault="00E62328" w:rsidP="00E62328">
      <w:pPr>
        <w:jc w:val="center"/>
        <w:rPr>
          <w:b/>
        </w:rPr>
      </w:pPr>
    </w:p>
    <w:p w14:paraId="3A0EB824" w14:textId="77777777" w:rsidR="00E62328" w:rsidRPr="00015CE2" w:rsidRDefault="00E62328" w:rsidP="005B4E74">
      <w:pPr>
        <w:numPr>
          <w:ilvl w:val="0"/>
          <w:numId w:val="19"/>
        </w:numPr>
        <w:tabs>
          <w:tab w:val="clear" w:pos="720"/>
          <w:tab w:val="num" w:pos="426"/>
        </w:tabs>
        <w:ind w:left="426" w:hanging="426"/>
        <w:jc w:val="both"/>
      </w:pPr>
      <w:r w:rsidRPr="00015CE2">
        <w:t>Vlastníkem majetku n</w:t>
      </w:r>
      <w:r w:rsidR="0023698D" w:rsidRPr="00015CE2">
        <w:t>ezbytného</w:t>
      </w:r>
      <w:r w:rsidRPr="00015CE2">
        <w:t xml:space="preserve"> k řešení projektu a pořízeného z podpory je příjemce nebo další účastník, který </w:t>
      </w:r>
      <w:r w:rsidR="0023698D" w:rsidRPr="00015CE2">
        <w:t>tento</w:t>
      </w:r>
      <w:r w:rsidRPr="00015CE2">
        <w:t xml:space="preserve"> majetek pořídil nebo jej vytvořil. Došlo-li k vytvoření nebo pořízení majetku společným působením příjemce a dalšího účastníka nebo několika dalších účastníků, je takový majetek v jejich podílovém spoluvlastnictví, a to podle míry, v jakém se na jeho vytvoření nebo pořízení podíleli. V pochybnostech jsou podíly rovné. Příjemce i další účastník jsou povinni nakládat s veškerým majetkem s péčí řádného hospodáře, </w:t>
      </w:r>
      <w:r w:rsidRPr="00015CE2">
        <w:lastRenderedPageBreak/>
        <w:t>zejména jej zabezpečit proti poškození, ztrátě nebo odcizení a dále jej využívat zejména pro aktivity spojené s projektem.</w:t>
      </w:r>
    </w:p>
    <w:p w14:paraId="61BB17F7" w14:textId="77777777" w:rsidR="00E62328" w:rsidRPr="00015CE2" w:rsidRDefault="00E62328" w:rsidP="005B4E74">
      <w:pPr>
        <w:numPr>
          <w:ilvl w:val="0"/>
          <w:numId w:val="19"/>
        </w:numPr>
        <w:tabs>
          <w:tab w:val="clear" w:pos="720"/>
          <w:tab w:val="num" w:pos="426"/>
        </w:tabs>
        <w:ind w:left="426" w:hanging="426"/>
        <w:jc w:val="both"/>
      </w:pPr>
      <w:r w:rsidRPr="00015CE2">
        <w:t xml:space="preserve">Po dobu </w:t>
      </w:r>
      <w:r w:rsidR="00450BDC" w:rsidRPr="00015CE2">
        <w:t>platnosti</w:t>
      </w:r>
      <w:r w:rsidRPr="00015CE2">
        <w:t xml:space="preserve"> této smlouvy není další účastník oprávněn majet</w:t>
      </w:r>
      <w:r w:rsidR="00450BDC" w:rsidRPr="00015CE2">
        <w:t>e</w:t>
      </w:r>
      <w:r w:rsidRPr="00015CE2">
        <w:t xml:space="preserve">k </w:t>
      </w:r>
      <w:r w:rsidR="0023698D" w:rsidRPr="00015CE2">
        <w:t xml:space="preserve">pořízený </w:t>
      </w:r>
      <w:r w:rsidR="00450BDC" w:rsidRPr="00015CE2">
        <w:t xml:space="preserve">z veřejných zdrojů </w:t>
      </w:r>
      <w:r w:rsidR="0023698D" w:rsidRPr="00015CE2">
        <w:t>pro účely řešení projektu používat k podnikání nebo jiné výdělečné činnosti</w:t>
      </w:r>
      <w:r w:rsidR="007B6B3F" w:rsidRPr="00015CE2">
        <w:t>.</w:t>
      </w:r>
    </w:p>
    <w:p w14:paraId="6193453B" w14:textId="77777777" w:rsidR="00E62328" w:rsidRPr="00015CE2" w:rsidRDefault="00E62328" w:rsidP="00E62328">
      <w:pPr>
        <w:jc w:val="center"/>
        <w:rPr>
          <w:b/>
        </w:rPr>
      </w:pPr>
    </w:p>
    <w:p w14:paraId="69D3D4DA" w14:textId="77777777" w:rsidR="00E62328" w:rsidRPr="00E62328" w:rsidRDefault="0023698D" w:rsidP="00E62328">
      <w:pPr>
        <w:jc w:val="center"/>
        <w:rPr>
          <w:b/>
        </w:rPr>
      </w:pPr>
      <w:r w:rsidRPr="00015CE2">
        <w:rPr>
          <w:b/>
        </w:rPr>
        <w:t>VIII.</w:t>
      </w:r>
    </w:p>
    <w:p w14:paraId="7E99A906" w14:textId="77777777" w:rsidR="00E62328" w:rsidRPr="00E62328" w:rsidRDefault="00E62328" w:rsidP="00E62328">
      <w:pPr>
        <w:jc w:val="center"/>
        <w:rPr>
          <w:b/>
        </w:rPr>
      </w:pPr>
      <w:r w:rsidRPr="007B6B3F">
        <w:rPr>
          <w:b/>
        </w:rPr>
        <w:t>Řízení vnesených práv</w:t>
      </w:r>
    </w:p>
    <w:p w14:paraId="67F658B8" w14:textId="77777777" w:rsidR="00E62328" w:rsidRPr="00E62328" w:rsidRDefault="00E62328" w:rsidP="00E62328">
      <w:pPr>
        <w:jc w:val="center"/>
        <w:rPr>
          <w:b/>
        </w:rPr>
      </w:pPr>
    </w:p>
    <w:p w14:paraId="70B66953" w14:textId="77777777" w:rsidR="00E62328" w:rsidRPr="005B4E74" w:rsidRDefault="00E62328" w:rsidP="005B4E74">
      <w:pPr>
        <w:numPr>
          <w:ilvl w:val="0"/>
          <w:numId w:val="21"/>
        </w:numPr>
        <w:tabs>
          <w:tab w:val="num" w:pos="426"/>
        </w:tabs>
        <w:ind w:left="426" w:hanging="426"/>
        <w:jc w:val="both"/>
      </w:pPr>
      <w:r w:rsidRPr="005B4E74">
        <w:t>Za vnesená práva jsou považována taková autorská práva, práva průmyslového vlastnictví, know-how a získaná data, která mají smluv</w:t>
      </w:r>
      <w:r w:rsidR="004D1F15" w:rsidRPr="004D1F15">
        <w:t>ní strany v době uzavření této s</w:t>
      </w:r>
      <w:r w:rsidRPr="005B4E74">
        <w:t xml:space="preserve">mlouvy nebo je získají později nezávisle na řešení projektu. </w:t>
      </w:r>
    </w:p>
    <w:p w14:paraId="20F3973B" w14:textId="51FA36A5" w:rsidR="00E62328" w:rsidRPr="005B4E74" w:rsidRDefault="00E62328" w:rsidP="005B4E74">
      <w:pPr>
        <w:numPr>
          <w:ilvl w:val="0"/>
          <w:numId w:val="21"/>
        </w:numPr>
        <w:tabs>
          <w:tab w:val="num" w:pos="426"/>
        </w:tabs>
        <w:ind w:left="426" w:hanging="426"/>
        <w:jc w:val="both"/>
      </w:pPr>
      <w:r w:rsidRPr="005B4E74">
        <w:t xml:space="preserve">Vnesená práva mohou </w:t>
      </w:r>
      <w:r w:rsidR="0028067B">
        <w:t>smluvní strany</w:t>
      </w:r>
      <w:r w:rsidRPr="005B4E74">
        <w:t xml:space="preserve"> užívat bezplatně pro potřeby projektu. K jiným účelům mohou </w:t>
      </w:r>
      <w:r w:rsidR="0028067B">
        <w:t>smluvní strany</w:t>
      </w:r>
      <w:r w:rsidRPr="005B4E74">
        <w:t xml:space="preserve"> užívat vnesená práva pouze na základě předchozí písemné licenční smlouvy</w:t>
      </w:r>
      <w:r w:rsidR="00F17DE7">
        <w:t xml:space="preserve">, </w:t>
      </w:r>
      <w:r w:rsidR="00F17DE7" w:rsidRPr="000C6C0B">
        <w:t xml:space="preserve">uzavřené </w:t>
      </w:r>
      <w:r w:rsidR="00FF0A70">
        <w:t>s</w:t>
      </w:r>
      <w:r w:rsidR="00F17DE7" w:rsidRPr="000C6C0B">
        <w:t> vlastníkem takových práv</w:t>
      </w:r>
      <w:r w:rsidRPr="005B4E74">
        <w:t xml:space="preserve"> za běžných tržních podmínek. </w:t>
      </w:r>
    </w:p>
    <w:p w14:paraId="3BFD727F" w14:textId="77777777" w:rsidR="00E62328" w:rsidRDefault="004D1F15" w:rsidP="005B4E74">
      <w:pPr>
        <w:numPr>
          <w:ilvl w:val="0"/>
          <w:numId w:val="21"/>
        </w:numPr>
        <w:tabs>
          <w:tab w:val="num" w:pos="426"/>
        </w:tabs>
        <w:ind w:left="426" w:hanging="426"/>
        <w:jc w:val="both"/>
      </w:pPr>
      <w:r>
        <w:t xml:space="preserve">Smluvní strany </w:t>
      </w:r>
      <w:r w:rsidR="00E62328" w:rsidRPr="005B4E74">
        <w:t>projektu nesmí vnesená práva poskytnout třetím osobám a nesmějí je komerčně využívat.</w:t>
      </w:r>
    </w:p>
    <w:p w14:paraId="051E5798" w14:textId="77777777" w:rsidR="00146275" w:rsidRPr="005B4E74" w:rsidRDefault="00146275" w:rsidP="005B4E74">
      <w:pPr>
        <w:numPr>
          <w:ilvl w:val="0"/>
          <w:numId w:val="21"/>
        </w:numPr>
        <w:tabs>
          <w:tab w:val="num" w:pos="426"/>
        </w:tabs>
        <w:ind w:left="426" w:hanging="426"/>
        <w:jc w:val="both"/>
      </w:pPr>
      <w:r>
        <w:t xml:space="preserve">V případě vzniku potřeby bezplatného použití vnesených práv jiným dalším účastníkem projektu ve prospěch řešení tohoto projektu, zajistí smluvní strana, která </w:t>
      </w:r>
      <w:r w:rsidR="00E15A4D">
        <w:t>vlastní</w:t>
      </w:r>
      <w:r>
        <w:t xml:space="preserve"> tato práva, uzavření příslušné smlouvy</w:t>
      </w:r>
      <w:r w:rsidR="00E15A4D">
        <w:t xml:space="preserve"> na využití vnesených práv</w:t>
      </w:r>
      <w:r>
        <w:t xml:space="preserve"> s takovým dalším účastníkem projektu.</w:t>
      </w:r>
    </w:p>
    <w:p w14:paraId="78131372" w14:textId="77777777" w:rsidR="00E62328" w:rsidRDefault="00E62328" w:rsidP="00E62328">
      <w:pPr>
        <w:jc w:val="center"/>
        <w:rPr>
          <w:b/>
        </w:rPr>
      </w:pPr>
    </w:p>
    <w:p w14:paraId="0EDDE338" w14:textId="77777777" w:rsidR="00105B39" w:rsidRPr="00E62328" w:rsidRDefault="00105B39" w:rsidP="00E62328">
      <w:pPr>
        <w:jc w:val="center"/>
        <w:rPr>
          <w:b/>
        </w:rPr>
      </w:pPr>
    </w:p>
    <w:p w14:paraId="716296E9" w14:textId="77777777" w:rsidR="00E62328" w:rsidRPr="00E62328" w:rsidRDefault="007B6B3F" w:rsidP="00E62328">
      <w:pPr>
        <w:jc w:val="center"/>
        <w:rPr>
          <w:b/>
        </w:rPr>
      </w:pPr>
      <w:r>
        <w:rPr>
          <w:b/>
        </w:rPr>
        <w:t>I</w:t>
      </w:r>
      <w:r w:rsidR="00E62328" w:rsidRPr="00E62328">
        <w:rPr>
          <w:b/>
        </w:rPr>
        <w:t>X.</w:t>
      </w:r>
    </w:p>
    <w:p w14:paraId="6E4451FE" w14:textId="77777777" w:rsidR="00E62328" w:rsidRPr="00E62328" w:rsidRDefault="00E62328" w:rsidP="00E62328">
      <w:pPr>
        <w:jc w:val="center"/>
        <w:rPr>
          <w:b/>
        </w:rPr>
      </w:pPr>
      <w:r w:rsidRPr="007B6B3F">
        <w:rPr>
          <w:b/>
        </w:rPr>
        <w:t>Práva k duševnímu vlastnictví</w:t>
      </w:r>
    </w:p>
    <w:p w14:paraId="4E0A6619" w14:textId="77777777" w:rsidR="00E62328" w:rsidRPr="00E62328" w:rsidRDefault="00E62328" w:rsidP="00E62328">
      <w:pPr>
        <w:jc w:val="center"/>
        <w:rPr>
          <w:b/>
        </w:rPr>
      </w:pPr>
    </w:p>
    <w:p w14:paraId="7FFBAB6A" w14:textId="3C79D54D" w:rsidR="00E62328" w:rsidRPr="005B4E74" w:rsidRDefault="00E62328" w:rsidP="005B4E74">
      <w:pPr>
        <w:numPr>
          <w:ilvl w:val="0"/>
          <w:numId w:val="22"/>
        </w:numPr>
        <w:ind w:hanging="502"/>
        <w:jc w:val="both"/>
      </w:pPr>
      <w:r w:rsidRPr="005B4E74">
        <w:t xml:space="preserve">Smluvní strany se zavazují dodržovat mlčenlivost o skutečnostech, které se týkají obchodního tajemství </w:t>
      </w:r>
      <w:r w:rsidR="004D1F15">
        <w:t>druhé</w:t>
      </w:r>
      <w:r w:rsidR="004D1F15" w:rsidRPr="004D1F15">
        <w:t xml:space="preserve"> smluvní</w:t>
      </w:r>
      <w:r w:rsidRPr="005B4E74">
        <w:t xml:space="preserve"> stran</w:t>
      </w:r>
      <w:r w:rsidR="004D1F15">
        <w:t>y</w:t>
      </w:r>
      <w:r w:rsidR="00D501F2">
        <w:t>,</w:t>
      </w:r>
      <w:r w:rsidRPr="005B4E74">
        <w:t xml:space="preserve"> a další</w:t>
      </w:r>
      <w:r w:rsidR="00D501F2">
        <w:t>ch důvěrných informací</w:t>
      </w:r>
      <w:r w:rsidRPr="005B4E74">
        <w:t xml:space="preserve"> (takové informace, které některá smluvní strana za důvěrné označí), které se v rámci této spolupráce dozví, zvláště pak týkající se duševního vlastnictví, bez ohledu na formu a způsob jejich sdělení či zachycení, a to až do doby jejich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w:t>
      </w:r>
      <w:r w:rsidR="004D1F15">
        <w:t>s</w:t>
      </w:r>
      <w:r w:rsidRPr="005B4E74">
        <w:t xml:space="preserve">mlouvy rozumí zaměstnanci smluvní strany, případně jiné osoby, které vykonávají činnost pro smluvní stranu na základě jakéhokoliv prokazatelného právního vztahu. Povinnost mlčenlivosti se nevztahuje na výsledky projektu v rozsahu, který </w:t>
      </w:r>
      <w:r w:rsidR="004D1F15">
        <w:t>smluvním stranám</w:t>
      </w:r>
      <w:r w:rsidRPr="005B4E74">
        <w:t xml:space="preserve"> umožní zveřejňovat úplné, pravdivé a včasné informace o projektu a jeho výsledcích ve formě, rozsahu a způsobem stanoveným poskytovatelem. Smluvní strany se dále zavazují, že duševní vlastnictví nepoužijí v rozporu s jeho účelem, s účelem vzá</w:t>
      </w:r>
      <w:r w:rsidR="004D1F15" w:rsidRPr="004D1F15">
        <w:t>jemné spolupráce</w:t>
      </w:r>
      <w:r w:rsidR="009461FB">
        <w:t xml:space="preserve"> </w:t>
      </w:r>
      <w:r w:rsidR="004D1F15" w:rsidRPr="004D1F15">
        <w:t>určen</w:t>
      </w:r>
      <w:r w:rsidR="009461FB">
        <w:t>é</w:t>
      </w:r>
      <w:r w:rsidR="004D1F15" w:rsidRPr="004D1F15">
        <w:t xml:space="preserve"> </w:t>
      </w:r>
      <w:r w:rsidR="00E15A4D">
        <w:t>projekt</w:t>
      </w:r>
      <w:r w:rsidR="009461FB">
        <w:t>em</w:t>
      </w:r>
      <w:r w:rsidRPr="005B4E74">
        <w:t>, ve prospěch tře</w:t>
      </w:r>
      <w:r w:rsidR="004D1F15" w:rsidRPr="004D1F15">
        <w:t>tích osob jinak než podle této s</w:t>
      </w:r>
      <w:r w:rsidRPr="005B4E74">
        <w:t>mlouvy, ani pro vlastní potřebu, která nemá vztah k předmětu spolupráce</w:t>
      </w:r>
      <w:r w:rsidR="009461FB">
        <w:t xml:space="preserve"> vymezené projektem</w:t>
      </w:r>
      <w:r w:rsidRPr="005B4E74">
        <w:t xml:space="preserve">, nebude-li dohodnuto jinak. Duševní vlastnictví vložené smluvní stranou do spolupráce </w:t>
      </w:r>
      <w:r w:rsidR="009461FB">
        <w:t xml:space="preserve">na projektu </w:t>
      </w:r>
      <w:r w:rsidRPr="005B4E74">
        <w:t xml:space="preserve">zůstává i nadále ve vlastnictví této smluvní strany, </w:t>
      </w:r>
      <w:r w:rsidR="009461FB">
        <w:t xml:space="preserve">a může být </w:t>
      </w:r>
      <w:r w:rsidRPr="005B4E74">
        <w:t>už</w:t>
      </w:r>
      <w:r w:rsidR="009461FB">
        <w:t>ito</w:t>
      </w:r>
      <w:r w:rsidRPr="005B4E74">
        <w:t xml:space="preserve"> </w:t>
      </w:r>
      <w:r w:rsidR="00E71FCC">
        <w:t xml:space="preserve">druhou smluvní stranou </w:t>
      </w:r>
      <w:r w:rsidRPr="005B4E74">
        <w:t xml:space="preserve">pouze pro účely řešení projektu. </w:t>
      </w:r>
    </w:p>
    <w:p w14:paraId="74EBF5A5" w14:textId="191B59ED" w:rsidR="00E62328" w:rsidRPr="005B4E74" w:rsidRDefault="00E62328" w:rsidP="005B4E74">
      <w:pPr>
        <w:numPr>
          <w:ilvl w:val="0"/>
          <w:numId w:val="22"/>
        </w:numPr>
        <w:ind w:hanging="502"/>
        <w:jc w:val="both"/>
      </w:pPr>
      <w:r w:rsidRPr="005B4E74">
        <w:t xml:space="preserve">Vznikne-li nové duševní vlastnictví za přispění více smluvních stran (dále jen „nové duševní spoluvlastnictví“), je takové duševní vlastnictví ve spoluvlastnictví více smluvních stran (dále jen „spoluvlastníci“). Poměr podílů bude určen vždy písemnou dohodou a odvíjí se od výše podílu na činnostech v </w:t>
      </w:r>
      <w:r w:rsidR="0001270B" w:rsidRPr="005B4E74">
        <w:t>projektu,</w:t>
      </w:r>
      <w:r w:rsidRPr="005B4E74">
        <w:t xml:space="preserve"> resp. na mater</w:t>
      </w:r>
      <w:r w:rsidR="004D1F15">
        <w:t>i</w:t>
      </w:r>
      <w:r w:rsidRPr="005B4E74">
        <w:t>álních, finančních a personálních vkladech smluvních stran na vytvoření výsledku.</w:t>
      </w:r>
    </w:p>
    <w:p w14:paraId="1B3BA9C3" w14:textId="77777777" w:rsidR="00E62328" w:rsidRPr="005B4E74" w:rsidRDefault="004D1F15" w:rsidP="005B4E74">
      <w:pPr>
        <w:numPr>
          <w:ilvl w:val="0"/>
          <w:numId w:val="22"/>
        </w:numPr>
        <w:ind w:hanging="502"/>
        <w:jc w:val="both"/>
      </w:pPr>
      <w:r>
        <w:lastRenderedPageBreak/>
        <w:t>S</w:t>
      </w:r>
      <w:r w:rsidR="00E62328" w:rsidRPr="005B4E74">
        <w:t>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14:paraId="5AEC6A31" w14:textId="49559976" w:rsidR="00E62328" w:rsidRPr="005B4E74" w:rsidRDefault="00E62328" w:rsidP="005B4E74">
      <w:pPr>
        <w:numPr>
          <w:ilvl w:val="0"/>
          <w:numId w:val="22"/>
        </w:numPr>
        <w:ind w:hanging="502"/>
        <w:jc w:val="both"/>
      </w:pPr>
      <w:r w:rsidRPr="005B4E74">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w:t>
      </w:r>
      <w:proofErr w:type="spellStart"/>
      <w:r w:rsidRPr="005B4E74">
        <w:t>podlicenčních</w:t>
      </w:r>
      <w:proofErr w:type="spellEnd"/>
      <w:r w:rsidRPr="005B4E74">
        <w:t xml:space="preserve"> smluv a převodu práv z duševního vlastnictví jednomyslně. </w:t>
      </w:r>
      <w:r w:rsidR="00E71FCC">
        <w:t>Spoluvlastníci</w:t>
      </w:r>
      <w:r w:rsidRPr="005B4E74">
        <w:t xml:space="preserve"> mají v případě převodu práv předkupní právo. </w:t>
      </w:r>
    </w:p>
    <w:p w14:paraId="3AB2B729" w14:textId="77777777" w:rsidR="00E62328" w:rsidRPr="005B4E74" w:rsidRDefault="00E62328" w:rsidP="005B4E74">
      <w:pPr>
        <w:numPr>
          <w:ilvl w:val="0"/>
          <w:numId w:val="22"/>
        </w:numPr>
        <w:ind w:hanging="502"/>
        <w:jc w:val="both"/>
      </w:pPr>
      <w:r w:rsidRPr="005B4E74">
        <w:t>Smluvní strany se výslovně dohodly, že chráněné nové duševní vlastnictví nebo spoluvlastnictví může být smluvní stranou využito pro výzkumné a vzdělávací účely bezúplatně způsobem, který neohrozí jeho ochranu.</w:t>
      </w:r>
    </w:p>
    <w:p w14:paraId="7529862B" w14:textId="77777777" w:rsidR="00E62328" w:rsidRPr="005B4E74" w:rsidRDefault="00E62328" w:rsidP="005B4E74">
      <w:pPr>
        <w:numPr>
          <w:ilvl w:val="0"/>
          <w:numId w:val="22"/>
        </w:numPr>
        <w:ind w:hanging="502"/>
        <w:jc w:val="both"/>
      </w:pPr>
      <w:r w:rsidRPr="005B4E74">
        <w:t>Smluvní strany jsou oprávněny poskytnout výsledky, které nejsou výsledkem veřejné zakázky ve výzkumu, vývoji a inovacích, pouze za úplatu minimálně ve výši odpovídající tržní ceně poskytovaných práv k duševnímu vlastnictví. Pokud tato nelze objektivně zjistit, postupují smluvní strany jako řádný hospodář tak, aby získaly co nejvyšší možnou protihodnotu, kterou je možné zpravidla stanovit součtem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14:paraId="550D1D80" w14:textId="77777777" w:rsidR="00E909D3" w:rsidRDefault="00E909D3" w:rsidP="00CD60C1">
      <w:pPr>
        <w:jc w:val="center"/>
        <w:rPr>
          <w:b/>
        </w:rPr>
      </w:pPr>
    </w:p>
    <w:p w14:paraId="73319755" w14:textId="77777777" w:rsidR="00105B39" w:rsidRDefault="00105B39" w:rsidP="00CD60C1">
      <w:pPr>
        <w:jc w:val="center"/>
        <w:rPr>
          <w:b/>
        </w:rPr>
      </w:pPr>
    </w:p>
    <w:p w14:paraId="50877DEE" w14:textId="77777777" w:rsidR="004D1F15" w:rsidRDefault="004D1F15" w:rsidP="00CD60C1">
      <w:pPr>
        <w:jc w:val="center"/>
        <w:rPr>
          <w:b/>
        </w:rPr>
      </w:pPr>
      <w:r>
        <w:rPr>
          <w:b/>
        </w:rPr>
        <w:t>X.</w:t>
      </w:r>
    </w:p>
    <w:p w14:paraId="78F6FC95" w14:textId="77777777" w:rsidR="005E7F24" w:rsidRPr="009058E0" w:rsidRDefault="005E7F24" w:rsidP="005E7F24">
      <w:pPr>
        <w:jc w:val="center"/>
        <w:rPr>
          <w:b/>
        </w:rPr>
      </w:pPr>
      <w:r w:rsidRPr="009058E0">
        <w:rPr>
          <w:b/>
        </w:rPr>
        <w:t>Závěrečná ustanovení</w:t>
      </w:r>
    </w:p>
    <w:p w14:paraId="3644DA43" w14:textId="77777777" w:rsidR="005E7F24" w:rsidRDefault="005E7F24" w:rsidP="005E7F24">
      <w:pPr>
        <w:jc w:val="both"/>
      </w:pPr>
    </w:p>
    <w:p w14:paraId="0A76192E" w14:textId="77777777" w:rsidR="005E7F24" w:rsidRPr="00015CE2" w:rsidRDefault="005E7F24" w:rsidP="000C79F6">
      <w:pPr>
        <w:numPr>
          <w:ilvl w:val="0"/>
          <w:numId w:val="11"/>
        </w:numPr>
        <w:tabs>
          <w:tab w:val="clear" w:pos="720"/>
          <w:tab w:val="num" w:pos="426"/>
        </w:tabs>
        <w:ind w:left="426" w:hanging="426"/>
        <w:jc w:val="both"/>
      </w:pPr>
      <w:r w:rsidRPr="00015CE2">
        <w:t>Závazky, práva a povinnosti vyplývající z této smlouvy přecházejí na eventuální právní nástupce smluvních stran.</w:t>
      </w:r>
    </w:p>
    <w:p w14:paraId="6FB0AF35" w14:textId="622F613F" w:rsidR="007E6561" w:rsidRPr="00015CE2" w:rsidRDefault="00BD7676" w:rsidP="008F7D2A">
      <w:pPr>
        <w:numPr>
          <w:ilvl w:val="0"/>
          <w:numId w:val="11"/>
        </w:numPr>
        <w:tabs>
          <w:tab w:val="clear" w:pos="720"/>
          <w:tab w:val="num" w:pos="426"/>
        </w:tabs>
        <w:ind w:left="426" w:hanging="426"/>
        <w:jc w:val="both"/>
      </w:pPr>
      <w:r w:rsidRPr="00015CE2">
        <w:t>Smluvní strany</w:t>
      </w:r>
      <w:r w:rsidR="007E6561" w:rsidRPr="00015CE2">
        <w:t xml:space="preserve"> svým podpisem níže potvrzuj</w:t>
      </w:r>
      <w:r w:rsidRPr="00015CE2">
        <w:t>í</w:t>
      </w:r>
      <w:r w:rsidR="007E6561" w:rsidRPr="00015CE2">
        <w:t xml:space="preserve"> a souhlasí s tím, aby obraz této smlouvy včetně jejích příloh</w:t>
      </w:r>
      <w:r w:rsidR="0028067B" w:rsidRPr="00015CE2">
        <w:t>,</w:t>
      </w:r>
      <w:r w:rsidR="007E6561" w:rsidRPr="00015CE2">
        <w:t xml:space="preserve"> a </w:t>
      </w:r>
      <w:r w:rsidR="006445E4" w:rsidRPr="00015CE2">
        <w:t xml:space="preserve">včetně </w:t>
      </w:r>
      <w:r w:rsidR="007E6561" w:rsidRPr="00015CE2">
        <w:t xml:space="preserve">případných dodatků a </w:t>
      </w:r>
      <w:proofErr w:type="spellStart"/>
      <w:r w:rsidR="007E6561" w:rsidRPr="00015CE2">
        <w:t>metadat</w:t>
      </w:r>
      <w:proofErr w:type="spellEnd"/>
      <w:r w:rsidR="007E6561" w:rsidRPr="00015CE2">
        <w:t xml:space="preserve"> k této smlouvě byl uveřejněn v Registru smluv </w:t>
      </w:r>
      <w:r w:rsidR="00AE7513">
        <w:t xml:space="preserve">v </w:t>
      </w:r>
      <w:r w:rsidR="007E6561" w:rsidRPr="00015CE2">
        <w:t xml:space="preserve">souladu se zákonem č. 340/2015 Sb., o zvláštních podmínkách účinnosti některých smluv, uveřejňování těchto smluv a o registru smluv (zákon o registru smluv), ve znění pozdějších předpisů. Smluvní strany se dohodly, že zveřejnění v Registru smluv zajistí příjemce.    </w:t>
      </w:r>
    </w:p>
    <w:p w14:paraId="683E789E" w14:textId="63586A7D" w:rsidR="008A6B4D" w:rsidRPr="00015CE2" w:rsidRDefault="007E6561" w:rsidP="00B77B90">
      <w:pPr>
        <w:numPr>
          <w:ilvl w:val="0"/>
          <w:numId w:val="11"/>
        </w:numPr>
        <w:tabs>
          <w:tab w:val="clear" w:pos="720"/>
          <w:tab w:val="num" w:pos="426"/>
        </w:tabs>
        <w:ind w:left="426" w:hanging="426"/>
        <w:jc w:val="both"/>
      </w:pPr>
      <w:r w:rsidRPr="00015CE2">
        <w:t>Další podmínky</w:t>
      </w:r>
      <w:r w:rsidR="008A6B4D" w:rsidRPr="00015CE2">
        <w:t xml:space="preserve"> </w:t>
      </w:r>
      <w:r w:rsidR="006445E4" w:rsidRPr="00015CE2">
        <w:t xml:space="preserve">a povinnosti, </w:t>
      </w:r>
      <w:r w:rsidR="008A6B4D" w:rsidRPr="00015CE2">
        <w:t>vztahující se k</w:t>
      </w:r>
      <w:r w:rsidR="006445E4" w:rsidRPr="00015CE2">
        <w:t> plnění předmětu této</w:t>
      </w:r>
      <w:r w:rsidR="008A6B4D" w:rsidRPr="00015CE2">
        <w:t xml:space="preserve"> sml</w:t>
      </w:r>
      <w:r w:rsidR="006445E4" w:rsidRPr="00015CE2">
        <w:t>ouvy,</w:t>
      </w:r>
      <w:r w:rsidR="008A6B4D" w:rsidRPr="00015CE2">
        <w:t xml:space="preserve"> upravuje </w:t>
      </w:r>
      <w:r w:rsidR="008A6B4D" w:rsidRPr="00015CE2">
        <w:rPr>
          <w:i/>
        </w:rPr>
        <w:t>Příloha II. – Všeobecné podmínky</w:t>
      </w:r>
      <w:r w:rsidR="006445E4" w:rsidRPr="00015CE2">
        <w:t xml:space="preserve"> a </w:t>
      </w:r>
      <w:r w:rsidR="006445E4" w:rsidRPr="00015CE2">
        <w:rPr>
          <w:i/>
        </w:rPr>
        <w:t>Smlouva o poskytnutí podpory na řešení projektu Q</w:t>
      </w:r>
      <w:r w:rsidR="003B47C5" w:rsidRPr="00015CE2">
        <w:rPr>
          <w:i/>
        </w:rPr>
        <w:t>L</w:t>
      </w:r>
      <w:r w:rsidR="006445E4" w:rsidRPr="00015CE2">
        <w:rPr>
          <w:i/>
        </w:rPr>
        <w:t>2</w:t>
      </w:r>
      <w:r w:rsidR="003B47C5" w:rsidRPr="00015CE2">
        <w:rPr>
          <w:i/>
        </w:rPr>
        <w:t>4</w:t>
      </w:r>
      <w:r w:rsidR="0028067B" w:rsidRPr="00015CE2">
        <w:rPr>
          <w:i/>
        </w:rPr>
        <w:t>0</w:t>
      </w:r>
      <w:r w:rsidR="00A7534A">
        <w:rPr>
          <w:i/>
        </w:rPr>
        <w:t>2</w:t>
      </w:r>
      <w:r w:rsidR="0028067B" w:rsidRPr="00015CE2">
        <w:rPr>
          <w:i/>
        </w:rPr>
        <w:t>0</w:t>
      </w:r>
      <w:r w:rsidR="00A7534A">
        <w:rPr>
          <w:i/>
        </w:rPr>
        <w:t>351</w:t>
      </w:r>
      <w:r w:rsidR="000C79F6" w:rsidRPr="00015CE2">
        <w:rPr>
          <w:i/>
        </w:rPr>
        <w:t xml:space="preserve">, </w:t>
      </w:r>
      <w:r w:rsidR="008A6B4D" w:rsidRPr="00015CE2">
        <w:t>kter</w:t>
      </w:r>
      <w:r w:rsidR="006445E4" w:rsidRPr="00015CE2">
        <w:t>ou uzavřel příjemce s</w:t>
      </w:r>
      <w:r w:rsidR="002F5475">
        <w:t> </w:t>
      </w:r>
      <w:r w:rsidR="006445E4" w:rsidRPr="00015CE2">
        <w:t>poskytovatelem</w:t>
      </w:r>
      <w:r w:rsidR="002F5475">
        <w:t xml:space="preserve"> a která je uveřejněna v Informačním systému Registr smluv. </w:t>
      </w:r>
      <w:r w:rsidR="00F1739F" w:rsidRPr="00015CE2">
        <w:t xml:space="preserve">Podmínky a povinnosti, uvedené v těchto dokumentech, se vztahují na dalšího účastníka obdobně jako na příjemce. </w:t>
      </w:r>
      <w:r w:rsidR="006775D1" w:rsidRPr="00015CE2">
        <w:t>Další účastník</w:t>
      </w:r>
      <w:r w:rsidR="003974EC" w:rsidRPr="00015CE2">
        <w:t xml:space="preserve"> se zavazuje tyto podmínky </w:t>
      </w:r>
      <w:r w:rsidR="006445E4" w:rsidRPr="00015CE2">
        <w:t xml:space="preserve">a povinnosti </w:t>
      </w:r>
      <w:r w:rsidR="003974EC" w:rsidRPr="00015CE2">
        <w:t>dodržovat</w:t>
      </w:r>
      <w:r w:rsidR="00370D1F" w:rsidRPr="00015CE2">
        <w:t xml:space="preserve"> obdobně</w:t>
      </w:r>
      <w:r w:rsidR="00F1739F" w:rsidRPr="00015CE2">
        <w:t xml:space="preserve"> jako příjemce</w:t>
      </w:r>
      <w:r w:rsidR="00D72842">
        <w:t xml:space="preserve"> a </w:t>
      </w:r>
      <w:r w:rsidR="00B77B90">
        <w:t>poskytovat příjemci veškerou potřebnou součinnost k naplňování podmínek projektu příjemce vůči poskytovateli</w:t>
      </w:r>
      <w:r w:rsidR="00277D31" w:rsidRPr="00015CE2">
        <w:t>.</w:t>
      </w:r>
      <w:r w:rsidR="00F1739F" w:rsidRPr="00015CE2">
        <w:t xml:space="preserve"> </w:t>
      </w:r>
      <w:r w:rsidR="00B77B90">
        <w:t xml:space="preserve">Příjemce je </w:t>
      </w:r>
      <w:r w:rsidR="00B77B90" w:rsidRPr="00B77B90">
        <w:t>odpovědn</w:t>
      </w:r>
      <w:r w:rsidR="00B77B90">
        <w:t>ý</w:t>
      </w:r>
      <w:r w:rsidR="00B77B90" w:rsidRPr="00B77B90">
        <w:t xml:space="preserve"> za porušení rozpočtové kázně dalším účastníkem projektu</w:t>
      </w:r>
      <w:r w:rsidR="00B77B90">
        <w:t>.</w:t>
      </w:r>
    </w:p>
    <w:p w14:paraId="3FA622AF" w14:textId="77777777" w:rsidR="00E05DCA" w:rsidRPr="000C6C0B" w:rsidRDefault="00E05DCA" w:rsidP="008F7D2A">
      <w:pPr>
        <w:numPr>
          <w:ilvl w:val="0"/>
          <w:numId w:val="11"/>
        </w:numPr>
        <w:tabs>
          <w:tab w:val="clear" w:pos="720"/>
          <w:tab w:val="num" w:pos="426"/>
        </w:tabs>
        <w:ind w:left="426" w:hanging="426"/>
        <w:jc w:val="both"/>
      </w:pPr>
      <w:r w:rsidRPr="00015CE2">
        <w:t xml:space="preserve">Smluvní strany této smlouvy se zavazují k mlčenlivosti ohledně veškerých informací vztahujících se k řešení projektu včetně jeho návrhu tak, aby nebyly ohroženy výsledky a cíle řešení </w:t>
      </w:r>
      <w:r w:rsidRPr="000C6C0B">
        <w:t>projektu</w:t>
      </w:r>
      <w:r w:rsidR="00F17DE7" w:rsidRPr="000C6C0B">
        <w:t>, případně práva třetích osob.</w:t>
      </w:r>
      <w:r w:rsidRPr="000C6C0B">
        <w:t xml:space="preserve"> </w:t>
      </w:r>
    </w:p>
    <w:p w14:paraId="638D72E2" w14:textId="77777777" w:rsidR="00E05DCA" w:rsidRPr="00015CE2" w:rsidRDefault="00E05DCA" w:rsidP="008F7D2A">
      <w:pPr>
        <w:numPr>
          <w:ilvl w:val="0"/>
          <w:numId w:val="11"/>
        </w:numPr>
        <w:tabs>
          <w:tab w:val="clear" w:pos="720"/>
          <w:tab w:val="num" w:pos="426"/>
        </w:tabs>
        <w:ind w:left="426" w:hanging="426"/>
        <w:jc w:val="both"/>
      </w:pPr>
      <w:r w:rsidRPr="00015CE2">
        <w:t>Smluvní strany této smlouvy se zavazují spolupracovat na implementačním plánu k výsledkům řešení projektu.</w:t>
      </w:r>
    </w:p>
    <w:p w14:paraId="447D23BD" w14:textId="77777777" w:rsidR="00277D31" w:rsidRPr="00015CE2" w:rsidRDefault="00277D31" w:rsidP="00277D31">
      <w:pPr>
        <w:numPr>
          <w:ilvl w:val="0"/>
          <w:numId w:val="11"/>
        </w:numPr>
        <w:tabs>
          <w:tab w:val="clear" w:pos="720"/>
          <w:tab w:val="num" w:pos="426"/>
        </w:tabs>
        <w:ind w:left="426" w:hanging="426"/>
        <w:jc w:val="both"/>
      </w:pPr>
      <w:r w:rsidRPr="00015CE2">
        <w:t xml:space="preserve">Veškerou komunikaci a písemná podání další účastník vůči poskytovateli provádí </w:t>
      </w:r>
      <w:r w:rsidR="00234A24" w:rsidRPr="000C6C0B">
        <w:t xml:space="preserve">výlučně </w:t>
      </w:r>
      <w:r w:rsidRPr="000C6C0B">
        <w:t>prostřednictvím</w:t>
      </w:r>
      <w:r w:rsidRPr="00015CE2">
        <w:t xml:space="preserve"> příjemce. </w:t>
      </w:r>
    </w:p>
    <w:p w14:paraId="0FD0E91F" w14:textId="77777777" w:rsidR="006F379F" w:rsidRPr="00015CE2" w:rsidRDefault="006F379F" w:rsidP="000C79F6">
      <w:pPr>
        <w:numPr>
          <w:ilvl w:val="0"/>
          <w:numId w:val="11"/>
        </w:numPr>
        <w:tabs>
          <w:tab w:val="clear" w:pos="720"/>
          <w:tab w:val="num" w:pos="426"/>
        </w:tabs>
        <w:ind w:left="426" w:hanging="426"/>
        <w:jc w:val="both"/>
      </w:pPr>
      <w:r w:rsidRPr="00015CE2">
        <w:t>Tato smlouva včetně jejích příloh může být doplňována, upravována a měněna pouze písemnými a vzestupně číslovanými dodatky, podepsanými oprávněnými zástupci obou smluvních stran.</w:t>
      </w:r>
    </w:p>
    <w:p w14:paraId="5C8C0D79" w14:textId="7B30AB7C" w:rsidR="006F379F" w:rsidRPr="00015CE2" w:rsidRDefault="006F379F" w:rsidP="000C79F6">
      <w:pPr>
        <w:numPr>
          <w:ilvl w:val="0"/>
          <w:numId w:val="11"/>
        </w:numPr>
        <w:tabs>
          <w:tab w:val="clear" w:pos="720"/>
          <w:tab w:val="num" w:pos="426"/>
        </w:tabs>
        <w:ind w:left="426" w:hanging="426"/>
        <w:jc w:val="both"/>
      </w:pPr>
      <w:r w:rsidRPr="00015CE2">
        <w:lastRenderedPageBreak/>
        <w:t>Ústní dohody nejsou pro smluvní strany závazné.</w:t>
      </w:r>
    </w:p>
    <w:p w14:paraId="03EDB22D" w14:textId="77777777" w:rsidR="000C79F6" w:rsidRPr="00015CE2" w:rsidRDefault="000C79F6" w:rsidP="000C79F6">
      <w:pPr>
        <w:numPr>
          <w:ilvl w:val="0"/>
          <w:numId w:val="11"/>
        </w:numPr>
        <w:tabs>
          <w:tab w:val="clear" w:pos="720"/>
          <w:tab w:val="num" w:pos="426"/>
        </w:tabs>
        <w:ind w:left="426" w:hanging="426"/>
        <w:jc w:val="both"/>
      </w:pPr>
      <w:r w:rsidRPr="00015CE2">
        <w:t>Tato smlouva se řídí právními předpisy platnými a účinnými na území České republiky.</w:t>
      </w:r>
    </w:p>
    <w:p w14:paraId="50D92C4F" w14:textId="6D147B1C" w:rsidR="000C79F6" w:rsidRPr="00015CE2" w:rsidRDefault="000C79F6" w:rsidP="000C79F6">
      <w:pPr>
        <w:numPr>
          <w:ilvl w:val="0"/>
          <w:numId w:val="11"/>
        </w:numPr>
        <w:tabs>
          <w:tab w:val="clear" w:pos="720"/>
          <w:tab w:val="num" w:pos="426"/>
        </w:tabs>
        <w:ind w:left="426" w:hanging="426"/>
        <w:jc w:val="both"/>
      </w:pPr>
      <w:r w:rsidRPr="00015CE2">
        <w:t xml:space="preserve">Vztahy neupravené touto smlouvou se řídí zákonem č. 130/2002 Sb., </w:t>
      </w:r>
      <w:r w:rsidR="004B448B" w:rsidRPr="004B448B">
        <w:t>o podpoře výzkumu, experimentálního vývoje a inovací z veřejných prostředků a o změně některých souvisejících zákonů (zákon o podpoře výzkumu, experimentálního vývoje a inovací</w:t>
      </w:r>
      <w:r w:rsidR="004B448B">
        <w:t>)</w:t>
      </w:r>
      <w:r w:rsidRPr="00015CE2">
        <w:t>, ve znění pozdějších předpisů</w:t>
      </w:r>
      <w:r w:rsidR="004B448B">
        <w:t>,</w:t>
      </w:r>
      <w:r w:rsidRPr="00015CE2">
        <w:t xml:space="preserve"> a</w:t>
      </w:r>
      <w:r w:rsidR="004B448B">
        <w:t> </w:t>
      </w:r>
      <w:r w:rsidR="005E4254" w:rsidRPr="00015CE2">
        <w:t>občanský</w:t>
      </w:r>
      <w:r w:rsidR="00D51F94">
        <w:t>m</w:t>
      </w:r>
      <w:r w:rsidR="005E4254" w:rsidRPr="00015CE2">
        <w:t xml:space="preserve"> zákoník</w:t>
      </w:r>
      <w:r w:rsidR="00D51F94">
        <w:t>em</w:t>
      </w:r>
      <w:r w:rsidR="005E4254" w:rsidRPr="00015CE2">
        <w:t>.</w:t>
      </w:r>
    </w:p>
    <w:p w14:paraId="3685A2E0" w14:textId="45C3C9D9" w:rsidR="000C79F6" w:rsidRPr="000C6C0B" w:rsidRDefault="000C79F6" w:rsidP="000C79F6">
      <w:pPr>
        <w:numPr>
          <w:ilvl w:val="0"/>
          <w:numId w:val="11"/>
        </w:numPr>
        <w:tabs>
          <w:tab w:val="clear" w:pos="720"/>
          <w:tab w:val="num" w:pos="426"/>
        </w:tabs>
        <w:ind w:left="426" w:hanging="426"/>
        <w:jc w:val="both"/>
      </w:pPr>
      <w:r w:rsidRPr="00015CE2">
        <w:t>Pokud další účastník vstoupí do likvidace, nebo je proti němu vedeno řízení dle zákona č.</w:t>
      </w:r>
      <w:r w:rsidR="00AE7513">
        <w:t> </w:t>
      </w:r>
      <w:r w:rsidRPr="00015CE2">
        <w:t xml:space="preserve">182/2006 Sb., o úpadku a způsobech jeho řešení (insolvenční zákon), ve znění pozdějších předpisů, je povinen o této skutečnosti bez zbytečného odkladu </w:t>
      </w:r>
      <w:r w:rsidR="007E6561" w:rsidRPr="00015CE2">
        <w:t>příjemce</w:t>
      </w:r>
      <w:r w:rsidRPr="00015CE2">
        <w:t xml:space="preserve"> písemně informovat.</w:t>
      </w:r>
      <w:r w:rsidR="00234A24">
        <w:t xml:space="preserve"> </w:t>
      </w:r>
      <w:r w:rsidR="00234A24" w:rsidRPr="000C6C0B">
        <w:t>Stejně tak je povinen bez zbytečného odkladu informovat příjemce o záměru postupovat podle příslušných ustanovení zákona č. 284/2023 Sb., o preventivní restrukturalizaci</w:t>
      </w:r>
      <w:r w:rsidR="0001270B">
        <w:t xml:space="preserve">, </w:t>
      </w:r>
      <w:r w:rsidR="0001270B" w:rsidRPr="00015CE2">
        <w:t>ve znění pozdějších předpisů</w:t>
      </w:r>
      <w:r w:rsidR="00234A24" w:rsidRPr="000C6C0B">
        <w:t>.</w:t>
      </w:r>
    </w:p>
    <w:p w14:paraId="3FC62C7D" w14:textId="5FDFACB3" w:rsidR="00177030" w:rsidRPr="00015CE2" w:rsidRDefault="005E7F24" w:rsidP="000C79F6">
      <w:pPr>
        <w:numPr>
          <w:ilvl w:val="0"/>
          <w:numId w:val="11"/>
        </w:numPr>
        <w:tabs>
          <w:tab w:val="clear" w:pos="720"/>
          <w:tab w:val="num" w:pos="426"/>
        </w:tabs>
        <w:ind w:left="426" w:hanging="426"/>
        <w:jc w:val="both"/>
      </w:pPr>
      <w:r w:rsidRPr="00015CE2">
        <w:t xml:space="preserve">Tato smlouva </w:t>
      </w:r>
      <w:r w:rsidR="00B62E3A" w:rsidRPr="00015CE2">
        <w:t>bude smluvními stranami podepsána elektronicky,</w:t>
      </w:r>
      <w:r w:rsidR="003973A2" w:rsidRPr="00015CE2">
        <w:t xml:space="preserve"> a to kvalifikovaným elektronickým podpisem</w:t>
      </w:r>
      <w:r w:rsidR="00B62E3A" w:rsidRPr="00015CE2">
        <w:t>.</w:t>
      </w:r>
    </w:p>
    <w:p w14:paraId="30A58B55" w14:textId="77777777" w:rsidR="00E62328" w:rsidRPr="00015CE2" w:rsidRDefault="00E62328" w:rsidP="00E62328">
      <w:pPr>
        <w:numPr>
          <w:ilvl w:val="0"/>
          <w:numId w:val="11"/>
        </w:numPr>
        <w:tabs>
          <w:tab w:val="clear" w:pos="720"/>
          <w:tab w:val="num" w:pos="426"/>
        </w:tabs>
        <w:ind w:left="426" w:hanging="426"/>
        <w:jc w:val="both"/>
      </w:pPr>
      <w:r w:rsidRPr="00015CE2">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59DF0023" w14:textId="77777777" w:rsidR="005E7F24" w:rsidRDefault="005E7F24" w:rsidP="00690E7B">
      <w:pPr>
        <w:jc w:val="both"/>
      </w:pPr>
    </w:p>
    <w:p w14:paraId="5B152AC3" w14:textId="77777777" w:rsidR="00770919" w:rsidRDefault="00770919" w:rsidP="00690E7B">
      <w:pPr>
        <w:jc w:val="both"/>
      </w:pPr>
    </w:p>
    <w:p w14:paraId="561651D5" w14:textId="77777777" w:rsidR="00770919" w:rsidRDefault="00770919" w:rsidP="00690E7B">
      <w:pPr>
        <w:jc w:val="both"/>
      </w:pPr>
    </w:p>
    <w:p w14:paraId="314E2DCC" w14:textId="77777777" w:rsidR="00770919" w:rsidRDefault="00770919" w:rsidP="00690E7B">
      <w:pPr>
        <w:jc w:val="both"/>
      </w:pPr>
    </w:p>
    <w:p w14:paraId="1F3FC7A6" w14:textId="77777777" w:rsidR="00E33188" w:rsidRDefault="00E33188" w:rsidP="00690E7B">
      <w:pPr>
        <w:jc w:val="both"/>
      </w:pPr>
    </w:p>
    <w:p w14:paraId="6CDAEB4B" w14:textId="77777777" w:rsidR="005E7F24" w:rsidRDefault="005E7F24" w:rsidP="00690E7B">
      <w:pPr>
        <w:jc w:val="both"/>
      </w:pPr>
      <w:r>
        <w:t xml:space="preserve">Za </w:t>
      </w:r>
      <w:r w:rsidR="007E6561">
        <w:t>příjemce</w:t>
      </w:r>
      <w:r>
        <w:t>:</w:t>
      </w:r>
      <w:r>
        <w:tab/>
      </w:r>
      <w:r>
        <w:tab/>
      </w:r>
      <w:r>
        <w:tab/>
      </w:r>
      <w:r>
        <w:tab/>
      </w:r>
      <w:r>
        <w:tab/>
      </w:r>
      <w:r>
        <w:tab/>
        <w:t xml:space="preserve">Za </w:t>
      </w:r>
      <w:r w:rsidR="00E33188">
        <w:t>dalšího účastníka</w:t>
      </w:r>
      <w:r>
        <w:t>:</w:t>
      </w:r>
    </w:p>
    <w:p w14:paraId="25817ABC" w14:textId="77777777" w:rsidR="005E7F24" w:rsidRDefault="005E7F24" w:rsidP="00690E7B">
      <w:pPr>
        <w:jc w:val="both"/>
      </w:pPr>
    </w:p>
    <w:p w14:paraId="734E33B8" w14:textId="6F333E2F" w:rsidR="00D501F2" w:rsidRDefault="002D73A5" w:rsidP="00690E7B">
      <w:pPr>
        <w:jc w:val="both"/>
      </w:pPr>
      <w:r>
        <w:t xml:space="preserve">Strnady, </w:t>
      </w:r>
      <w:r w:rsidR="00FB5B84">
        <w:t>20. 2.</w:t>
      </w:r>
      <w:r w:rsidR="004C7C1A">
        <w:t xml:space="preserve"> 202</w:t>
      </w:r>
      <w:r w:rsidR="00116101">
        <w:t>4</w:t>
      </w:r>
      <w:r w:rsidR="004C7C1A">
        <w:tab/>
      </w:r>
      <w:r>
        <w:tab/>
      </w:r>
      <w:r>
        <w:tab/>
      </w:r>
      <w:r>
        <w:tab/>
      </w:r>
      <w:r>
        <w:tab/>
      </w:r>
      <w:r w:rsidR="009C1CCD">
        <w:t>Brno</w:t>
      </w:r>
      <w:r w:rsidR="004C7C1A">
        <w:t xml:space="preserve">, </w:t>
      </w:r>
      <w:r w:rsidR="00FB5B84">
        <w:t>22. 2.</w:t>
      </w:r>
      <w:bookmarkStart w:id="0" w:name="_GoBack"/>
      <w:bookmarkEnd w:id="0"/>
      <w:r w:rsidR="00116101">
        <w:t xml:space="preserve"> 2024</w:t>
      </w:r>
    </w:p>
    <w:p w14:paraId="1A23073E" w14:textId="77777777" w:rsidR="00D501F2" w:rsidRDefault="00D501F2" w:rsidP="00690E7B">
      <w:pPr>
        <w:jc w:val="both"/>
      </w:pPr>
    </w:p>
    <w:p w14:paraId="4CD9907E" w14:textId="77777777" w:rsidR="00D501F2" w:rsidRDefault="00D501F2" w:rsidP="00690E7B">
      <w:pPr>
        <w:jc w:val="both"/>
      </w:pPr>
    </w:p>
    <w:p w14:paraId="518909BD" w14:textId="77777777" w:rsidR="0039720C" w:rsidRDefault="0039720C" w:rsidP="00690E7B">
      <w:pPr>
        <w:jc w:val="both"/>
      </w:pPr>
    </w:p>
    <w:p w14:paraId="11477AF1" w14:textId="77777777" w:rsidR="005E7F24" w:rsidRDefault="005E7F24" w:rsidP="00690E7B">
      <w:pPr>
        <w:jc w:val="both"/>
      </w:pPr>
      <w:r>
        <w:t>...............................................................</w:t>
      </w:r>
      <w:r>
        <w:tab/>
      </w:r>
      <w:r>
        <w:tab/>
        <w:t>............................................................</w:t>
      </w:r>
    </w:p>
    <w:p w14:paraId="7E443CE0" w14:textId="77777777" w:rsidR="005E7F24" w:rsidRDefault="005E7F24" w:rsidP="00690E7B">
      <w:pPr>
        <w:jc w:val="both"/>
      </w:pPr>
      <w:r>
        <w:t xml:space="preserve">doc. </w:t>
      </w:r>
      <w:r w:rsidR="00414788">
        <w:t>Ing. Vít Šrámek, Ph.D.</w:t>
      </w:r>
      <w:r>
        <w:tab/>
      </w:r>
      <w:r>
        <w:tab/>
      </w:r>
      <w:r>
        <w:tab/>
      </w:r>
      <w:r w:rsidR="007C39A9">
        <w:t xml:space="preserve">   </w:t>
      </w:r>
      <w:r w:rsidR="00414788">
        <w:t xml:space="preserve">    </w:t>
      </w:r>
      <w:r w:rsidR="00A554A2">
        <w:t xml:space="preserve">   </w:t>
      </w:r>
      <w:r w:rsidR="00E65232">
        <w:t xml:space="preserve">             prof. Dr. Ing. Jan Mareš</w:t>
      </w:r>
    </w:p>
    <w:p w14:paraId="1AE0489A" w14:textId="22F12B6B" w:rsidR="009C6A0C" w:rsidRDefault="00623894" w:rsidP="00690E7B">
      <w:pPr>
        <w:jc w:val="both"/>
      </w:pPr>
      <w:r>
        <w:t xml:space="preserve">              </w:t>
      </w:r>
      <w:r w:rsidR="004D7DCA">
        <w:t>ř</w:t>
      </w:r>
      <w:r>
        <w:t xml:space="preserve">editel            </w:t>
      </w:r>
      <w:r w:rsidR="005E7F24">
        <w:tab/>
      </w:r>
      <w:r w:rsidR="005E7F24">
        <w:tab/>
      </w:r>
      <w:r w:rsidR="005E7F24">
        <w:tab/>
      </w:r>
      <w:r w:rsidR="007C39A9">
        <w:tab/>
      </w:r>
      <w:r w:rsidR="00105B39">
        <w:t xml:space="preserve">           </w:t>
      </w:r>
      <w:r w:rsidR="00414788">
        <w:t xml:space="preserve"> </w:t>
      </w:r>
      <w:r w:rsidR="00B62E3A">
        <w:t xml:space="preserve">  </w:t>
      </w:r>
      <w:r w:rsidR="00A554A2">
        <w:t xml:space="preserve"> </w:t>
      </w:r>
      <w:r w:rsidR="0056198F">
        <w:t xml:space="preserve">rektor </w:t>
      </w:r>
    </w:p>
    <w:p w14:paraId="294DECBA" w14:textId="77777777" w:rsidR="00596A08" w:rsidRDefault="009C6A0C" w:rsidP="00690E7B">
      <w:pPr>
        <w:jc w:val="both"/>
        <w:rPr>
          <w:b/>
        </w:rPr>
      </w:pPr>
      <w:r w:rsidRPr="00BD2D4B">
        <w:rPr>
          <w:b/>
        </w:rPr>
        <w:t>Výzkumný ústav lesního hospodářství</w:t>
      </w:r>
      <w:r w:rsidR="00A554A2">
        <w:rPr>
          <w:b/>
        </w:rPr>
        <w:tab/>
        <w:t xml:space="preserve">          </w:t>
      </w:r>
      <w:r w:rsidR="00105B39">
        <w:rPr>
          <w:b/>
        </w:rPr>
        <w:t xml:space="preserve">        </w:t>
      </w:r>
      <w:r w:rsidR="00E65232">
        <w:rPr>
          <w:b/>
        </w:rPr>
        <w:t>Mendelova univerzita v Brně</w:t>
      </w:r>
      <w:r w:rsidR="00105B39">
        <w:rPr>
          <w:b/>
        </w:rPr>
        <w:t xml:space="preserve">        </w:t>
      </w:r>
    </w:p>
    <w:p w14:paraId="2D7F5890" w14:textId="77777777" w:rsidR="005E7F24" w:rsidRDefault="009C6A0C" w:rsidP="00690E7B">
      <w:pPr>
        <w:jc w:val="both"/>
      </w:pPr>
      <w:r w:rsidRPr="00BD2D4B">
        <w:rPr>
          <w:b/>
        </w:rPr>
        <w:t xml:space="preserve">a myslivosti, </w:t>
      </w:r>
      <w:proofErr w:type="spellStart"/>
      <w:proofErr w:type="gramStart"/>
      <w:r w:rsidRPr="00BD2D4B">
        <w:rPr>
          <w:b/>
        </w:rPr>
        <w:t>v.v.</w:t>
      </w:r>
      <w:proofErr w:type="gramEnd"/>
      <w:r w:rsidRPr="00BD2D4B">
        <w:rPr>
          <w:b/>
        </w:rPr>
        <w:t>i</w:t>
      </w:r>
      <w:proofErr w:type="spellEnd"/>
      <w:r w:rsidRPr="00BD2D4B">
        <w:rPr>
          <w:b/>
        </w:rPr>
        <w:t>.</w:t>
      </w:r>
      <w:r w:rsidR="005E7F24">
        <w:tab/>
      </w:r>
      <w:r w:rsidR="005E7F24">
        <w:tab/>
      </w:r>
      <w:r w:rsidR="003C6692">
        <w:t xml:space="preserve">      </w:t>
      </w:r>
      <w:r w:rsidR="005E7F24">
        <w:t xml:space="preserve">   </w:t>
      </w:r>
    </w:p>
    <w:p w14:paraId="0975609C" w14:textId="77777777" w:rsidR="005E7F24" w:rsidRDefault="005E7F24" w:rsidP="00690E7B">
      <w:pPr>
        <w:jc w:val="both"/>
      </w:pPr>
    </w:p>
    <w:p w14:paraId="77080168" w14:textId="77777777" w:rsidR="00015CE2" w:rsidRDefault="00015CE2" w:rsidP="00A554A2">
      <w:pPr>
        <w:jc w:val="both"/>
      </w:pPr>
      <w:r>
        <w:tab/>
      </w:r>
      <w:r>
        <w:tab/>
      </w:r>
      <w:r>
        <w:tab/>
      </w:r>
      <w:r>
        <w:tab/>
      </w:r>
      <w:r>
        <w:tab/>
      </w:r>
      <w:r>
        <w:tab/>
      </w:r>
      <w:r>
        <w:tab/>
      </w:r>
      <w:r>
        <w:tab/>
      </w:r>
      <w:r>
        <w:tab/>
        <w:t xml:space="preserve">      </w:t>
      </w:r>
    </w:p>
    <w:p w14:paraId="092AF097" w14:textId="77777777" w:rsidR="00E33188" w:rsidRDefault="00E33188" w:rsidP="00690E7B">
      <w:pPr>
        <w:jc w:val="both"/>
      </w:pPr>
    </w:p>
    <w:p w14:paraId="4F5C836E" w14:textId="77777777" w:rsidR="0039720C" w:rsidRDefault="0039720C" w:rsidP="00690E7B">
      <w:pPr>
        <w:jc w:val="both"/>
      </w:pPr>
    </w:p>
    <w:p w14:paraId="2B2B041B" w14:textId="77777777" w:rsidR="0039720C" w:rsidRDefault="0039720C" w:rsidP="00690E7B">
      <w:pPr>
        <w:jc w:val="both"/>
      </w:pPr>
    </w:p>
    <w:p w14:paraId="2C493DED" w14:textId="77777777" w:rsidR="004F6519" w:rsidRDefault="004F6519" w:rsidP="008A6B4D">
      <w:pPr>
        <w:rPr>
          <w:i/>
        </w:rPr>
      </w:pPr>
    </w:p>
    <w:p w14:paraId="10D976D5" w14:textId="77777777" w:rsidR="008C6FA5" w:rsidRPr="007E6561" w:rsidRDefault="005E7F24" w:rsidP="008A6B4D">
      <w:pPr>
        <w:rPr>
          <w:i/>
          <w:sz w:val="20"/>
          <w:szCs w:val="20"/>
        </w:rPr>
      </w:pPr>
      <w:r w:rsidRPr="007E6561">
        <w:rPr>
          <w:i/>
          <w:sz w:val="20"/>
          <w:szCs w:val="20"/>
        </w:rPr>
        <w:t xml:space="preserve">Příloha I. </w:t>
      </w:r>
      <w:r w:rsidR="000A6E4D" w:rsidRPr="007E6561">
        <w:rPr>
          <w:i/>
          <w:sz w:val="20"/>
          <w:szCs w:val="20"/>
        </w:rPr>
        <w:t>–</w:t>
      </w:r>
      <w:r w:rsidRPr="007E6561">
        <w:rPr>
          <w:i/>
          <w:sz w:val="20"/>
          <w:szCs w:val="20"/>
        </w:rPr>
        <w:t xml:space="preserve"> </w:t>
      </w:r>
      <w:r w:rsidR="001D1109">
        <w:rPr>
          <w:i/>
          <w:sz w:val="20"/>
          <w:szCs w:val="20"/>
        </w:rPr>
        <w:t>Závazné parametry řešení</w:t>
      </w:r>
      <w:r w:rsidR="00E33188" w:rsidRPr="007E6561">
        <w:rPr>
          <w:i/>
          <w:sz w:val="20"/>
          <w:szCs w:val="20"/>
        </w:rPr>
        <w:t xml:space="preserve"> projektu</w:t>
      </w:r>
    </w:p>
    <w:p w14:paraId="01B072AB" w14:textId="77777777" w:rsidR="0022256F" w:rsidRDefault="008C6FA5" w:rsidP="0039720C">
      <w:pPr>
        <w:rPr>
          <w:i/>
          <w:sz w:val="20"/>
          <w:szCs w:val="20"/>
        </w:rPr>
      </w:pPr>
      <w:r w:rsidRPr="007E6561">
        <w:rPr>
          <w:i/>
          <w:sz w:val="20"/>
          <w:szCs w:val="20"/>
        </w:rPr>
        <w:t>Příloha II – Všeobecné podmínky</w:t>
      </w:r>
    </w:p>
    <w:p w14:paraId="692BC0D1" w14:textId="77777777" w:rsidR="00757882" w:rsidRDefault="00757882" w:rsidP="0039720C">
      <w:pPr>
        <w:rPr>
          <w:i/>
          <w:sz w:val="20"/>
          <w:szCs w:val="20"/>
        </w:rPr>
      </w:pPr>
    </w:p>
    <w:p w14:paraId="4E9102B2" w14:textId="77777777" w:rsidR="00757882" w:rsidRDefault="00757882" w:rsidP="0039720C">
      <w:pPr>
        <w:rPr>
          <w:i/>
          <w:sz w:val="20"/>
          <w:szCs w:val="20"/>
        </w:rPr>
      </w:pPr>
    </w:p>
    <w:p w14:paraId="2C213F4E" w14:textId="77777777" w:rsidR="00105B39" w:rsidRDefault="00105B39" w:rsidP="00757882">
      <w:pPr>
        <w:rPr>
          <w:b/>
        </w:rPr>
      </w:pPr>
    </w:p>
    <w:sectPr w:rsidR="00105B39" w:rsidSect="00757882">
      <w:headerReference w:type="default" r:id="rId8"/>
      <w:footerReference w:type="default" r:id="rId9"/>
      <w:pgSz w:w="11906" w:h="16838"/>
      <w:pgMar w:top="1276" w:right="1416" w:bottom="851"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EFA58" w16cex:dateUtc="2024-02-08T05:59:00Z"/>
  <w16cex:commentExtensible w16cex:durableId="2970AA8B" w16cex:dateUtc="2024-02-09T12:43:00Z"/>
  <w16cex:commentExtensible w16cex:durableId="296F3C81" w16cex:dateUtc="2024-02-08T10:41:00Z"/>
  <w16cex:commentExtensible w16cex:durableId="296F3CB5" w16cex:dateUtc="2024-02-08T10:42:00Z"/>
  <w16cex:commentExtensible w16cex:durableId="296F3DD7" w16cex:dateUtc="2024-02-08T10:47:00Z"/>
  <w16cex:commentExtensible w16cex:durableId="2970AE82" w16cex:dateUtc="2024-02-09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0B8923" w16cid:durableId="2975EB6A"/>
  <w16cid:commentId w16cid:paraId="7F67809F" w16cid:durableId="2975F925"/>
  <w16cid:commentId w16cid:paraId="5CEE14F1" w16cid:durableId="2970AA8B"/>
  <w16cid:commentId w16cid:paraId="6CFB3B89" w16cid:durableId="2975EEC9"/>
  <w16cid:commentId w16cid:paraId="6A10DB37" w16cid:durableId="2975F3CF"/>
  <w16cid:commentId w16cid:paraId="6C6FA816" w16cid:durableId="2975F507"/>
  <w16cid:commentId w16cid:paraId="0A046969" w16cid:durableId="2975F61D"/>
  <w16cid:commentId w16cid:paraId="76F7CB6B" w16cid:durableId="2975F6D8"/>
  <w16cid:commentId w16cid:paraId="12E3E2C5" w16cid:durableId="2975FA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AB309" w14:textId="77777777" w:rsidR="00623B9F" w:rsidRDefault="00623B9F" w:rsidP="002E157E">
      <w:r>
        <w:separator/>
      </w:r>
    </w:p>
  </w:endnote>
  <w:endnote w:type="continuationSeparator" w:id="0">
    <w:p w14:paraId="56D48F53" w14:textId="77777777" w:rsidR="00623B9F" w:rsidRDefault="00623B9F" w:rsidP="002E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9FDD0" w14:textId="77777777" w:rsidR="00035825" w:rsidRDefault="00035825">
    <w:pPr>
      <w:pStyle w:val="Zpat"/>
      <w:jc w:val="right"/>
    </w:pPr>
    <w:r>
      <w:fldChar w:fldCharType="begin"/>
    </w:r>
    <w:r>
      <w:instrText>PAGE   \* MERGEFORMAT</w:instrText>
    </w:r>
    <w:r>
      <w:fldChar w:fldCharType="separate"/>
    </w:r>
    <w:r w:rsidR="00FB5B84">
      <w:rPr>
        <w:noProof/>
      </w:rPr>
      <w:t>8</w:t>
    </w:r>
    <w:r>
      <w:fldChar w:fldCharType="end"/>
    </w:r>
  </w:p>
  <w:p w14:paraId="79FAD1B3" w14:textId="77777777" w:rsidR="00035825" w:rsidRDefault="0003582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FFCD4" w14:textId="77777777" w:rsidR="00623B9F" w:rsidRDefault="00623B9F" w:rsidP="002E157E">
      <w:r>
        <w:separator/>
      </w:r>
    </w:p>
  </w:footnote>
  <w:footnote w:type="continuationSeparator" w:id="0">
    <w:p w14:paraId="7326D58A" w14:textId="77777777" w:rsidR="00623B9F" w:rsidRDefault="00623B9F" w:rsidP="002E1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5A423" w14:textId="77777777" w:rsidR="00035825" w:rsidRPr="000928C7" w:rsidRDefault="00035825" w:rsidP="000928C7">
    <w:pPr>
      <w:pStyle w:val="Zhlav"/>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02F5AE"/>
    <w:multiLevelType w:val="hybridMultilevel"/>
    <w:tmpl w:val="E59EBE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E78CC"/>
    <w:multiLevelType w:val="hybridMultilevel"/>
    <w:tmpl w:val="4B1AB1C4"/>
    <w:lvl w:ilvl="0" w:tplc="04050017">
      <w:start w:val="1"/>
      <w:numFmt w:val="lowerLetter"/>
      <w:lvlText w:val="%1)"/>
      <w:lvlJc w:val="left"/>
      <w:pPr>
        <w:ind w:left="1425" w:hanging="360"/>
      </w:pPr>
    </w:lvl>
    <w:lvl w:ilvl="1" w:tplc="04050017">
      <w:start w:val="1"/>
      <w:numFmt w:val="lowerLetter"/>
      <w:lvlText w:val="%2)"/>
      <w:lvlJc w:val="left"/>
      <w:pPr>
        <w:ind w:left="2145" w:hanging="360"/>
      </w:pPr>
    </w:lvl>
    <w:lvl w:ilvl="2" w:tplc="357E6A80">
      <w:start w:val="1"/>
      <w:numFmt w:val="upperLetter"/>
      <w:lvlText w:val="%3."/>
      <w:lvlJc w:val="left"/>
      <w:pPr>
        <w:tabs>
          <w:tab w:val="num" w:pos="3045"/>
        </w:tabs>
        <w:ind w:left="3045" w:hanging="360"/>
      </w:pPr>
      <w:rPr>
        <w:rFonts w:hint="default"/>
      </w:r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05E8457D"/>
    <w:multiLevelType w:val="hybridMultilevel"/>
    <w:tmpl w:val="3914F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492AFB"/>
    <w:multiLevelType w:val="hybridMultilevel"/>
    <w:tmpl w:val="16AACC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225903"/>
    <w:multiLevelType w:val="hybridMultilevel"/>
    <w:tmpl w:val="711848D6"/>
    <w:lvl w:ilvl="0" w:tplc="0405000F">
      <w:start w:val="1"/>
      <w:numFmt w:val="decimal"/>
      <w:lvlText w:val="%1."/>
      <w:lvlJc w:val="left"/>
      <w:pPr>
        <w:tabs>
          <w:tab w:val="num" w:pos="720"/>
        </w:tabs>
        <w:ind w:left="720" w:hanging="360"/>
      </w:pPr>
      <w:rPr>
        <w:rFonts w:hint="default"/>
      </w:rPr>
    </w:lvl>
    <w:lvl w:ilvl="1" w:tplc="DBF850EA">
      <w:start w:val="1"/>
      <w:numFmt w:val="lowerLetter"/>
      <w:lvlText w:val="%2)"/>
      <w:lvlJc w:val="left"/>
      <w:pPr>
        <w:ind w:left="1440" w:hanging="360"/>
      </w:pPr>
      <w:rPr>
        <w:rFonts w:hint="default"/>
      </w:rPr>
    </w:lvl>
    <w:lvl w:ilvl="2" w:tplc="C848F1E0">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C91EB9"/>
    <w:multiLevelType w:val="hybridMultilevel"/>
    <w:tmpl w:val="B15471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86749B"/>
    <w:multiLevelType w:val="hybridMultilevel"/>
    <w:tmpl w:val="3306C9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765D29"/>
    <w:multiLevelType w:val="hybridMultilevel"/>
    <w:tmpl w:val="641A90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F10B8B"/>
    <w:multiLevelType w:val="hybridMultilevel"/>
    <w:tmpl w:val="E9EEEFC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9493299"/>
    <w:multiLevelType w:val="hybridMultilevel"/>
    <w:tmpl w:val="7A0210B6"/>
    <w:lvl w:ilvl="0" w:tplc="8C9E0EE8">
      <w:start w:val="1"/>
      <w:numFmt w:val="decimal"/>
      <w:lvlText w:val="%1."/>
      <w:lvlJc w:val="left"/>
      <w:pPr>
        <w:tabs>
          <w:tab w:val="num" w:pos="502"/>
        </w:tabs>
        <w:ind w:left="502"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584B9E"/>
    <w:multiLevelType w:val="hybridMultilevel"/>
    <w:tmpl w:val="560ED6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CE611F"/>
    <w:multiLevelType w:val="hybridMultilevel"/>
    <w:tmpl w:val="4BBCF2E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6965D6"/>
    <w:multiLevelType w:val="hybridMultilevel"/>
    <w:tmpl w:val="277C11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4D6EDD"/>
    <w:multiLevelType w:val="hybridMultilevel"/>
    <w:tmpl w:val="9FC01F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2738F4"/>
    <w:multiLevelType w:val="hybridMultilevel"/>
    <w:tmpl w:val="72E2C28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0">
    <w:nsid w:val="43F009E1"/>
    <w:multiLevelType w:val="hybridMultilevel"/>
    <w:tmpl w:val="4BBCF2E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67A0C01"/>
    <w:multiLevelType w:val="hybridMultilevel"/>
    <w:tmpl w:val="75FCB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7B7BA8"/>
    <w:multiLevelType w:val="hybridMultilevel"/>
    <w:tmpl w:val="81842858"/>
    <w:lvl w:ilvl="0" w:tplc="C05C298C">
      <w:start w:val="1"/>
      <w:numFmt w:val="decimalZero"/>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9655B9F"/>
    <w:multiLevelType w:val="hybridMultilevel"/>
    <w:tmpl w:val="7A0210B6"/>
    <w:lvl w:ilvl="0" w:tplc="8C9E0EE8">
      <w:start w:val="1"/>
      <w:numFmt w:val="decimal"/>
      <w:lvlText w:val="%1."/>
      <w:lvlJc w:val="left"/>
      <w:pPr>
        <w:tabs>
          <w:tab w:val="num" w:pos="502"/>
        </w:tabs>
        <w:ind w:left="502"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FCE1DA8"/>
    <w:multiLevelType w:val="hybridMultilevel"/>
    <w:tmpl w:val="6EE4977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2AA6369"/>
    <w:multiLevelType w:val="hybridMultilevel"/>
    <w:tmpl w:val="ED8CBFA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2C9127C"/>
    <w:multiLevelType w:val="hybridMultilevel"/>
    <w:tmpl w:val="B55C42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4F1414B"/>
    <w:multiLevelType w:val="hybridMultilevel"/>
    <w:tmpl w:val="4A226AF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C9C66B0"/>
    <w:multiLevelType w:val="hybridMultilevel"/>
    <w:tmpl w:val="809095E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15:restartNumberingAfterBreak="0">
    <w:nsid w:val="70C21968"/>
    <w:multiLevelType w:val="hybridMultilevel"/>
    <w:tmpl w:val="C0E6CE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9E77F0"/>
    <w:multiLevelType w:val="hybridMultilevel"/>
    <w:tmpl w:val="26FCEE90"/>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6"/>
  </w:num>
  <w:num w:numId="2">
    <w:abstractNumId w:val="4"/>
  </w:num>
  <w:num w:numId="3">
    <w:abstractNumId w:val="3"/>
  </w:num>
  <w:num w:numId="4">
    <w:abstractNumId w:val="19"/>
  </w:num>
  <w:num w:numId="5">
    <w:abstractNumId w:val="14"/>
  </w:num>
  <w:num w:numId="6">
    <w:abstractNumId w:val="21"/>
  </w:num>
  <w:num w:numId="7">
    <w:abstractNumId w:val="10"/>
  </w:num>
  <w:num w:numId="8">
    <w:abstractNumId w:val="5"/>
  </w:num>
  <w:num w:numId="9">
    <w:abstractNumId w:val="15"/>
  </w:num>
  <w:num w:numId="10">
    <w:abstractNumId w:val="8"/>
  </w:num>
  <w:num w:numId="11">
    <w:abstractNumId w:val="20"/>
  </w:num>
  <w:num w:numId="12">
    <w:abstractNumId w:val="23"/>
  </w:num>
  <w:num w:numId="13">
    <w:abstractNumId w:val="25"/>
  </w:num>
  <w:num w:numId="14">
    <w:abstractNumId w:val="1"/>
  </w:num>
  <w:num w:numId="15">
    <w:abstractNumId w:val="24"/>
  </w:num>
  <w:num w:numId="16">
    <w:abstractNumId w:val="12"/>
  </w:num>
  <w:num w:numId="17">
    <w:abstractNumId w:val="2"/>
  </w:num>
  <w:num w:numId="18">
    <w:abstractNumId w:val="17"/>
  </w:num>
  <w:num w:numId="19">
    <w:abstractNumId w:val="11"/>
  </w:num>
  <w:num w:numId="20">
    <w:abstractNumId w:val="7"/>
  </w:num>
  <w:num w:numId="21">
    <w:abstractNumId w:val="18"/>
  </w:num>
  <w:num w:numId="22">
    <w:abstractNumId w:val="9"/>
  </w:num>
  <w:num w:numId="23">
    <w:abstractNumId w:val="16"/>
  </w:num>
  <w:num w:numId="24">
    <w:abstractNumId w:val="22"/>
  </w:num>
  <w:num w:numId="25">
    <w:abstractNumId w:val="1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61"/>
    <w:rsid w:val="00000ABA"/>
    <w:rsid w:val="000100E8"/>
    <w:rsid w:val="00010DE8"/>
    <w:rsid w:val="0001101E"/>
    <w:rsid w:val="0001270B"/>
    <w:rsid w:val="00015CE2"/>
    <w:rsid w:val="00016225"/>
    <w:rsid w:val="000229C7"/>
    <w:rsid w:val="00022A15"/>
    <w:rsid w:val="00025EDA"/>
    <w:rsid w:val="00035825"/>
    <w:rsid w:val="000402B7"/>
    <w:rsid w:val="0004525C"/>
    <w:rsid w:val="000454D1"/>
    <w:rsid w:val="00053E98"/>
    <w:rsid w:val="000563C0"/>
    <w:rsid w:val="0005771F"/>
    <w:rsid w:val="000604CD"/>
    <w:rsid w:val="000619E7"/>
    <w:rsid w:val="00066306"/>
    <w:rsid w:val="000706B3"/>
    <w:rsid w:val="00084D74"/>
    <w:rsid w:val="000928C7"/>
    <w:rsid w:val="000943B0"/>
    <w:rsid w:val="00096483"/>
    <w:rsid w:val="000A1970"/>
    <w:rsid w:val="000A323D"/>
    <w:rsid w:val="000A3C22"/>
    <w:rsid w:val="000A4A96"/>
    <w:rsid w:val="000A6E4D"/>
    <w:rsid w:val="000B63AD"/>
    <w:rsid w:val="000C041E"/>
    <w:rsid w:val="000C6C0B"/>
    <w:rsid w:val="000C79F6"/>
    <w:rsid w:val="000D3A69"/>
    <w:rsid w:val="000E75C3"/>
    <w:rsid w:val="000E76BA"/>
    <w:rsid w:val="000F13D7"/>
    <w:rsid w:val="000F4FB7"/>
    <w:rsid w:val="00101853"/>
    <w:rsid w:val="001041B9"/>
    <w:rsid w:val="00105B39"/>
    <w:rsid w:val="00106644"/>
    <w:rsid w:val="00107788"/>
    <w:rsid w:val="00111A3D"/>
    <w:rsid w:val="0011308D"/>
    <w:rsid w:val="00114DF0"/>
    <w:rsid w:val="00116101"/>
    <w:rsid w:val="001311DC"/>
    <w:rsid w:val="001312D7"/>
    <w:rsid w:val="001321AF"/>
    <w:rsid w:val="00132225"/>
    <w:rsid w:val="001332DC"/>
    <w:rsid w:val="00146275"/>
    <w:rsid w:val="00146E55"/>
    <w:rsid w:val="001613F7"/>
    <w:rsid w:val="00163E83"/>
    <w:rsid w:val="00170069"/>
    <w:rsid w:val="00177030"/>
    <w:rsid w:val="00177A43"/>
    <w:rsid w:val="00181CB9"/>
    <w:rsid w:val="00182BB7"/>
    <w:rsid w:val="00187636"/>
    <w:rsid w:val="001A6FED"/>
    <w:rsid w:val="001B39C5"/>
    <w:rsid w:val="001C6406"/>
    <w:rsid w:val="001D1109"/>
    <w:rsid w:val="001D1929"/>
    <w:rsid w:val="001D445A"/>
    <w:rsid w:val="001F041B"/>
    <w:rsid w:val="001F079C"/>
    <w:rsid w:val="0020283C"/>
    <w:rsid w:val="00204DC2"/>
    <w:rsid w:val="002141F3"/>
    <w:rsid w:val="00217B06"/>
    <w:rsid w:val="0022256F"/>
    <w:rsid w:val="002334A9"/>
    <w:rsid w:val="00234A24"/>
    <w:rsid w:val="00235FB5"/>
    <w:rsid w:val="0023698D"/>
    <w:rsid w:val="00236C70"/>
    <w:rsid w:val="00253F73"/>
    <w:rsid w:val="00261D1D"/>
    <w:rsid w:val="002701CB"/>
    <w:rsid w:val="00272CDE"/>
    <w:rsid w:val="00273447"/>
    <w:rsid w:val="00273E51"/>
    <w:rsid w:val="00277D31"/>
    <w:rsid w:val="0028067B"/>
    <w:rsid w:val="00281A11"/>
    <w:rsid w:val="002827FF"/>
    <w:rsid w:val="00282BBB"/>
    <w:rsid w:val="00283E81"/>
    <w:rsid w:val="00291821"/>
    <w:rsid w:val="00295278"/>
    <w:rsid w:val="002A1899"/>
    <w:rsid w:val="002A2B7F"/>
    <w:rsid w:val="002B3B6C"/>
    <w:rsid w:val="002B5991"/>
    <w:rsid w:val="002C679E"/>
    <w:rsid w:val="002D4A38"/>
    <w:rsid w:val="002D5BF2"/>
    <w:rsid w:val="002D73A5"/>
    <w:rsid w:val="002E0B30"/>
    <w:rsid w:val="002E157E"/>
    <w:rsid w:val="002E2E61"/>
    <w:rsid w:val="002F5475"/>
    <w:rsid w:val="00312A14"/>
    <w:rsid w:val="0032501C"/>
    <w:rsid w:val="003279DF"/>
    <w:rsid w:val="003353AE"/>
    <w:rsid w:val="00341129"/>
    <w:rsid w:val="00341FAB"/>
    <w:rsid w:val="003464CB"/>
    <w:rsid w:val="003604D3"/>
    <w:rsid w:val="00362559"/>
    <w:rsid w:val="00367380"/>
    <w:rsid w:val="0036787E"/>
    <w:rsid w:val="00370D1F"/>
    <w:rsid w:val="00375FE5"/>
    <w:rsid w:val="00381801"/>
    <w:rsid w:val="00387247"/>
    <w:rsid w:val="003922AE"/>
    <w:rsid w:val="0039720C"/>
    <w:rsid w:val="003973A2"/>
    <w:rsid w:val="003974EC"/>
    <w:rsid w:val="003A1A53"/>
    <w:rsid w:val="003A4072"/>
    <w:rsid w:val="003A50A6"/>
    <w:rsid w:val="003B2121"/>
    <w:rsid w:val="003B22A5"/>
    <w:rsid w:val="003B47C5"/>
    <w:rsid w:val="003C3CC5"/>
    <w:rsid w:val="003C4139"/>
    <w:rsid w:val="003C4725"/>
    <w:rsid w:val="003C6692"/>
    <w:rsid w:val="003D272C"/>
    <w:rsid w:val="003D5A2A"/>
    <w:rsid w:val="003E0F53"/>
    <w:rsid w:val="003F3E59"/>
    <w:rsid w:val="00401079"/>
    <w:rsid w:val="00403518"/>
    <w:rsid w:val="00411F80"/>
    <w:rsid w:val="004131B4"/>
    <w:rsid w:val="00414788"/>
    <w:rsid w:val="00424F72"/>
    <w:rsid w:val="0042603A"/>
    <w:rsid w:val="0044279B"/>
    <w:rsid w:val="00450082"/>
    <w:rsid w:val="00450BDC"/>
    <w:rsid w:val="004521A7"/>
    <w:rsid w:val="00460BA4"/>
    <w:rsid w:val="004627DA"/>
    <w:rsid w:val="004700E7"/>
    <w:rsid w:val="004705DA"/>
    <w:rsid w:val="00473CEF"/>
    <w:rsid w:val="00473FDE"/>
    <w:rsid w:val="004756C2"/>
    <w:rsid w:val="00477EF8"/>
    <w:rsid w:val="004925B1"/>
    <w:rsid w:val="00493FAE"/>
    <w:rsid w:val="004955F3"/>
    <w:rsid w:val="004A18FC"/>
    <w:rsid w:val="004A75E5"/>
    <w:rsid w:val="004A7807"/>
    <w:rsid w:val="004B448B"/>
    <w:rsid w:val="004B5039"/>
    <w:rsid w:val="004B79A7"/>
    <w:rsid w:val="004C4673"/>
    <w:rsid w:val="004C5701"/>
    <w:rsid w:val="004C76C2"/>
    <w:rsid w:val="004C7C1A"/>
    <w:rsid w:val="004D1D98"/>
    <w:rsid w:val="004D1F15"/>
    <w:rsid w:val="004D7DCA"/>
    <w:rsid w:val="004E1251"/>
    <w:rsid w:val="004E6EE4"/>
    <w:rsid w:val="004F03AB"/>
    <w:rsid w:val="004F4645"/>
    <w:rsid w:val="004F6519"/>
    <w:rsid w:val="005039E7"/>
    <w:rsid w:val="00503A51"/>
    <w:rsid w:val="00520F80"/>
    <w:rsid w:val="00530EDD"/>
    <w:rsid w:val="005362C7"/>
    <w:rsid w:val="0056198F"/>
    <w:rsid w:val="00567D58"/>
    <w:rsid w:val="00571BB0"/>
    <w:rsid w:val="00585B8C"/>
    <w:rsid w:val="00596A08"/>
    <w:rsid w:val="005A07FF"/>
    <w:rsid w:val="005B4E74"/>
    <w:rsid w:val="005B56B3"/>
    <w:rsid w:val="005D3198"/>
    <w:rsid w:val="005D4094"/>
    <w:rsid w:val="005E003E"/>
    <w:rsid w:val="005E2214"/>
    <w:rsid w:val="005E348F"/>
    <w:rsid w:val="005E38E5"/>
    <w:rsid w:val="005E4254"/>
    <w:rsid w:val="005E7459"/>
    <w:rsid w:val="005E7CB4"/>
    <w:rsid w:val="005E7F24"/>
    <w:rsid w:val="005F5C6F"/>
    <w:rsid w:val="005F618C"/>
    <w:rsid w:val="00605CAD"/>
    <w:rsid w:val="00612828"/>
    <w:rsid w:val="00617670"/>
    <w:rsid w:val="00617AFD"/>
    <w:rsid w:val="00623894"/>
    <w:rsid w:val="006238CA"/>
    <w:rsid w:val="00623B9F"/>
    <w:rsid w:val="006357E5"/>
    <w:rsid w:val="00636E2A"/>
    <w:rsid w:val="006445E4"/>
    <w:rsid w:val="006463C5"/>
    <w:rsid w:val="00647844"/>
    <w:rsid w:val="00660236"/>
    <w:rsid w:val="006609AB"/>
    <w:rsid w:val="006625F7"/>
    <w:rsid w:val="0067191C"/>
    <w:rsid w:val="0067673F"/>
    <w:rsid w:val="006775D1"/>
    <w:rsid w:val="006805C1"/>
    <w:rsid w:val="00690E7B"/>
    <w:rsid w:val="00691CDD"/>
    <w:rsid w:val="006A4796"/>
    <w:rsid w:val="006A6CAB"/>
    <w:rsid w:val="006B61B9"/>
    <w:rsid w:val="006B7FBF"/>
    <w:rsid w:val="006C088A"/>
    <w:rsid w:val="006C36AE"/>
    <w:rsid w:val="006D193D"/>
    <w:rsid w:val="006E2C23"/>
    <w:rsid w:val="006E39E6"/>
    <w:rsid w:val="006E7BF7"/>
    <w:rsid w:val="006F379F"/>
    <w:rsid w:val="00701BC3"/>
    <w:rsid w:val="0070674F"/>
    <w:rsid w:val="00715F78"/>
    <w:rsid w:val="007234FC"/>
    <w:rsid w:val="00737CA0"/>
    <w:rsid w:val="007425FB"/>
    <w:rsid w:val="00743006"/>
    <w:rsid w:val="007511D6"/>
    <w:rsid w:val="007570D6"/>
    <w:rsid w:val="00757882"/>
    <w:rsid w:val="007618B3"/>
    <w:rsid w:val="0076347A"/>
    <w:rsid w:val="00763F36"/>
    <w:rsid w:val="00764CDF"/>
    <w:rsid w:val="00770919"/>
    <w:rsid w:val="00774620"/>
    <w:rsid w:val="00776B61"/>
    <w:rsid w:val="007772A5"/>
    <w:rsid w:val="00781EC2"/>
    <w:rsid w:val="00781F96"/>
    <w:rsid w:val="0079034D"/>
    <w:rsid w:val="00797C98"/>
    <w:rsid w:val="007A3E5A"/>
    <w:rsid w:val="007A5600"/>
    <w:rsid w:val="007B10E3"/>
    <w:rsid w:val="007B37E8"/>
    <w:rsid w:val="007B6B3F"/>
    <w:rsid w:val="007B7A70"/>
    <w:rsid w:val="007C0500"/>
    <w:rsid w:val="007C39A9"/>
    <w:rsid w:val="007C706F"/>
    <w:rsid w:val="007E6561"/>
    <w:rsid w:val="007F7691"/>
    <w:rsid w:val="008048AC"/>
    <w:rsid w:val="00804DEF"/>
    <w:rsid w:val="0081468E"/>
    <w:rsid w:val="00815C6B"/>
    <w:rsid w:val="0082585F"/>
    <w:rsid w:val="00832108"/>
    <w:rsid w:val="00840D67"/>
    <w:rsid w:val="008463A4"/>
    <w:rsid w:val="00851A2B"/>
    <w:rsid w:val="00853EE1"/>
    <w:rsid w:val="00860C3B"/>
    <w:rsid w:val="00863F90"/>
    <w:rsid w:val="00865D9D"/>
    <w:rsid w:val="0088457B"/>
    <w:rsid w:val="0088782B"/>
    <w:rsid w:val="00894CCE"/>
    <w:rsid w:val="008A5710"/>
    <w:rsid w:val="008A6B4D"/>
    <w:rsid w:val="008B15F1"/>
    <w:rsid w:val="008C2CB6"/>
    <w:rsid w:val="008C486A"/>
    <w:rsid w:val="008C6FA5"/>
    <w:rsid w:val="008D36A7"/>
    <w:rsid w:val="008E1B58"/>
    <w:rsid w:val="008E2473"/>
    <w:rsid w:val="008E49DB"/>
    <w:rsid w:val="008E786B"/>
    <w:rsid w:val="008F23D1"/>
    <w:rsid w:val="008F6FFB"/>
    <w:rsid w:val="008F7D2A"/>
    <w:rsid w:val="009017FE"/>
    <w:rsid w:val="009058E0"/>
    <w:rsid w:val="00907CD5"/>
    <w:rsid w:val="00914C6C"/>
    <w:rsid w:val="009151CF"/>
    <w:rsid w:val="009246AB"/>
    <w:rsid w:val="00931949"/>
    <w:rsid w:val="00935A70"/>
    <w:rsid w:val="009422DA"/>
    <w:rsid w:val="009461FB"/>
    <w:rsid w:val="009464C6"/>
    <w:rsid w:val="00951916"/>
    <w:rsid w:val="00953CD3"/>
    <w:rsid w:val="00954A10"/>
    <w:rsid w:val="009572A5"/>
    <w:rsid w:val="00963B69"/>
    <w:rsid w:val="0097365E"/>
    <w:rsid w:val="00976899"/>
    <w:rsid w:val="00980DFB"/>
    <w:rsid w:val="00981271"/>
    <w:rsid w:val="009A7A5F"/>
    <w:rsid w:val="009A7AB3"/>
    <w:rsid w:val="009B5456"/>
    <w:rsid w:val="009B5626"/>
    <w:rsid w:val="009C1CCD"/>
    <w:rsid w:val="009C5191"/>
    <w:rsid w:val="009C5C43"/>
    <w:rsid w:val="009C6A0C"/>
    <w:rsid w:val="009D694E"/>
    <w:rsid w:val="009E5746"/>
    <w:rsid w:val="009F0C49"/>
    <w:rsid w:val="009F2B56"/>
    <w:rsid w:val="009F6922"/>
    <w:rsid w:val="00A206B3"/>
    <w:rsid w:val="00A235B9"/>
    <w:rsid w:val="00A24F94"/>
    <w:rsid w:val="00A31D47"/>
    <w:rsid w:val="00A34DD0"/>
    <w:rsid w:val="00A35CDB"/>
    <w:rsid w:val="00A40E9D"/>
    <w:rsid w:val="00A42864"/>
    <w:rsid w:val="00A440DF"/>
    <w:rsid w:val="00A44EFB"/>
    <w:rsid w:val="00A536B2"/>
    <w:rsid w:val="00A554A2"/>
    <w:rsid w:val="00A60CC7"/>
    <w:rsid w:val="00A70924"/>
    <w:rsid w:val="00A733F4"/>
    <w:rsid w:val="00A73AA7"/>
    <w:rsid w:val="00A74C2A"/>
    <w:rsid w:val="00A7534A"/>
    <w:rsid w:val="00A806C6"/>
    <w:rsid w:val="00A83664"/>
    <w:rsid w:val="00A848E8"/>
    <w:rsid w:val="00A86CA4"/>
    <w:rsid w:val="00A97C53"/>
    <w:rsid w:val="00AA14AA"/>
    <w:rsid w:val="00AA1C74"/>
    <w:rsid w:val="00AA1CBD"/>
    <w:rsid w:val="00AC0968"/>
    <w:rsid w:val="00AC1C06"/>
    <w:rsid w:val="00AC3BE1"/>
    <w:rsid w:val="00AC7182"/>
    <w:rsid w:val="00AD7589"/>
    <w:rsid w:val="00AE3ADD"/>
    <w:rsid w:val="00AE7513"/>
    <w:rsid w:val="00AF2F75"/>
    <w:rsid w:val="00AF53D4"/>
    <w:rsid w:val="00AF6921"/>
    <w:rsid w:val="00B00E34"/>
    <w:rsid w:val="00B0197A"/>
    <w:rsid w:val="00B05D0C"/>
    <w:rsid w:val="00B17A80"/>
    <w:rsid w:val="00B17CBF"/>
    <w:rsid w:val="00B20276"/>
    <w:rsid w:val="00B208E9"/>
    <w:rsid w:val="00B316B8"/>
    <w:rsid w:val="00B3614B"/>
    <w:rsid w:val="00B43FF3"/>
    <w:rsid w:val="00B45332"/>
    <w:rsid w:val="00B4660C"/>
    <w:rsid w:val="00B467D3"/>
    <w:rsid w:val="00B50BC6"/>
    <w:rsid w:val="00B520FB"/>
    <w:rsid w:val="00B53CB2"/>
    <w:rsid w:val="00B54D37"/>
    <w:rsid w:val="00B55A23"/>
    <w:rsid w:val="00B62E3A"/>
    <w:rsid w:val="00B73034"/>
    <w:rsid w:val="00B77B90"/>
    <w:rsid w:val="00B847EC"/>
    <w:rsid w:val="00BA05D6"/>
    <w:rsid w:val="00BA1623"/>
    <w:rsid w:val="00BA1C5C"/>
    <w:rsid w:val="00BC1BA0"/>
    <w:rsid w:val="00BC4014"/>
    <w:rsid w:val="00BD2D4B"/>
    <w:rsid w:val="00BD4F7A"/>
    <w:rsid w:val="00BD7676"/>
    <w:rsid w:val="00BF4BB1"/>
    <w:rsid w:val="00BF6239"/>
    <w:rsid w:val="00C00ADA"/>
    <w:rsid w:val="00C112A6"/>
    <w:rsid w:val="00C12FA0"/>
    <w:rsid w:val="00C16312"/>
    <w:rsid w:val="00C22C17"/>
    <w:rsid w:val="00C23549"/>
    <w:rsid w:val="00C2569A"/>
    <w:rsid w:val="00C434F8"/>
    <w:rsid w:val="00C52BBA"/>
    <w:rsid w:val="00C56630"/>
    <w:rsid w:val="00C707AF"/>
    <w:rsid w:val="00C73575"/>
    <w:rsid w:val="00C95B79"/>
    <w:rsid w:val="00CA2CD1"/>
    <w:rsid w:val="00CA3155"/>
    <w:rsid w:val="00CC35A3"/>
    <w:rsid w:val="00CD3ADC"/>
    <w:rsid w:val="00CD4E3E"/>
    <w:rsid w:val="00CD60C1"/>
    <w:rsid w:val="00CE40DC"/>
    <w:rsid w:val="00CF3F4D"/>
    <w:rsid w:val="00CF6360"/>
    <w:rsid w:val="00D00567"/>
    <w:rsid w:val="00D00EF0"/>
    <w:rsid w:val="00D1128B"/>
    <w:rsid w:val="00D25792"/>
    <w:rsid w:val="00D3169E"/>
    <w:rsid w:val="00D41323"/>
    <w:rsid w:val="00D41CD2"/>
    <w:rsid w:val="00D4351E"/>
    <w:rsid w:val="00D4718F"/>
    <w:rsid w:val="00D501F2"/>
    <w:rsid w:val="00D51F94"/>
    <w:rsid w:val="00D57371"/>
    <w:rsid w:val="00D61F9B"/>
    <w:rsid w:val="00D63303"/>
    <w:rsid w:val="00D72842"/>
    <w:rsid w:val="00D73A6A"/>
    <w:rsid w:val="00D76DBA"/>
    <w:rsid w:val="00D87A44"/>
    <w:rsid w:val="00DB3A67"/>
    <w:rsid w:val="00DB6ABD"/>
    <w:rsid w:val="00DB7D9D"/>
    <w:rsid w:val="00DC422A"/>
    <w:rsid w:val="00DC4A1B"/>
    <w:rsid w:val="00DD5F39"/>
    <w:rsid w:val="00DE41EF"/>
    <w:rsid w:val="00DF0440"/>
    <w:rsid w:val="00DF7B93"/>
    <w:rsid w:val="00E02693"/>
    <w:rsid w:val="00E05DCA"/>
    <w:rsid w:val="00E062C3"/>
    <w:rsid w:val="00E141E7"/>
    <w:rsid w:val="00E15A4D"/>
    <w:rsid w:val="00E23BC6"/>
    <w:rsid w:val="00E23BD4"/>
    <w:rsid w:val="00E32516"/>
    <w:rsid w:val="00E32EEF"/>
    <w:rsid w:val="00E33188"/>
    <w:rsid w:val="00E42BAC"/>
    <w:rsid w:val="00E5608D"/>
    <w:rsid w:val="00E56A9D"/>
    <w:rsid w:val="00E62328"/>
    <w:rsid w:val="00E62D5B"/>
    <w:rsid w:val="00E640D1"/>
    <w:rsid w:val="00E65232"/>
    <w:rsid w:val="00E71FCC"/>
    <w:rsid w:val="00E76036"/>
    <w:rsid w:val="00E909D3"/>
    <w:rsid w:val="00E92752"/>
    <w:rsid w:val="00E97170"/>
    <w:rsid w:val="00EA07C8"/>
    <w:rsid w:val="00EA528A"/>
    <w:rsid w:val="00EB3ADC"/>
    <w:rsid w:val="00EB41DF"/>
    <w:rsid w:val="00EC2271"/>
    <w:rsid w:val="00EC3BD7"/>
    <w:rsid w:val="00EF4997"/>
    <w:rsid w:val="00F000E4"/>
    <w:rsid w:val="00F017D9"/>
    <w:rsid w:val="00F046E7"/>
    <w:rsid w:val="00F1739F"/>
    <w:rsid w:val="00F17DE7"/>
    <w:rsid w:val="00F2466D"/>
    <w:rsid w:val="00F3000A"/>
    <w:rsid w:val="00F32356"/>
    <w:rsid w:val="00F33EFF"/>
    <w:rsid w:val="00F34559"/>
    <w:rsid w:val="00F35AA4"/>
    <w:rsid w:val="00F35E52"/>
    <w:rsid w:val="00F37A52"/>
    <w:rsid w:val="00F4040D"/>
    <w:rsid w:val="00F47185"/>
    <w:rsid w:val="00F645EF"/>
    <w:rsid w:val="00F70CF2"/>
    <w:rsid w:val="00F773C6"/>
    <w:rsid w:val="00F820AF"/>
    <w:rsid w:val="00FA57DD"/>
    <w:rsid w:val="00FA7261"/>
    <w:rsid w:val="00FA7BB4"/>
    <w:rsid w:val="00FA7C1E"/>
    <w:rsid w:val="00FB5561"/>
    <w:rsid w:val="00FB5B84"/>
    <w:rsid w:val="00FC76F1"/>
    <w:rsid w:val="00FD41C7"/>
    <w:rsid w:val="00FD4A52"/>
    <w:rsid w:val="00FF0A70"/>
    <w:rsid w:val="00FF70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0955A"/>
  <w15:chartTrackingRefBased/>
  <w15:docId w15:val="{4727E405-881E-4880-9D52-A81C4EA5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A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82585F"/>
    <w:rPr>
      <w:rFonts w:ascii="Segoe UI" w:hAnsi="Segoe UI" w:cs="Segoe UI"/>
      <w:sz w:val="18"/>
      <w:szCs w:val="18"/>
    </w:rPr>
  </w:style>
  <w:style w:type="character" w:customStyle="1" w:styleId="TextbublinyChar">
    <w:name w:val="Text bubliny Char"/>
    <w:link w:val="Textbubliny"/>
    <w:rsid w:val="0082585F"/>
    <w:rPr>
      <w:rFonts w:ascii="Segoe UI" w:hAnsi="Segoe UI" w:cs="Segoe UI"/>
      <w:sz w:val="18"/>
      <w:szCs w:val="18"/>
    </w:rPr>
  </w:style>
  <w:style w:type="paragraph" w:styleId="Zhlav">
    <w:name w:val="header"/>
    <w:basedOn w:val="Normln"/>
    <w:link w:val="ZhlavChar"/>
    <w:uiPriority w:val="99"/>
    <w:rsid w:val="002E157E"/>
    <w:pPr>
      <w:tabs>
        <w:tab w:val="center" w:pos="4536"/>
        <w:tab w:val="right" w:pos="9072"/>
      </w:tabs>
    </w:pPr>
  </w:style>
  <w:style w:type="character" w:customStyle="1" w:styleId="ZhlavChar">
    <w:name w:val="Záhlaví Char"/>
    <w:link w:val="Zhlav"/>
    <w:uiPriority w:val="99"/>
    <w:rsid w:val="002E157E"/>
    <w:rPr>
      <w:sz w:val="24"/>
      <w:szCs w:val="24"/>
    </w:rPr>
  </w:style>
  <w:style w:type="paragraph" w:styleId="Zpat">
    <w:name w:val="footer"/>
    <w:basedOn w:val="Normln"/>
    <w:link w:val="ZpatChar"/>
    <w:uiPriority w:val="99"/>
    <w:rsid w:val="002E157E"/>
    <w:pPr>
      <w:tabs>
        <w:tab w:val="center" w:pos="4536"/>
        <w:tab w:val="right" w:pos="9072"/>
      </w:tabs>
    </w:pPr>
  </w:style>
  <w:style w:type="character" w:customStyle="1" w:styleId="ZpatChar">
    <w:name w:val="Zápatí Char"/>
    <w:link w:val="Zpat"/>
    <w:uiPriority w:val="99"/>
    <w:rsid w:val="002E157E"/>
    <w:rPr>
      <w:sz w:val="24"/>
      <w:szCs w:val="24"/>
    </w:rPr>
  </w:style>
  <w:style w:type="character" w:styleId="Odkaznakoment">
    <w:name w:val="annotation reference"/>
    <w:rsid w:val="00BD7676"/>
    <w:rPr>
      <w:sz w:val="16"/>
      <w:szCs w:val="16"/>
    </w:rPr>
  </w:style>
  <w:style w:type="paragraph" w:styleId="Textkomente">
    <w:name w:val="annotation text"/>
    <w:basedOn w:val="Normln"/>
    <w:link w:val="TextkomenteChar"/>
    <w:rsid w:val="00BD7676"/>
    <w:rPr>
      <w:sz w:val="20"/>
      <w:szCs w:val="20"/>
    </w:rPr>
  </w:style>
  <w:style w:type="character" w:customStyle="1" w:styleId="TextkomenteChar">
    <w:name w:val="Text komentáře Char"/>
    <w:basedOn w:val="Standardnpsmoodstavce"/>
    <w:link w:val="Textkomente"/>
    <w:rsid w:val="00BD7676"/>
  </w:style>
  <w:style w:type="paragraph" w:styleId="Pedmtkomente">
    <w:name w:val="annotation subject"/>
    <w:basedOn w:val="Textkomente"/>
    <w:next w:val="Textkomente"/>
    <w:link w:val="PedmtkomenteChar"/>
    <w:rsid w:val="00BD7676"/>
    <w:rPr>
      <w:b/>
      <w:bCs/>
    </w:rPr>
  </w:style>
  <w:style w:type="character" w:customStyle="1" w:styleId="PedmtkomenteChar">
    <w:name w:val="Předmět komentáře Char"/>
    <w:link w:val="Pedmtkomente"/>
    <w:rsid w:val="00BD7676"/>
    <w:rPr>
      <w:b/>
      <w:bCs/>
    </w:rPr>
  </w:style>
  <w:style w:type="paragraph" w:styleId="Revize">
    <w:name w:val="Revision"/>
    <w:hidden/>
    <w:uiPriority w:val="99"/>
    <w:semiHidden/>
    <w:rsid w:val="00414788"/>
    <w:rPr>
      <w:sz w:val="24"/>
      <w:szCs w:val="24"/>
    </w:rPr>
  </w:style>
  <w:style w:type="paragraph" w:styleId="Odstavecseseznamem">
    <w:name w:val="List Paragraph"/>
    <w:basedOn w:val="Normln"/>
    <w:qFormat/>
    <w:rsid w:val="00414788"/>
    <w:pPr>
      <w:ind w:left="720"/>
      <w:contextualSpacing/>
    </w:pPr>
  </w:style>
  <w:style w:type="character" w:styleId="Hypertextovodkaz">
    <w:name w:val="Hyperlink"/>
    <w:uiPriority w:val="99"/>
    <w:unhideWhenUsed/>
    <w:rsid w:val="00FF0A70"/>
    <w:rPr>
      <w:color w:val="0000FF"/>
      <w:u w:val="single"/>
    </w:rPr>
  </w:style>
  <w:style w:type="character" w:customStyle="1" w:styleId="footnote">
    <w:name w:val="footnote"/>
    <w:basedOn w:val="Standardnpsmoodstavce"/>
    <w:rsid w:val="00FF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92938">
      <w:bodyDiv w:val="1"/>
      <w:marLeft w:val="0"/>
      <w:marRight w:val="0"/>
      <w:marTop w:val="0"/>
      <w:marBottom w:val="0"/>
      <w:divBdr>
        <w:top w:val="none" w:sz="0" w:space="0" w:color="auto"/>
        <w:left w:val="none" w:sz="0" w:space="0" w:color="auto"/>
        <w:bottom w:val="none" w:sz="0" w:space="0" w:color="auto"/>
        <w:right w:val="none" w:sz="0" w:space="0" w:color="auto"/>
      </w:divBdr>
    </w:div>
    <w:div w:id="164373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548F3-96B7-48FE-B761-DD171D9D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3396</Words>
  <Characters>20040</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23390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Jitka</dc:creator>
  <cp:keywords/>
  <cp:lastModifiedBy>OEMASUS2</cp:lastModifiedBy>
  <cp:revision>7</cp:revision>
  <cp:lastPrinted>2024-02-09T13:41:00Z</cp:lastPrinted>
  <dcterms:created xsi:type="dcterms:W3CDTF">2024-02-14T13:47:00Z</dcterms:created>
  <dcterms:modified xsi:type="dcterms:W3CDTF">2024-02-23T05:43:00Z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290fd9914925f6de6ce943b8432df3e66a0c6dcc6e48296e1668908a48a2ed2c</vt:lpwstr>
  </property>
</Properties>
</file>