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1" w:rsidRPr="00DD2F84" w:rsidRDefault="000D68F1" w:rsidP="000D68F1">
      <w:pPr>
        <w:pStyle w:val="Nzevsmlouvy"/>
        <w:widowControl w:val="0"/>
        <w:spacing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  <w:r w:rsidRPr="00DD2F84">
        <w:rPr>
          <w:rFonts w:ascii="Times New Roman" w:hAnsi="Times New Roman"/>
          <w:caps/>
          <w:sz w:val="28"/>
          <w:szCs w:val="28"/>
        </w:rPr>
        <w:t xml:space="preserve">Dodatek č. 1 </w:t>
      </w:r>
    </w:p>
    <w:p w:rsidR="000D68F1" w:rsidRPr="000D68F1" w:rsidRDefault="005E4648" w:rsidP="00675997">
      <w:pPr>
        <w:pStyle w:val="Nzevsmlouvy"/>
        <w:widowControl w:val="0"/>
        <w:spacing w:after="48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E4648">
        <w:rPr>
          <w:rFonts w:ascii="Times New Roman" w:hAnsi="Times New Roman"/>
          <w:caps/>
          <w:sz w:val="24"/>
          <w:szCs w:val="24"/>
        </w:rPr>
        <w:t>ke</w:t>
      </w:r>
      <w:r w:rsidRPr="000D68F1">
        <w:rPr>
          <w:rFonts w:ascii="Times New Roman" w:hAnsi="Times New Roman"/>
          <w:caps/>
          <w:sz w:val="24"/>
          <w:szCs w:val="24"/>
        </w:rPr>
        <w:t xml:space="preserve"> </w:t>
      </w:r>
      <w:r w:rsidR="000D68F1" w:rsidRPr="000D68F1">
        <w:rPr>
          <w:rFonts w:ascii="Times New Roman" w:hAnsi="Times New Roman"/>
          <w:caps/>
          <w:sz w:val="24"/>
          <w:szCs w:val="24"/>
        </w:rPr>
        <w:t>Smlouvě na dodání a instalaci nového ZVUKOVÉHO A HLASOVACÍHO ŘETĚZCE AUDIOVIZUÁLNÍHO SYSTÉMU a zajištění jeho servisu</w:t>
      </w:r>
    </w:p>
    <w:p w:rsidR="000D68F1" w:rsidRPr="000D68F1" w:rsidRDefault="000D68F1" w:rsidP="000D68F1">
      <w:pPr>
        <w:pStyle w:val="Default"/>
        <w:jc w:val="center"/>
      </w:pPr>
      <w:r w:rsidRPr="000D68F1">
        <w:rPr>
          <w:b/>
          <w:bCs/>
        </w:rPr>
        <w:t xml:space="preserve">Číslo smlouvy dodavatele: </w:t>
      </w:r>
      <w:r w:rsidRPr="000D68F1">
        <w:rPr>
          <w:bCs/>
          <w:sz w:val="22"/>
          <w:szCs w:val="22"/>
        </w:rPr>
        <w:t>23Zak00461</w:t>
      </w:r>
      <w:r w:rsidRPr="000D68F1">
        <w:rPr>
          <w:b/>
          <w:bCs/>
        </w:rPr>
        <w:br/>
        <w:t xml:space="preserve">Číslo smlouvy objednatele: </w:t>
      </w:r>
      <w:r w:rsidRPr="000D68F1">
        <w:rPr>
          <w:bCs/>
          <w:sz w:val="22"/>
          <w:szCs w:val="22"/>
        </w:rPr>
        <w:t>INO/10/02/001724/2023</w:t>
      </w:r>
    </w:p>
    <w:p w:rsidR="000D68F1" w:rsidRPr="000D68F1" w:rsidRDefault="000D68F1" w:rsidP="000D68F1">
      <w:pPr>
        <w:widowControl w:val="0"/>
        <w:spacing w:after="0"/>
        <w:rPr>
          <w:rFonts w:ascii="Times New Roman" w:hAnsi="Times New Roman" w:cs="Times New Roman"/>
          <w:b/>
          <w:bCs/>
          <w:szCs w:val="24"/>
        </w:rPr>
      </w:pPr>
    </w:p>
    <w:p w:rsidR="000D68F1" w:rsidRPr="000D68F1" w:rsidRDefault="000D68F1" w:rsidP="000D68F1">
      <w:pPr>
        <w:pStyle w:val="Nzevsmlouvy"/>
        <w:widowControl w:val="0"/>
        <w:spacing w:after="24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uzavřený níže uvedeného dne, měsíce a roku podle ustanovení § 1746 odst. 2, § 2358, § 2079 a  § 2586 násl. zákona č. 89/2012 Sb., občanský zákoník, ve znění pozdějších předpisů („</w:t>
      </w:r>
      <w:r w:rsidRPr="000D68F1">
        <w:rPr>
          <w:rFonts w:ascii="Times New Roman" w:hAnsi="Times New Roman"/>
          <w:bCs/>
          <w:sz w:val="22"/>
          <w:szCs w:val="22"/>
        </w:rPr>
        <w:t>Občanský</w:t>
      </w:r>
      <w:r w:rsidRPr="000D68F1">
        <w:rPr>
          <w:rFonts w:ascii="Times New Roman" w:hAnsi="Times New Roman"/>
          <w:sz w:val="22"/>
        </w:rPr>
        <w:t xml:space="preserve"> zákoník</w:t>
      </w:r>
      <w:r w:rsidR="002754BE">
        <w:rPr>
          <w:rFonts w:ascii="Times New Roman" w:hAnsi="Times New Roman"/>
          <w:b w:val="0"/>
          <w:bCs/>
          <w:sz w:val="22"/>
          <w:szCs w:val="22"/>
        </w:rPr>
        <w:t>“)</w:t>
      </w:r>
      <w:r w:rsidRPr="000D68F1">
        <w:rPr>
          <w:rFonts w:ascii="Times New Roman" w:hAnsi="Times New Roman"/>
          <w:b w:val="0"/>
          <w:bCs/>
          <w:sz w:val="22"/>
          <w:szCs w:val="22"/>
        </w:rPr>
        <w:t xml:space="preserve"> a na základě zákona č. 134/2016 Sb., o zadávání veřejných zakázek („</w:t>
      </w:r>
      <w:r w:rsidRPr="000D68F1">
        <w:rPr>
          <w:rFonts w:ascii="Times New Roman" w:hAnsi="Times New Roman"/>
          <w:bCs/>
          <w:sz w:val="22"/>
          <w:szCs w:val="22"/>
        </w:rPr>
        <w:t>ZZVZ</w:t>
      </w:r>
      <w:r w:rsidRPr="000D68F1">
        <w:rPr>
          <w:rFonts w:ascii="Times New Roman" w:hAnsi="Times New Roman"/>
          <w:b w:val="0"/>
          <w:bCs/>
          <w:sz w:val="22"/>
          <w:szCs w:val="22"/>
        </w:rPr>
        <w:t>“), ve znění pozdějších předpisů, mezi níže uvedenými smluvními stranami:</w:t>
      </w:r>
    </w:p>
    <w:p w:rsidR="000D68F1" w:rsidRPr="000D68F1" w:rsidRDefault="000D68F1" w:rsidP="000D68F1">
      <w:pPr>
        <w:pStyle w:val="Nzevsmlouvy"/>
        <w:widowControl w:val="0"/>
        <w:spacing w:after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0D68F1" w:rsidRPr="000D68F1" w:rsidRDefault="000D68F1" w:rsidP="000D68F1">
      <w:pPr>
        <w:pStyle w:val="Tabulkatext"/>
        <w:widowControl w:val="0"/>
        <w:spacing w:before="0" w:after="0"/>
        <w:outlineLvl w:val="0"/>
        <w:rPr>
          <w:rStyle w:val="Siln"/>
          <w:sz w:val="22"/>
          <w:szCs w:val="22"/>
        </w:rPr>
      </w:pPr>
      <w:r w:rsidRPr="000D68F1">
        <w:rPr>
          <w:rStyle w:val="Siln"/>
          <w:sz w:val="22"/>
          <w:szCs w:val="22"/>
        </w:rPr>
        <w:t xml:space="preserve">Hlavní město Praha 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 xml:space="preserve">se sídlem: Mariánské nám. 2, Praha 1, PSČ: 110 01  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zastoupené: Ing. Davidem Lísalem, MBA, ředitelem odboru volených orgánů Magistrátu</w:t>
      </w:r>
      <w:r w:rsidRPr="000D68F1">
        <w:rPr>
          <w:rFonts w:ascii="Times New Roman" w:hAnsi="Times New Roman"/>
          <w:b w:val="0"/>
          <w:bCs/>
          <w:sz w:val="22"/>
          <w:szCs w:val="22"/>
        </w:rPr>
        <w:br/>
        <w:t>hl. m. Prahy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 xml:space="preserve">IČO: 00064581 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DIČ: CZ00064581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bankovní spojení: PPF banka, a.s., účet č.: 27-5157998/6000</w:t>
      </w:r>
    </w:p>
    <w:p w:rsidR="000D68F1" w:rsidRPr="000D68F1" w:rsidRDefault="000D68F1" w:rsidP="000D68F1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(„</w:t>
      </w:r>
      <w:r w:rsidRPr="000D68F1">
        <w:rPr>
          <w:rFonts w:ascii="Times New Roman" w:hAnsi="Times New Roman"/>
          <w:bCs/>
          <w:sz w:val="22"/>
          <w:szCs w:val="22"/>
        </w:rPr>
        <w:t>Objednatel</w:t>
      </w:r>
      <w:r w:rsidRPr="000D68F1">
        <w:rPr>
          <w:rFonts w:ascii="Times New Roman" w:hAnsi="Times New Roman"/>
          <w:b w:val="0"/>
          <w:bCs/>
          <w:sz w:val="22"/>
          <w:szCs w:val="22"/>
        </w:rPr>
        <w:t>“)</w:t>
      </w:r>
    </w:p>
    <w:p w:rsidR="000D68F1" w:rsidRPr="000D68F1" w:rsidRDefault="000D68F1" w:rsidP="000D68F1">
      <w:pPr>
        <w:widowControl w:val="0"/>
        <w:spacing w:after="0"/>
        <w:rPr>
          <w:rFonts w:ascii="Times New Roman" w:hAnsi="Times New Roman" w:cs="Times New Roman"/>
        </w:rPr>
      </w:pPr>
    </w:p>
    <w:p w:rsidR="000D68F1" w:rsidRPr="000D68F1" w:rsidRDefault="000D68F1" w:rsidP="000D68F1">
      <w:pPr>
        <w:widowControl w:val="0"/>
        <w:spacing w:after="0"/>
        <w:rPr>
          <w:rFonts w:ascii="Times New Roman" w:hAnsi="Times New Roman" w:cs="Times New Roman"/>
        </w:rPr>
      </w:pPr>
      <w:r w:rsidRPr="000D68F1">
        <w:rPr>
          <w:rFonts w:ascii="Times New Roman" w:hAnsi="Times New Roman" w:cs="Times New Roman"/>
        </w:rPr>
        <w:t>a</w:t>
      </w:r>
    </w:p>
    <w:p w:rsidR="000D68F1" w:rsidRPr="000D68F1" w:rsidRDefault="000D68F1" w:rsidP="000D68F1">
      <w:pPr>
        <w:pStyle w:val="Tabulkatext"/>
        <w:widowControl w:val="0"/>
        <w:spacing w:before="0" w:after="0"/>
        <w:outlineLvl w:val="0"/>
        <w:rPr>
          <w:rStyle w:val="Siln"/>
          <w:sz w:val="22"/>
          <w:szCs w:val="22"/>
        </w:rPr>
      </w:pPr>
    </w:p>
    <w:p w:rsidR="000D68F1" w:rsidRPr="000D68F1" w:rsidRDefault="000D68F1" w:rsidP="000D68F1">
      <w:pPr>
        <w:spacing w:after="0" w:line="276" w:lineRule="auto"/>
        <w:rPr>
          <w:rFonts w:ascii="Times New Roman" w:hAnsi="Times New Roman" w:cs="Times New Roman"/>
          <w:b/>
        </w:rPr>
      </w:pPr>
      <w:r w:rsidRPr="000D68F1">
        <w:rPr>
          <w:rFonts w:ascii="Times New Roman" w:hAnsi="Times New Roman" w:cs="Times New Roman"/>
          <w:b/>
          <w:bCs/>
        </w:rPr>
        <w:t>AVT Group a.s.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se sídlem: V lomech 2376/10a, 149 00 Praha 4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společnost zapsaná v obchodním rejstříku vedeném Městským soudem v Praze, vložka B oddíl 19128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zastoupená: Ing. Petrem Vlčkem, jediným členem představenstva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IČO: 01691988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DIČ: CZ01691988</w:t>
      </w:r>
    </w:p>
    <w:p w:rsidR="000D68F1" w:rsidRPr="000D68F1" w:rsidRDefault="000D68F1" w:rsidP="000D68F1">
      <w:pPr>
        <w:pStyle w:val="Smluvnstrana"/>
        <w:spacing w:after="0"/>
        <w:rPr>
          <w:rFonts w:ascii="Times New Roman" w:hAnsi="Times New Roman"/>
          <w:b w:val="0"/>
          <w:sz w:val="22"/>
          <w:szCs w:val="22"/>
        </w:rPr>
      </w:pPr>
      <w:r w:rsidRPr="000D68F1">
        <w:rPr>
          <w:rFonts w:ascii="Times New Roman" w:hAnsi="Times New Roman"/>
          <w:b w:val="0"/>
          <w:sz w:val="22"/>
          <w:szCs w:val="22"/>
        </w:rPr>
        <w:t>bankovní spojení: Komerční banka a.s., 107-4814600257/0100</w:t>
      </w:r>
    </w:p>
    <w:p w:rsidR="000D68F1" w:rsidRPr="000D68F1" w:rsidRDefault="000D68F1" w:rsidP="000D68F1">
      <w:pPr>
        <w:pStyle w:val="Smluvnstrana"/>
        <w:widowControl w:val="0"/>
        <w:spacing w:after="48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 xml:space="preserve"> („</w:t>
      </w:r>
      <w:r w:rsidRPr="000D68F1">
        <w:rPr>
          <w:rFonts w:ascii="Times New Roman" w:hAnsi="Times New Roman"/>
          <w:bCs/>
          <w:sz w:val="22"/>
          <w:szCs w:val="22"/>
        </w:rPr>
        <w:t>Dodavatel</w:t>
      </w:r>
      <w:r w:rsidRPr="000D68F1">
        <w:rPr>
          <w:rFonts w:ascii="Times New Roman" w:hAnsi="Times New Roman"/>
          <w:b w:val="0"/>
          <w:bCs/>
          <w:sz w:val="22"/>
          <w:szCs w:val="22"/>
        </w:rPr>
        <w:t xml:space="preserve">“) </w:t>
      </w:r>
    </w:p>
    <w:p w:rsidR="000D68F1" w:rsidRPr="000D68F1" w:rsidRDefault="000D68F1" w:rsidP="00094AD4">
      <w:pPr>
        <w:pStyle w:val="Smluvnstrana"/>
        <w:widowControl w:val="0"/>
        <w:spacing w:after="60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0D68F1">
        <w:rPr>
          <w:rFonts w:ascii="Times New Roman" w:hAnsi="Times New Roman"/>
          <w:b w:val="0"/>
          <w:bCs/>
          <w:sz w:val="22"/>
          <w:szCs w:val="22"/>
        </w:rPr>
        <w:t>(dále společně jen „</w:t>
      </w:r>
      <w:r w:rsidRPr="000D68F1">
        <w:rPr>
          <w:rFonts w:ascii="Times New Roman" w:hAnsi="Times New Roman"/>
          <w:bCs/>
          <w:sz w:val="22"/>
          <w:szCs w:val="22"/>
        </w:rPr>
        <w:t>S</w:t>
      </w:r>
      <w:r w:rsidRPr="000D68F1">
        <w:rPr>
          <w:rFonts w:ascii="Times New Roman" w:hAnsi="Times New Roman"/>
          <w:sz w:val="22"/>
        </w:rPr>
        <w:t>mluvní strany</w:t>
      </w:r>
      <w:r w:rsidRPr="000D68F1">
        <w:rPr>
          <w:rFonts w:ascii="Times New Roman" w:hAnsi="Times New Roman"/>
          <w:b w:val="0"/>
          <w:bCs/>
          <w:sz w:val="22"/>
          <w:szCs w:val="22"/>
        </w:rPr>
        <w:t>“)</w:t>
      </w:r>
    </w:p>
    <w:p w:rsidR="000D68F1" w:rsidRPr="003773CE" w:rsidRDefault="000D68F1" w:rsidP="000D68F1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  <w:sz w:val="24"/>
          <w:szCs w:val="24"/>
        </w:rPr>
      </w:pPr>
      <w:bookmarkStart w:id="0" w:name="_Ref489624313"/>
      <w:r w:rsidRPr="003773CE">
        <w:rPr>
          <w:b/>
          <w:sz w:val="24"/>
          <w:szCs w:val="24"/>
        </w:rPr>
        <w:t>Úvodní ustanovení</w:t>
      </w:r>
      <w:bookmarkEnd w:id="0"/>
    </w:p>
    <w:p w:rsidR="00187028" w:rsidRDefault="00DD2F84" w:rsidP="00DD2F84">
      <w:pPr>
        <w:pStyle w:val="Odstavecseseznamem"/>
        <w:numPr>
          <w:ilvl w:val="1"/>
          <w:numId w:val="1"/>
        </w:numPr>
        <w:spacing w:after="120"/>
        <w:contextualSpacing w:val="0"/>
        <w:rPr>
          <w:rFonts w:cs="Times New Roman"/>
        </w:rPr>
      </w:pPr>
      <w:r w:rsidRPr="00DD2F84">
        <w:rPr>
          <w:rFonts w:cs="Times New Roman"/>
        </w:rPr>
        <w:t>Smluvní strany uzavřely</w:t>
      </w:r>
      <w:r w:rsidR="00D5263A" w:rsidRPr="00DD2F84">
        <w:rPr>
          <w:rFonts w:cs="Times New Roman"/>
        </w:rPr>
        <w:t xml:space="preserve"> dne 9. 8. 2023</w:t>
      </w:r>
      <w:r w:rsidRPr="00DD2F84">
        <w:rPr>
          <w:rFonts w:cs="Times New Roman"/>
        </w:rPr>
        <w:t xml:space="preserve"> na základě proběhnuvšího zadávacího řízení s názvem Výměna zvukového a hlasovacího řetězce audiovizuálního systému v jednacím sále zastupitelstva (č. zakázky Z2023-020712) </w:t>
      </w:r>
      <w:r w:rsidR="00F80344">
        <w:rPr>
          <w:rFonts w:cs="Times New Roman"/>
        </w:rPr>
        <w:t>– dále jen „</w:t>
      </w:r>
      <w:r w:rsidR="00F80344" w:rsidRPr="00F80344">
        <w:rPr>
          <w:rFonts w:cs="Times New Roman"/>
          <w:b/>
        </w:rPr>
        <w:t>Veřejná zakázka</w:t>
      </w:r>
      <w:r w:rsidR="00F80344">
        <w:rPr>
          <w:rFonts w:cs="Times New Roman"/>
        </w:rPr>
        <w:t xml:space="preserve">“ - </w:t>
      </w:r>
      <w:r w:rsidRPr="00DD2F84">
        <w:rPr>
          <w:rFonts w:cs="Times New Roman"/>
        </w:rPr>
        <w:t>smlouvu na dodání a instalaci nového zvukového a hlasovacího řetězce audiovizuálního systému a zajištění jeho servisu</w:t>
      </w:r>
      <w:r>
        <w:rPr>
          <w:rFonts w:cs="Times New Roman"/>
        </w:rPr>
        <w:t xml:space="preserve"> (dále jen „</w:t>
      </w:r>
      <w:r w:rsidRPr="002754BE">
        <w:rPr>
          <w:rFonts w:cs="Times New Roman"/>
          <w:b/>
        </w:rPr>
        <w:t>Smlouva</w:t>
      </w:r>
      <w:r>
        <w:rPr>
          <w:rFonts w:cs="Times New Roman"/>
        </w:rPr>
        <w:t>“).</w:t>
      </w:r>
    </w:p>
    <w:p w:rsidR="00DD2F84" w:rsidRDefault="00DD2F84" w:rsidP="00094AD4">
      <w:pPr>
        <w:pStyle w:val="Odstavecseseznamem"/>
        <w:numPr>
          <w:ilvl w:val="1"/>
          <w:numId w:val="1"/>
        </w:numPr>
        <w:spacing w:after="360"/>
        <w:contextualSpacing w:val="0"/>
        <w:rPr>
          <w:rFonts w:cs="Times New Roman"/>
        </w:rPr>
      </w:pPr>
      <w:r>
        <w:rPr>
          <w:rFonts w:cs="Times New Roman"/>
        </w:rPr>
        <w:t xml:space="preserve">Vzhledem k tomu, že bylo v průběhu plnění Smlouvy zjištěno, že je nezbytné </w:t>
      </w:r>
      <w:r w:rsidR="00706B24">
        <w:rPr>
          <w:rFonts w:cs="Times New Roman"/>
        </w:rPr>
        <w:t xml:space="preserve">dodat ještě doplňující technické zařízení, které umožní </w:t>
      </w:r>
      <w:r w:rsidR="0066196F">
        <w:rPr>
          <w:rFonts w:cs="Times New Roman"/>
        </w:rPr>
        <w:t xml:space="preserve">samostatné nastavení </w:t>
      </w:r>
      <w:r w:rsidR="00706B24">
        <w:rPr>
          <w:rFonts w:cs="Times New Roman"/>
        </w:rPr>
        <w:t>zvukové produkce</w:t>
      </w:r>
      <w:r w:rsidR="00D56246" w:rsidRPr="00D56246">
        <w:rPr>
          <w:rFonts w:cs="Times New Roman"/>
        </w:rPr>
        <w:t xml:space="preserve"> </w:t>
      </w:r>
      <w:r w:rsidR="00D56246">
        <w:rPr>
          <w:rFonts w:cs="Times New Roman"/>
        </w:rPr>
        <w:t xml:space="preserve">(tj. nastavení zvuku nezávisle na nastavení zvuku v sále Zastupitelstva </w:t>
      </w:r>
      <w:r w:rsidR="00C6509E">
        <w:rPr>
          <w:rFonts w:cs="Times New Roman"/>
        </w:rPr>
        <w:t>hl. m. Prahy</w:t>
      </w:r>
      <w:r w:rsidR="00D56246">
        <w:rPr>
          <w:rFonts w:cs="Times New Roman"/>
        </w:rPr>
        <w:t>)</w:t>
      </w:r>
      <w:r w:rsidR="00706B24">
        <w:rPr>
          <w:rFonts w:cs="Times New Roman"/>
        </w:rPr>
        <w:t xml:space="preserve"> v místnosti určené pro novináře (místnost č. </w:t>
      </w:r>
      <w:r w:rsidR="00D56246">
        <w:rPr>
          <w:rFonts w:cs="Times New Roman"/>
        </w:rPr>
        <w:t>135</w:t>
      </w:r>
      <w:r w:rsidR="00706B24">
        <w:rPr>
          <w:rFonts w:cs="Times New Roman"/>
        </w:rPr>
        <w:t xml:space="preserve"> v budově Nové radnice) a v místnosti </w:t>
      </w:r>
      <w:r w:rsidR="00D56246">
        <w:rPr>
          <w:rFonts w:cs="Times New Roman"/>
        </w:rPr>
        <w:t>jídelny (místnost č. 136 v budově Nové radnice)</w:t>
      </w:r>
      <w:r w:rsidR="00C06A52">
        <w:rPr>
          <w:rFonts w:cs="Times New Roman"/>
        </w:rPr>
        <w:t>,</w:t>
      </w:r>
      <w:r w:rsidR="00D56246">
        <w:rPr>
          <w:rFonts w:cs="Times New Roman"/>
        </w:rPr>
        <w:t xml:space="preserve"> </w:t>
      </w:r>
      <w:r w:rsidR="00706B24">
        <w:rPr>
          <w:rFonts w:cs="Times New Roman"/>
        </w:rPr>
        <w:t xml:space="preserve">dohodly se Smluvní strany na uzavření tohoto dodatku č. 1 ke Smlouvě. Tento dodatek č. 1 Smlouvy je uzavírán dle </w:t>
      </w:r>
      <w:proofErr w:type="spellStart"/>
      <w:r w:rsidR="00706B24">
        <w:rPr>
          <w:rFonts w:cs="Times New Roman"/>
        </w:rPr>
        <w:t>ust</w:t>
      </w:r>
      <w:proofErr w:type="spellEnd"/>
      <w:r w:rsidR="00706B24">
        <w:rPr>
          <w:rFonts w:cs="Times New Roman"/>
        </w:rPr>
        <w:t>. § 222 odst. 4 ZZVZ.</w:t>
      </w:r>
    </w:p>
    <w:p w:rsidR="00F80344" w:rsidRDefault="00F80344" w:rsidP="00A73F5F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  <w:sz w:val="24"/>
          <w:szCs w:val="24"/>
        </w:rPr>
      </w:pPr>
      <w:r w:rsidRPr="00F80344">
        <w:rPr>
          <w:b/>
          <w:sz w:val="24"/>
          <w:szCs w:val="24"/>
        </w:rPr>
        <w:lastRenderedPageBreak/>
        <w:t>Předmět smlouvy</w:t>
      </w:r>
    </w:p>
    <w:p w:rsidR="009B10CC" w:rsidRDefault="00F80344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 w:rsidRPr="00F80344">
        <w:t xml:space="preserve">Dodavatel se zavazuje dodat, nainstalovat a zprovoznit nejpozději do </w:t>
      </w:r>
      <w:r>
        <w:t xml:space="preserve">lhůty ke splnění předmětu Veřejné zakázky uvedené ve Smlouvě zařízení uvedené v příloze č. 1 tohoto dodatku </w:t>
      </w:r>
      <w:r w:rsidR="00C6509E">
        <w:t xml:space="preserve">č. 1 </w:t>
      </w:r>
      <w:r>
        <w:t>ke Smlouvě</w:t>
      </w:r>
      <w:r w:rsidR="005C3D78">
        <w:t xml:space="preserve"> (dále jen „</w:t>
      </w:r>
      <w:r w:rsidR="005C3D78" w:rsidRPr="00C06A52">
        <w:rPr>
          <w:b/>
        </w:rPr>
        <w:t>Dodatečné zařízení</w:t>
      </w:r>
      <w:r w:rsidR="005C3D78">
        <w:t>“)</w:t>
      </w:r>
      <w:r>
        <w:t>.</w:t>
      </w:r>
    </w:p>
    <w:p w:rsidR="00A73F5F" w:rsidRDefault="00726229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>Bude-li Dodatečné zařízení dodáno, nainstalováno a zprovozněno v souladu se Smlouvou</w:t>
      </w:r>
      <w:r w:rsidR="00C6509E">
        <w:t xml:space="preserve"> a tímto dodatkem</w:t>
      </w:r>
      <w:r>
        <w:t xml:space="preserve">, zavazuje se Objednatel toto Dodatečné zařízení převzít a zaplatit za něj </w:t>
      </w:r>
      <w:r w:rsidR="00A73F5F">
        <w:t>Dodavateli smluvenou cenu.</w:t>
      </w:r>
    </w:p>
    <w:p w:rsidR="00884AC8" w:rsidRDefault="00884AC8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 xml:space="preserve">Dodavatel je povinen poskytnout Dodatečné zařízení v takovém rozsahu, v jakém poskytuje předmět plnění dle čl. II. odst. 2 Smlouvy, tj. zejména </w:t>
      </w:r>
      <w:r w:rsidR="00C6509E">
        <w:t>je povinen</w:t>
      </w:r>
      <w:r>
        <w:t xml:space="preserve"> poskytnout oprávnění užít případný proprietární software Dodatečného zařízení, </w:t>
      </w:r>
      <w:r w:rsidR="00C6509E">
        <w:t>povinen poskytnout</w:t>
      </w:r>
      <w:r>
        <w:t xml:space="preserve"> oprávnění užít veškerou dokumentaci k Dodatečnému zařízení, zaškolit obslužný personál Objednatele apod.</w:t>
      </w:r>
    </w:p>
    <w:p w:rsidR="00884AC8" w:rsidRDefault="00884AC8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>Dodavatel je povinen poskytnout záruku na Dodatečné zařízení po dobu pěti (5) let od akceptace předmětu plnění uvedeného ve Smlouvě a dále poskytnout servisní služby</w:t>
      </w:r>
      <w:r w:rsidR="00993F94">
        <w:t xml:space="preserve"> pro Dodatečné zařízení ve stejném rozsahu jako </w:t>
      </w:r>
      <w:r w:rsidR="00C6509E">
        <w:t xml:space="preserve">je </w:t>
      </w:r>
      <w:r w:rsidR="00BA109D">
        <w:t xml:space="preserve">poskytuje </w:t>
      </w:r>
      <w:r w:rsidR="00993F94">
        <w:t>pro předmět plnění dle Smlouvy.</w:t>
      </w:r>
    </w:p>
    <w:p w:rsidR="00253285" w:rsidRDefault="00253285" w:rsidP="00094AD4">
      <w:pPr>
        <w:pStyle w:val="Odstavecseseznamem"/>
        <w:numPr>
          <w:ilvl w:val="1"/>
          <w:numId w:val="1"/>
        </w:numPr>
        <w:spacing w:after="360"/>
        <w:contextualSpacing w:val="0"/>
      </w:pPr>
      <w:r>
        <w:t xml:space="preserve">Dodatečné zařízení musí </w:t>
      </w:r>
      <w:r w:rsidRPr="00AA533F">
        <w:rPr>
          <w:bCs/>
          <w:iCs/>
        </w:rPr>
        <w:t>být nové, nep</w:t>
      </w:r>
      <w:r>
        <w:rPr>
          <w:bCs/>
          <w:iCs/>
        </w:rPr>
        <w:t>oužité, nerepasované a určené k </w:t>
      </w:r>
      <w:r w:rsidRPr="00AA533F">
        <w:rPr>
          <w:bCs/>
          <w:iCs/>
        </w:rPr>
        <w:t>prodeji na území států EU.</w:t>
      </w:r>
    </w:p>
    <w:p w:rsidR="000A5DF7" w:rsidRDefault="000A5DF7" w:rsidP="00A73F5F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plnění</w:t>
      </w:r>
    </w:p>
    <w:p w:rsidR="000A5DF7" w:rsidRPr="000C5980" w:rsidRDefault="000A5DF7" w:rsidP="000A5DF7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9E191A">
        <w:t xml:space="preserve">Cena za plnění dle tohoto dodatku č. 1 ke Smlouvě činí 124.530,- Kč </w:t>
      </w:r>
      <w:r w:rsidR="009E191A" w:rsidRPr="009E191A">
        <w:t xml:space="preserve">bez DPH </w:t>
      </w:r>
      <w:r w:rsidRPr="009E191A">
        <w:t>(slovy: sto-dvacet-čtyři-tisíc-pět-set-třicet korun českých</w:t>
      </w:r>
      <w:r w:rsidR="009E191A">
        <w:t>)</w:t>
      </w:r>
      <w:r w:rsidRPr="009E191A">
        <w:t>, tj. 150.681,30</w:t>
      </w:r>
      <w:r w:rsidR="009E191A" w:rsidRPr="009E191A">
        <w:t xml:space="preserve"> vč. DPH (slovy: sto-padesát-tisíc-šest-set-osmdesát-jedna korun českých a třicet haléřů).</w:t>
      </w:r>
      <w:r w:rsidR="009E191A">
        <w:t xml:space="preserve"> Podrobný rozpis smluvené ceny je uveden v příloze č. 1 tohoto dodatku ke Smlouvě.</w:t>
      </w:r>
    </w:p>
    <w:p w:rsidR="000C5980" w:rsidRPr="000C5980" w:rsidRDefault="000C5980" w:rsidP="000A5DF7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>
        <w:t>Cena za servisní služby uvedené ve Smlouvě se nemění.</w:t>
      </w:r>
    </w:p>
    <w:p w:rsidR="000C5980" w:rsidRPr="009E191A" w:rsidRDefault="000C5980" w:rsidP="00094AD4">
      <w:pPr>
        <w:pStyle w:val="Odstavecseseznamem"/>
        <w:numPr>
          <w:ilvl w:val="1"/>
          <w:numId w:val="1"/>
        </w:numPr>
        <w:spacing w:after="360"/>
        <w:contextualSpacing w:val="0"/>
        <w:rPr>
          <w:sz w:val="24"/>
          <w:szCs w:val="24"/>
        </w:rPr>
      </w:pPr>
      <w:r>
        <w:t>Vystavení faktury za Dodatečné zařízení, podmínky fakturace a platební podmínky se řídí pravidly stanovenými ve Smlouvě.</w:t>
      </w:r>
    </w:p>
    <w:p w:rsidR="00F80344" w:rsidRPr="00A73F5F" w:rsidRDefault="00A73F5F" w:rsidP="00A73F5F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  <w:sz w:val="24"/>
          <w:szCs w:val="24"/>
        </w:rPr>
      </w:pPr>
      <w:r w:rsidRPr="00A73F5F">
        <w:rPr>
          <w:b/>
          <w:sz w:val="24"/>
          <w:szCs w:val="24"/>
        </w:rPr>
        <w:t>Práva a povinnosti Smluvních stran</w:t>
      </w:r>
    </w:p>
    <w:p w:rsidR="00F80344" w:rsidRDefault="00C06A52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 xml:space="preserve">Dodavatel se zavazuje postupovat tak, aby </w:t>
      </w:r>
      <w:r w:rsidR="0045478E">
        <w:t>byly v nejvyšší možné míře minimalizovány zásahy do prostor, kde bude Dodatečné zařízení instalováno.</w:t>
      </w:r>
    </w:p>
    <w:p w:rsidR="0045478E" w:rsidRDefault="0045478E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>Dodavatel je povinen postupovat tak, aby nebylo nijak narušeno</w:t>
      </w:r>
      <w:r w:rsidR="00726229">
        <w:t xml:space="preserve"> zasedání Zastupitelstva hl. m. Prahy. Dodavatel bere přitom na vědomí, že jak místnost jídelny, tak místnost určená pro novináře, jsou Objednatelem považovány za součást prostor nezbytných </w:t>
      </w:r>
      <w:r w:rsidR="00C6509E">
        <w:t>ke konání</w:t>
      </w:r>
      <w:r w:rsidR="00726229">
        <w:t xml:space="preserve"> zasedání Zastupitelstva hl. m. Prahy.</w:t>
      </w:r>
    </w:p>
    <w:p w:rsidR="00DD2BAE" w:rsidRDefault="00DD2BAE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 xml:space="preserve">Smluvní strany se dohodly, že součástí akceptace Zvukového a hlasovacího řetězce dle čl. VIII. Smlouvy bude taktéž akceptace Dodatečného zařízení. </w:t>
      </w:r>
      <w:r w:rsidR="00226A75">
        <w:t xml:space="preserve">Dodavatel je povinen zejm. prokázat funkčnost a adekvátní nastavení Dodatečného zařízení (tj. možnost samostatného nastavení zvuku v místnosti jídelny a místnosti určené pro novináře), jeho kompatibilitu s ostatními technickými zařízeními používanými při zasedání Zastupitelstva hl. m. Prahy apod. </w:t>
      </w:r>
      <w:r w:rsidR="000A5DF7">
        <w:t>Objednatel je oprávněn odepřít akceptaci plnění dle Smlouvy, nebude-li Dodatečné zařízení splňovat akceptační kritéria.</w:t>
      </w:r>
    </w:p>
    <w:p w:rsidR="00A51F09" w:rsidRDefault="00A51F09" w:rsidP="00F80344">
      <w:pPr>
        <w:pStyle w:val="Odstavecseseznamem"/>
        <w:numPr>
          <w:ilvl w:val="1"/>
          <w:numId w:val="1"/>
        </w:numPr>
        <w:spacing w:after="120"/>
        <w:contextualSpacing w:val="0"/>
      </w:pPr>
      <w:r>
        <w:t xml:space="preserve">Smluvní strany se </w:t>
      </w:r>
      <w:r w:rsidR="00436FBC">
        <w:t>dohodly, že ustanovení Smlouvy o smluvních pokutách se rozšiřují i na plnění Dodatečného zařízení.</w:t>
      </w:r>
    </w:p>
    <w:p w:rsidR="00436FBC" w:rsidRDefault="00BA109D" w:rsidP="00094AD4">
      <w:pPr>
        <w:pStyle w:val="Odstavecseseznamem"/>
        <w:numPr>
          <w:ilvl w:val="1"/>
          <w:numId w:val="1"/>
        </w:numPr>
        <w:spacing w:after="360"/>
        <w:contextualSpacing w:val="0"/>
      </w:pPr>
      <w:r>
        <w:t>Smluvní strany</w:t>
      </w:r>
      <w:r w:rsidR="00226A75">
        <w:t xml:space="preserve"> se dohodly</w:t>
      </w:r>
      <w:r>
        <w:t xml:space="preserve">, že </w:t>
      </w:r>
      <w:r w:rsidR="00DD2BAE">
        <w:t xml:space="preserve">pro plnění dle </w:t>
      </w:r>
      <w:r>
        <w:t>tohoto dodatku č. 1 Smlouvy platí všechna práva a povinnosti Smluvních stran, kter</w:t>
      </w:r>
      <w:r w:rsidR="00DD2BAE">
        <w:t>é</w:t>
      </w:r>
      <w:r>
        <w:t xml:space="preserve"> jsou uvedeny ve Smlouvě</w:t>
      </w:r>
      <w:r w:rsidR="000C6BA7">
        <w:t xml:space="preserve"> (zejm. ustanovení týkající se záruky a odpovědnosti za vady, licenční ujednání,</w:t>
      </w:r>
      <w:r w:rsidR="00436FBC">
        <w:t xml:space="preserve"> odstoupení od smlouvy</w:t>
      </w:r>
      <w:r w:rsidR="00B6540D">
        <w:t>)</w:t>
      </w:r>
      <w:r w:rsidR="00436FBC">
        <w:t>.</w:t>
      </w:r>
    </w:p>
    <w:p w:rsidR="00BA109D" w:rsidRDefault="00436FBC" w:rsidP="00436FBC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  <w:sz w:val="24"/>
          <w:szCs w:val="24"/>
        </w:rPr>
      </w:pPr>
      <w:r w:rsidRPr="00436FBC">
        <w:rPr>
          <w:b/>
          <w:sz w:val="24"/>
          <w:szCs w:val="24"/>
        </w:rPr>
        <w:lastRenderedPageBreak/>
        <w:t>Závěrečná ustanovení</w:t>
      </w:r>
    </w:p>
    <w:p w:rsidR="00436FBC" w:rsidRPr="00436FBC" w:rsidRDefault="00436FBC" w:rsidP="00436FBC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436FBC">
        <w:t>Tento dodatek č. 1 ke Smlouvě nabývá účinnosti</w:t>
      </w:r>
      <w:r>
        <w:t xml:space="preserve"> dnem </w:t>
      </w:r>
      <w:r w:rsidR="007D3C8B">
        <w:t xml:space="preserve">jeho </w:t>
      </w:r>
      <w:r>
        <w:t>uveřejnění v registru smluv.</w:t>
      </w:r>
    </w:p>
    <w:p w:rsidR="00436FBC" w:rsidRPr="00436FBC" w:rsidRDefault="00436FBC" w:rsidP="00436FBC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>
        <w:t>Nedílnou součástí t</w:t>
      </w:r>
      <w:r w:rsidR="007D3C8B">
        <w:t>ohoto dodatku ke Smlouvě je jeho</w:t>
      </w:r>
      <w:r>
        <w:t xml:space="preserve"> příloha č. 1 – předmět plnění a cena plnění.</w:t>
      </w:r>
    </w:p>
    <w:p w:rsidR="00436FBC" w:rsidRPr="00094AD4" w:rsidRDefault="00436FBC" w:rsidP="00436FBC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4E5D29">
        <w:t xml:space="preserve">Smluvní strany prohlašují, že si </w:t>
      </w:r>
      <w:r w:rsidR="00842217">
        <w:t>tento dodatek ke Smlouvě</w:t>
      </w:r>
      <w:r w:rsidRPr="004E5D29">
        <w:t xml:space="preserve"> před je</w:t>
      </w:r>
      <w:r w:rsidR="00842217">
        <w:t>ho</w:t>
      </w:r>
      <w:r w:rsidR="00E06975">
        <w:t xml:space="preserve"> podpisem přečetly, jeho obsahu porozuměly, že byl uzavřen</w:t>
      </w:r>
      <w:r w:rsidRPr="004E5D29">
        <w:t xml:space="preserve"> po vzájemném projednání, že jim nejsou známy žádné důvody, pro které by </w:t>
      </w:r>
      <w:r w:rsidR="007D3C8B">
        <w:t>dodatek nemohl</w:t>
      </w:r>
      <w:r w:rsidRPr="004E5D29">
        <w:t xml:space="preserve"> být řádně plněn, nebo které by způsobovaly neplatnost </w:t>
      </w:r>
      <w:r w:rsidR="007D3C8B">
        <w:t>dodatku</w:t>
      </w:r>
      <w:r w:rsidRPr="004E5D29">
        <w:t xml:space="preserve"> a že se nepříčí dobrým mravům a neodporuje zákonu. Na důkaz toho připojují vlastnoruční podpisy.</w:t>
      </w:r>
    </w:p>
    <w:p w:rsidR="00094AD4" w:rsidRDefault="00094AD4" w:rsidP="00094AD4">
      <w:pPr>
        <w:spacing w:after="12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29"/>
      </w:tblGrid>
      <w:tr w:rsidR="00094AD4" w:rsidRPr="00680C4F" w:rsidTr="007E2DE5">
        <w:tc>
          <w:tcPr>
            <w:tcW w:w="4541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  <w:snapToGrid w:val="0"/>
              </w:rPr>
            </w:pPr>
          </w:p>
          <w:p w:rsidR="00094AD4" w:rsidRPr="00094AD4" w:rsidRDefault="00094AD4" w:rsidP="00763D88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</w:rPr>
            </w:pPr>
            <w:r w:rsidRPr="00094AD4">
              <w:rPr>
                <w:rFonts w:cs="Times New Roman"/>
                <w:snapToGrid w:val="0"/>
              </w:rPr>
              <w:t>V </w:t>
            </w:r>
            <w:r w:rsidRPr="00094AD4">
              <w:rPr>
                <w:rFonts w:cs="Times New Roman"/>
              </w:rPr>
              <w:t xml:space="preserve">Praze </w:t>
            </w:r>
            <w:r w:rsidRPr="00094AD4">
              <w:rPr>
                <w:rFonts w:cs="Times New Roman"/>
                <w:snapToGrid w:val="0"/>
              </w:rPr>
              <w:t xml:space="preserve">dne </w:t>
            </w:r>
            <w:r w:rsidR="00763D88">
              <w:rPr>
                <w:rFonts w:cs="Times New Roman"/>
                <w:b/>
              </w:rPr>
              <w:t>20. 2. 2024</w:t>
            </w:r>
            <w:bookmarkStart w:id="1" w:name="_GoBack"/>
            <w:bookmarkEnd w:id="1"/>
          </w:p>
        </w:tc>
        <w:tc>
          <w:tcPr>
            <w:tcW w:w="4529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  <w:snapToGrid w:val="0"/>
              </w:rPr>
            </w:pPr>
          </w:p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</w:rPr>
            </w:pPr>
            <w:r w:rsidRPr="00094AD4">
              <w:rPr>
                <w:rFonts w:cs="Times New Roman"/>
                <w:snapToGrid w:val="0"/>
              </w:rPr>
              <w:t>V </w:t>
            </w:r>
            <w:r w:rsidRPr="00094AD4">
              <w:rPr>
                <w:rFonts w:cs="Times New Roman"/>
              </w:rPr>
              <w:t>________</w:t>
            </w:r>
            <w:r w:rsidRPr="00094AD4">
              <w:rPr>
                <w:rFonts w:cs="Times New Roman"/>
                <w:b/>
              </w:rPr>
              <w:t xml:space="preserve"> </w:t>
            </w:r>
            <w:r w:rsidRPr="00094AD4">
              <w:rPr>
                <w:rFonts w:cs="Times New Roman"/>
                <w:snapToGrid w:val="0"/>
              </w:rPr>
              <w:t xml:space="preserve">dne </w:t>
            </w:r>
            <w:r w:rsidRPr="00094AD4">
              <w:rPr>
                <w:rFonts w:cs="Times New Roman"/>
                <w:b/>
              </w:rPr>
              <w:t>___________</w:t>
            </w:r>
          </w:p>
        </w:tc>
      </w:tr>
      <w:tr w:rsidR="00094AD4" w:rsidRPr="00680C4F" w:rsidTr="007E2DE5">
        <w:tc>
          <w:tcPr>
            <w:tcW w:w="4541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Style w:val="platne1"/>
                <w:rFonts w:cs="Times New Roman"/>
                <w:b/>
              </w:rPr>
            </w:pPr>
          </w:p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</w:rPr>
            </w:pPr>
            <w:r w:rsidRPr="00094AD4">
              <w:rPr>
                <w:rStyle w:val="platne1"/>
                <w:rFonts w:cs="Times New Roman"/>
                <w:b/>
              </w:rPr>
              <w:t>Objednatel:</w:t>
            </w:r>
          </w:p>
        </w:tc>
        <w:tc>
          <w:tcPr>
            <w:tcW w:w="4529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  <w:b/>
              </w:rPr>
            </w:pPr>
          </w:p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  <w:b/>
              </w:rPr>
            </w:pPr>
            <w:r w:rsidRPr="00094AD4">
              <w:rPr>
                <w:rFonts w:cs="Times New Roman"/>
                <w:b/>
              </w:rPr>
              <w:t>Dodavatel:</w:t>
            </w:r>
          </w:p>
        </w:tc>
      </w:tr>
      <w:tr w:rsidR="00094AD4" w:rsidRPr="00680C4F" w:rsidTr="007E2DE5">
        <w:tc>
          <w:tcPr>
            <w:tcW w:w="4541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</w:rPr>
            </w:pPr>
            <w:r w:rsidRPr="00094AD4">
              <w:rPr>
                <w:rStyle w:val="platne1"/>
                <w:rFonts w:cs="Times New Roman"/>
                <w:b/>
              </w:rPr>
              <w:t>Hlavní město Praha</w:t>
            </w:r>
          </w:p>
        </w:tc>
        <w:tc>
          <w:tcPr>
            <w:tcW w:w="4529" w:type="dxa"/>
          </w:tcPr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  <w:b/>
              </w:rPr>
            </w:pPr>
            <w:r w:rsidRPr="00094AD4">
              <w:rPr>
                <w:rFonts w:cs="Times New Roman"/>
                <w:b/>
              </w:rPr>
              <w:t>AVT Group a.s.</w:t>
            </w:r>
          </w:p>
        </w:tc>
      </w:tr>
      <w:tr w:rsidR="00094AD4" w:rsidTr="007E2DE5">
        <w:tc>
          <w:tcPr>
            <w:tcW w:w="4541" w:type="dxa"/>
          </w:tcPr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spacing w:before="360"/>
              <w:rPr>
                <w:rFonts w:ascii="Times New Roman" w:hAnsi="Times New Roman" w:cs="Times New Roman"/>
              </w:rPr>
            </w:pPr>
          </w:p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spacing w:before="360"/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_______________________</w:t>
            </w:r>
          </w:p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Jméno: Ing. David Lísal, MBA</w:t>
            </w:r>
          </w:p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Style w:val="platne1"/>
                <w:rFonts w:cs="Times New Roman"/>
                <w:b/>
              </w:rPr>
            </w:pPr>
            <w:r w:rsidRPr="00094AD4">
              <w:rPr>
                <w:rFonts w:cs="Times New Roman"/>
              </w:rPr>
              <w:t>Funkce: ředitel OVO MHMP</w:t>
            </w:r>
          </w:p>
        </w:tc>
        <w:tc>
          <w:tcPr>
            <w:tcW w:w="4529" w:type="dxa"/>
          </w:tcPr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spacing w:before="360"/>
              <w:rPr>
                <w:rFonts w:ascii="Times New Roman" w:hAnsi="Times New Roman" w:cs="Times New Roman"/>
              </w:rPr>
            </w:pPr>
          </w:p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spacing w:before="360"/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___________________</w:t>
            </w:r>
          </w:p>
          <w:p w:rsidR="00094AD4" w:rsidRPr="00094AD4" w:rsidRDefault="00094AD4" w:rsidP="007E2DE5">
            <w:pPr>
              <w:widowControl w:val="0"/>
              <w:tabs>
                <w:tab w:val="left" w:pos="4536"/>
                <w:tab w:val="left" w:pos="5040"/>
              </w:tabs>
              <w:rPr>
                <w:rFonts w:ascii="Times New Roman" w:hAnsi="Times New Roman" w:cs="Times New Roman"/>
              </w:rPr>
            </w:pPr>
            <w:r w:rsidRPr="00094AD4">
              <w:rPr>
                <w:rFonts w:ascii="Times New Roman" w:hAnsi="Times New Roman" w:cs="Times New Roman"/>
              </w:rPr>
              <w:t>Jméno:  Ing. Petr Vlček</w:t>
            </w:r>
          </w:p>
          <w:p w:rsidR="00094AD4" w:rsidRPr="00094AD4" w:rsidRDefault="00094AD4" w:rsidP="007E2DE5">
            <w:pPr>
              <w:pStyle w:val="Odstavecseseznamem"/>
              <w:spacing w:after="120"/>
              <w:ind w:left="0"/>
              <w:contextualSpacing w:val="0"/>
              <w:rPr>
                <w:rFonts w:cs="Times New Roman"/>
              </w:rPr>
            </w:pPr>
            <w:r w:rsidRPr="00094AD4">
              <w:rPr>
                <w:rFonts w:cs="Times New Roman"/>
              </w:rPr>
              <w:t xml:space="preserve">Funkce: jediný člen představenstva </w:t>
            </w:r>
          </w:p>
        </w:tc>
      </w:tr>
    </w:tbl>
    <w:p w:rsidR="00094AD4" w:rsidRPr="00094AD4" w:rsidRDefault="00094AD4" w:rsidP="00094AD4">
      <w:pPr>
        <w:spacing w:after="120"/>
        <w:rPr>
          <w:sz w:val="24"/>
          <w:szCs w:val="24"/>
        </w:rPr>
      </w:pPr>
    </w:p>
    <w:p w:rsidR="00F80344" w:rsidRPr="00C06A52" w:rsidRDefault="00F80344" w:rsidP="00F80344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06A52">
        <w:rPr>
          <w:rFonts w:ascii="Times New Roman" w:hAnsi="Times New Roman" w:cs="Times New Roman"/>
          <w:b/>
          <w:sz w:val="24"/>
          <w:szCs w:val="24"/>
        </w:rPr>
        <w:t xml:space="preserve">Příloha č. 1 dodatku ke </w:t>
      </w:r>
      <w:r w:rsidR="005C3D78" w:rsidRPr="00C06A52">
        <w:rPr>
          <w:rFonts w:ascii="Times New Roman" w:hAnsi="Times New Roman" w:cs="Times New Roman"/>
          <w:b/>
          <w:sz w:val="24"/>
          <w:szCs w:val="24"/>
        </w:rPr>
        <w:t>Smlouvě – předmět plnění</w:t>
      </w:r>
      <w:r w:rsidR="000C6BA7">
        <w:rPr>
          <w:rFonts w:ascii="Times New Roman" w:hAnsi="Times New Roman" w:cs="Times New Roman"/>
          <w:b/>
          <w:sz w:val="24"/>
          <w:szCs w:val="24"/>
        </w:rPr>
        <w:t xml:space="preserve"> a cena plnění</w:t>
      </w:r>
    </w:p>
    <w:tbl>
      <w:tblPr>
        <w:tblStyle w:val="Mkatabulky"/>
        <w:tblW w:w="9389" w:type="dxa"/>
        <w:tblLook w:val="04A0" w:firstRow="1" w:lastRow="0" w:firstColumn="1" w:lastColumn="0" w:noHBand="0" w:noVBand="1"/>
      </w:tblPr>
      <w:tblGrid>
        <w:gridCol w:w="2243"/>
        <w:gridCol w:w="1060"/>
        <w:gridCol w:w="1293"/>
        <w:gridCol w:w="1290"/>
        <w:gridCol w:w="919"/>
        <w:gridCol w:w="1291"/>
        <w:gridCol w:w="1293"/>
      </w:tblGrid>
      <w:tr w:rsidR="00416614" w:rsidTr="00416614">
        <w:tc>
          <w:tcPr>
            <w:tcW w:w="2263" w:type="dxa"/>
            <w:vAlign w:val="center"/>
          </w:tcPr>
          <w:p w:rsidR="00416614" w:rsidRPr="00416614" w:rsidRDefault="00416614" w:rsidP="00416614">
            <w:pPr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Předmět</w:t>
            </w:r>
          </w:p>
        </w:tc>
        <w:tc>
          <w:tcPr>
            <w:tcW w:w="1023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množství</w:t>
            </w:r>
          </w:p>
        </w:tc>
        <w:tc>
          <w:tcPr>
            <w:tcW w:w="1294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jednotková cena bez DPH v Kč</w:t>
            </w:r>
          </w:p>
        </w:tc>
        <w:tc>
          <w:tcPr>
            <w:tcW w:w="1295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cena bez DPH v Kč</w:t>
            </w:r>
          </w:p>
        </w:tc>
        <w:tc>
          <w:tcPr>
            <w:tcW w:w="924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DPH %</w:t>
            </w:r>
          </w:p>
        </w:tc>
        <w:tc>
          <w:tcPr>
            <w:tcW w:w="1295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výpočet DPH v Kč</w:t>
            </w:r>
          </w:p>
        </w:tc>
        <w:tc>
          <w:tcPr>
            <w:tcW w:w="1295" w:type="dxa"/>
            <w:vAlign w:val="center"/>
          </w:tcPr>
          <w:p w:rsidR="00416614" w:rsidRPr="00416614" w:rsidRDefault="00416614" w:rsidP="00416614">
            <w:pPr>
              <w:jc w:val="center"/>
              <w:rPr>
                <w:rFonts w:ascii="Times New Roman" w:hAnsi="Times New Roman"/>
                <w:b/>
              </w:rPr>
            </w:pPr>
            <w:r w:rsidRPr="00416614">
              <w:rPr>
                <w:rFonts w:ascii="Times New Roman" w:hAnsi="Times New Roman"/>
                <w:b/>
              </w:rPr>
              <w:t>celkem Kč</w:t>
            </w:r>
          </w:p>
        </w:tc>
      </w:tr>
      <w:tr w:rsidR="00416614" w:rsidTr="00416614">
        <w:tc>
          <w:tcPr>
            <w:tcW w:w="2263" w:type="dxa"/>
            <w:vAlign w:val="center"/>
          </w:tcPr>
          <w:p w:rsidR="00416614" w:rsidRDefault="00416614" w:rsidP="00416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PLM-4P125: zesilovač 100 V zónový Bosch</w:t>
            </w:r>
          </w:p>
        </w:tc>
        <w:tc>
          <w:tcPr>
            <w:tcW w:w="1023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ks</w:t>
            </w:r>
          </w:p>
        </w:tc>
        <w:tc>
          <w:tcPr>
            <w:tcW w:w="129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69.000,-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69.000,-</w:t>
            </w:r>
          </w:p>
        </w:tc>
        <w:tc>
          <w:tcPr>
            <w:tcW w:w="92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21 %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14.490,-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 w:rsidRPr="00416614">
              <w:rPr>
                <w:rFonts w:ascii="Times New Roman" w:hAnsi="Times New Roman"/>
              </w:rPr>
              <w:t>83.490,-</w:t>
            </w:r>
          </w:p>
        </w:tc>
      </w:tr>
      <w:tr w:rsidR="00416614" w:rsidTr="00416614">
        <w:tc>
          <w:tcPr>
            <w:tcW w:w="2263" w:type="dxa"/>
            <w:vAlign w:val="center"/>
          </w:tcPr>
          <w:p w:rsidR="00416614" w:rsidRDefault="00416614" w:rsidP="00416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 výstupů do jádra mixážního systému </w:t>
            </w:r>
            <w:proofErr w:type="spellStart"/>
            <w:r>
              <w:rPr>
                <w:rFonts w:ascii="Times New Roman" w:hAnsi="Times New Roman"/>
              </w:rPr>
              <w:t>DiGiCo</w:t>
            </w:r>
            <w:proofErr w:type="spellEnd"/>
            <w:r>
              <w:rPr>
                <w:rFonts w:ascii="Times New Roman" w:hAnsi="Times New Roman"/>
              </w:rPr>
              <w:t xml:space="preserve"> Analog DAC</w:t>
            </w:r>
          </w:p>
        </w:tc>
        <w:tc>
          <w:tcPr>
            <w:tcW w:w="1023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ks</w:t>
            </w:r>
          </w:p>
        </w:tc>
        <w:tc>
          <w:tcPr>
            <w:tcW w:w="129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27.930,-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27.930,-</w:t>
            </w:r>
          </w:p>
        </w:tc>
        <w:tc>
          <w:tcPr>
            <w:tcW w:w="92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21 %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16614">
              <w:rPr>
                <w:rFonts w:ascii="Times New Roman" w:hAnsi="Times New Roman"/>
              </w:rPr>
              <w:t>865,30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 w:rsidRPr="00416614">
              <w:rPr>
                <w:rFonts w:ascii="Times New Roman" w:hAnsi="Times New Roman"/>
              </w:rPr>
              <w:t>33.795,30</w:t>
            </w:r>
          </w:p>
        </w:tc>
      </w:tr>
      <w:tr w:rsidR="00416614" w:rsidTr="00416614">
        <w:tc>
          <w:tcPr>
            <w:tcW w:w="2263" w:type="dxa"/>
            <w:vAlign w:val="center"/>
          </w:tcPr>
          <w:p w:rsidR="00416614" w:rsidRDefault="00416614" w:rsidP="00416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Kabel pro 100V rozvody včetně protažení a zapojení</w:t>
            </w:r>
          </w:p>
        </w:tc>
        <w:tc>
          <w:tcPr>
            <w:tcW w:w="1023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</w:t>
            </w:r>
          </w:p>
        </w:tc>
        <w:tc>
          <w:tcPr>
            <w:tcW w:w="129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3.600,-</w:t>
            </w:r>
          </w:p>
        </w:tc>
        <w:tc>
          <w:tcPr>
            <w:tcW w:w="92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21 %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 w:rsidRPr="00416614">
              <w:rPr>
                <w:rFonts w:ascii="Times New Roman" w:hAnsi="Times New Roman"/>
              </w:rPr>
              <w:t>4.356,-</w:t>
            </w:r>
          </w:p>
        </w:tc>
      </w:tr>
      <w:tr w:rsidR="00416614" w:rsidTr="00416614">
        <w:tc>
          <w:tcPr>
            <w:tcW w:w="2263" w:type="dxa"/>
            <w:vAlign w:val="center"/>
          </w:tcPr>
          <w:p w:rsidR="00416614" w:rsidRDefault="00E90795" w:rsidP="00FA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</w:t>
            </w:r>
            <w:r w:rsidR="00416614">
              <w:rPr>
                <w:rFonts w:ascii="Times New Roman" w:hAnsi="Times New Roman"/>
              </w:rPr>
              <w:t>, proměření</w:t>
            </w:r>
            <w:r>
              <w:rPr>
                <w:rFonts w:ascii="Times New Roman" w:hAnsi="Times New Roman"/>
              </w:rPr>
              <w:t>, zapojení a nastavení</w:t>
            </w:r>
            <w:r w:rsidR="00416614">
              <w:rPr>
                <w:rFonts w:ascii="Times New Roman" w:hAnsi="Times New Roman"/>
              </w:rPr>
              <w:t xml:space="preserve"> stávajících 100V </w:t>
            </w:r>
            <w:r>
              <w:rPr>
                <w:rFonts w:ascii="Times New Roman" w:hAnsi="Times New Roman"/>
              </w:rPr>
              <w:t>rozvodů</w:t>
            </w:r>
          </w:p>
        </w:tc>
        <w:tc>
          <w:tcPr>
            <w:tcW w:w="1023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29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24.000,-</w:t>
            </w:r>
          </w:p>
        </w:tc>
        <w:tc>
          <w:tcPr>
            <w:tcW w:w="924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21 %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16614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>,-</w:t>
            </w:r>
          </w:p>
        </w:tc>
        <w:tc>
          <w:tcPr>
            <w:tcW w:w="1295" w:type="dxa"/>
            <w:vAlign w:val="center"/>
          </w:tcPr>
          <w:p w:rsidR="00416614" w:rsidRDefault="00416614" w:rsidP="00416614">
            <w:pPr>
              <w:jc w:val="center"/>
              <w:rPr>
                <w:rFonts w:ascii="Times New Roman" w:hAnsi="Times New Roman"/>
              </w:rPr>
            </w:pPr>
            <w:r w:rsidRPr="00416614">
              <w:rPr>
                <w:rFonts w:ascii="Times New Roman" w:hAnsi="Times New Roman"/>
              </w:rPr>
              <w:t>29.040,-</w:t>
            </w:r>
          </w:p>
        </w:tc>
      </w:tr>
      <w:tr w:rsidR="00E76165" w:rsidRPr="005C3D78" w:rsidTr="00E76165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rPr>
                <w:rFonts w:ascii="Times New Roman" w:hAnsi="Times New Roman"/>
                <w:b/>
              </w:rPr>
            </w:pPr>
            <w:r w:rsidRPr="005C3D78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  <w:r w:rsidRPr="005C3D78">
              <w:rPr>
                <w:rFonts w:ascii="Times New Roman" w:hAnsi="Times New Roman"/>
                <w:b/>
              </w:rPr>
              <w:t>124.530,-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  <w:r w:rsidRPr="005C3D78">
              <w:rPr>
                <w:rFonts w:ascii="Times New Roman" w:hAnsi="Times New Roman"/>
                <w:b/>
              </w:rPr>
              <w:t>26.151,30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E76165" w:rsidRPr="005C3D78" w:rsidRDefault="00E76165" w:rsidP="00416614">
            <w:pPr>
              <w:jc w:val="center"/>
              <w:rPr>
                <w:rFonts w:ascii="Times New Roman" w:hAnsi="Times New Roman"/>
                <w:b/>
              </w:rPr>
            </w:pPr>
            <w:r w:rsidRPr="005C3D78">
              <w:rPr>
                <w:rFonts w:ascii="Times New Roman" w:hAnsi="Times New Roman"/>
                <w:b/>
              </w:rPr>
              <w:t>150.681,30</w:t>
            </w:r>
          </w:p>
        </w:tc>
      </w:tr>
    </w:tbl>
    <w:p w:rsidR="00F80344" w:rsidRPr="00F80344" w:rsidRDefault="00F80344" w:rsidP="00F80344">
      <w:pPr>
        <w:rPr>
          <w:rFonts w:ascii="Times New Roman" w:hAnsi="Times New Roman"/>
        </w:rPr>
      </w:pPr>
    </w:p>
    <w:sectPr w:rsidR="00F80344" w:rsidRPr="00F8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5F7"/>
    <w:multiLevelType w:val="multilevel"/>
    <w:tmpl w:val="7206DF1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1"/>
    <w:rsid w:val="00094AD4"/>
    <w:rsid w:val="000A5DF7"/>
    <w:rsid w:val="000B29CD"/>
    <w:rsid w:val="000C5980"/>
    <w:rsid w:val="000C6BA7"/>
    <w:rsid w:val="000D68F1"/>
    <w:rsid w:val="00187028"/>
    <w:rsid w:val="00226A75"/>
    <w:rsid w:val="00253285"/>
    <w:rsid w:val="002754BE"/>
    <w:rsid w:val="00416614"/>
    <w:rsid w:val="00436FBC"/>
    <w:rsid w:val="0045478E"/>
    <w:rsid w:val="00527356"/>
    <w:rsid w:val="005C3D78"/>
    <w:rsid w:val="005E4648"/>
    <w:rsid w:val="0066196F"/>
    <w:rsid w:val="00675997"/>
    <w:rsid w:val="00706B24"/>
    <w:rsid w:val="00726229"/>
    <w:rsid w:val="00763D88"/>
    <w:rsid w:val="007D3C8B"/>
    <w:rsid w:val="00842217"/>
    <w:rsid w:val="00884AC8"/>
    <w:rsid w:val="00993F94"/>
    <w:rsid w:val="009B10CC"/>
    <w:rsid w:val="009E191A"/>
    <w:rsid w:val="00A51F09"/>
    <w:rsid w:val="00A73F5F"/>
    <w:rsid w:val="00B6540D"/>
    <w:rsid w:val="00BA109D"/>
    <w:rsid w:val="00C06A52"/>
    <w:rsid w:val="00C6509E"/>
    <w:rsid w:val="00D5263A"/>
    <w:rsid w:val="00D56246"/>
    <w:rsid w:val="00D71D96"/>
    <w:rsid w:val="00DD2BAE"/>
    <w:rsid w:val="00DD2F84"/>
    <w:rsid w:val="00E06975"/>
    <w:rsid w:val="00E76165"/>
    <w:rsid w:val="00E90795"/>
    <w:rsid w:val="00F80344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E2C3-5AC1-41A8-8834-C962B28E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0D68F1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customStyle="1" w:styleId="Smluvnstrana">
    <w:name w:val="Smluvní strana"/>
    <w:basedOn w:val="Normln"/>
    <w:rsid w:val="000D68F1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uiPriority w:val="22"/>
    <w:qFormat/>
    <w:rsid w:val="000D68F1"/>
    <w:rPr>
      <w:b/>
    </w:rPr>
  </w:style>
  <w:style w:type="paragraph" w:customStyle="1" w:styleId="Tabulkatext">
    <w:name w:val="Tabulka text"/>
    <w:basedOn w:val="Zkladntext"/>
    <w:rsid w:val="000D68F1"/>
    <w:pPr>
      <w:spacing w:before="40" w:after="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D6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68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68F1"/>
  </w:style>
  <w:style w:type="paragraph" w:styleId="Odstavecseseznamem">
    <w:name w:val="List Paragraph"/>
    <w:basedOn w:val="Normln"/>
    <w:uiPriority w:val="34"/>
    <w:qFormat/>
    <w:rsid w:val="000D68F1"/>
    <w:pPr>
      <w:ind w:left="720"/>
      <w:contextualSpacing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41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9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4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Maroušková Hana (MHMP, OVO)</dc:creator>
  <cp:keywords/>
  <dc:description/>
  <cp:lastModifiedBy>Maroušková Hana (MHMP, OVO)</cp:lastModifiedBy>
  <cp:revision>26</cp:revision>
  <dcterms:created xsi:type="dcterms:W3CDTF">2024-01-22T10:05:00Z</dcterms:created>
  <dcterms:modified xsi:type="dcterms:W3CDTF">2024-02-20T10:38:00Z</dcterms:modified>
</cp:coreProperties>
</file>