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F2DC" w14:textId="77777777" w:rsidR="001F2379" w:rsidRDefault="00AF48D6">
      <w:pPr>
        <w:pStyle w:val="Nadpis1"/>
        <w:keepNext w:val="0"/>
        <w:widowControl w:val="0"/>
        <w:tabs>
          <w:tab w:val="num" w:pos="432"/>
        </w:tabs>
        <w:spacing w:before="0" w:after="0"/>
        <w:ind w:left="432" w:hanging="432"/>
        <w:jc w:val="center"/>
        <w:rPr>
          <w:rFonts w:ascii="Times New Roman" w:hAnsi="Times New Roman" w:cs="Times New Roman"/>
          <w:sz w:val="28"/>
          <w:szCs w:val="28"/>
        </w:rPr>
      </w:pPr>
      <w:r>
        <w:rPr>
          <w:rFonts w:ascii="Times New Roman" w:hAnsi="Times New Roman" w:cs="Times New Roman"/>
          <w:sz w:val="28"/>
          <w:szCs w:val="28"/>
        </w:rPr>
        <w:t>Kupní smlouva</w:t>
      </w:r>
    </w:p>
    <w:p w14:paraId="3D71989F" w14:textId="77777777" w:rsidR="001F2379" w:rsidRDefault="00AF48D6">
      <w:pPr>
        <w:jc w:val="center"/>
      </w:pPr>
      <w:r>
        <w:t>uzavřená podle § 2079 a násl. Občanského zákoníku</w:t>
      </w:r>
    </w:p>
    <w:p w14:paraId="49F8D62A" w14:textId="77777777" w:rsidR="001F2379" w:rsidRDefault="00AF48D6">
      <w:pPr>
        <w:jc w:val="center"/>
      </w:pPr>
      <w:r>
        <w:t>mezi těmito smluvními stranami</w:t>
      </w:r>
    </w:p>
    <w:p w14:paraId="6A3CF142" w14:textId="77777777" w:rsidR="001F2379" w:rsidRDefault="001F2379"/>
    <w:p w14:paraId="3F004F50" w14:textId="77777777" w:rsidR="001F2379" w:rsidRDefault="001F2379"/>
    <w:p w14:paraId="09EF7DD7" w14:textId="77777777" w:rsidR="001F2379" w:rsidRDefault="001F2379"/>
    <w:p w14:paraId="43BB6969" w14:textId="77777777" w:rsidR="001F2379" w:rsidRDefault="00AF48D6">
      <w:pPr>
        <w:tabs>
          <w:tab w:val="left" w:pos="1260"/>
        </w:tabs>
        <w:ind w:left="420" w:hanging="419"/>
        <w:jc w:val="center"/>
        <w:rPr>
          <w:b/>
          <w:caps/>
        </w:rPr>
      </w:pPr>
      <w:r>
        <w:rPr>
          <w:b/>
          <w:caps/>
        </w:rPr>
        <w:t>1</w:t>
      </w:r>
      <w:r>
        <w:rPr>
          <w:b/>
          <w:caps/>
        </w:rPr>
        <w:tab/>
        <w:t>SMLUVNÍ STRANY</w:t>
      </w:r>
    </w:p>
    <w:p w14:paraId="07C7C5DA" w14:textId="77777777" w:rsidR="001F2379" w:rsidRDefault="001F2379"/>
    <w:p w14:paraId="7972AEB7" w14:textId="3FA59B7D" w:rsidR="00994618" w:rsidRDefault="00994618" w:rsidP="00994618">
      <w:pPr>
        <w:jc w:val="both"/>
      </w:pPr>
      <w:r>
        <w:t xml:space="preserve">1. Kupující: </w:t>
      </w:r>
      <w:r>
        <w:tab/>
      </w:r>
    </w:p>
    <w:p w14:paraId="40285BD1" w14:textId="77777777" w:rsidR="00994618" w:rsidRDefault="00994618" w:rsidP="00994618">
      <w:pPr>
        <w:jc w:val="both"/>
        <w:rPr>
          <w:b/>
          <w:bCs/>
        </w:rPr>
      </w:pPr>
    </w:p>
    <w:p w14:paraId="3FA900A3" w14:textId="72F34388" w:rsidR="00994618" w:rsidRDefault="00994618" w:rsidP="00994618">
      <w:pPr>
        <w:jc w:val="both"/>
      </w:pPr>
      <w:r w:rsidRPr="00994618">
        <w:rPr>
          <w:b/>
          <w:bCs/>
        </w:rPr>
        <w:t>Název:</w:t>
      </w:r>
      <w:r w:rsidRPr="00994618">
        <w:rPr>
          <w:b/>
          <w:bCs/>
        </w:rPr>
        <w:tab/>
      </w:r>
      <w:r>
        <w:tab/>
      </w:r>
      <w:r>
        <w:tab/>
        <w:t>Město Nový Jičín</w:t>
      </w:r>
    </w:p>
    <w:p w14:paraId="518A5211" w14:textId="77777777" w:rsidR="00994618" w:rsidRDefault="00994618" w:rsidP="00994618">
      <w:pPr>
        <w:jc w:val="both"/>
      </w:pPr>
      <w:r w:rsidRPr="00994618">
        <w:rPr>
          <w:b/>
          <w:bCs/>
        </w:rPr>
        <w:t>Sídlo:</w:t>
      </w:r>
      <w:r w:rsidRPr="00994618">
        <w:rPr>
          <w:b/>
          <w:bCs/>
        </w:rPr>
        <w:tab/>
      </w:r>
      <w:r>
        <w:tab/>
      </w:r>
      <w:r>
        <w:tab/>
        <w:t>Masarykovo nám. 1/1, 741 01 Nový Jičín</w:t>
      </w:r>
    </w:p>
    <w:p w14:paraId="627D1AE0" w14:textId="77777777" w:rsidR="00994618" w:rsidRDefault="00994618" w:rsidP="00994618">
      <w:pPr>
        <w:jc w:val="both"/>
      </w:pPr>
      <w:r w:rsidRPr="00994618">
        <w:rPr>
          <w:b/>
          <w:bCs/>
        </w:rPr>
        <w:t>Zastoupené:</w:t>
      </w:r>
      <w:r w:rsidRPr="00994618">
        <w:rPr>
          <w:b/>
          <w:bCs/>
        </w:rPr>
        <w:tab/>
      </w:r>
      <w:r>
        <w:tab/>
        <w:t xml:space="preserve">vedoucí organizační složky „Návštěvnické centrum Nový Jičín  </w:t>
      </w:r>
    </w:p>
    <w:p w14:paraId="0DBC7ACC" w14:textId="7AA9E32C" w:rsidR="00994618" w:rsidRDefault="00994618" w:rsidP="00994618">
      <w:pPr>
        <w:ind w:left="1416" w:firstLine="708"/>
        <w:jc w:val="both"/>
      </w:pPr>
      <w:r>
        <w:t>– město klobouků“ Mgr. Radkou Bobkovou, MBA</w:t>
      </w:r>
    </w:p>
    <w:p w14:paraId="12BF9CAF" w14:textId="1567D920" w:rsidR="00994618" w:rsidRDefault="00994618" w:rsidP="00994618">
      <w:pPr>
        <w:jc w:val="both"/>
      </w:pPr>
      <w:r w:rsidRPr="00994618">
        <w:rPr>
          <w:b/>
          <w:bCs/>
        </w:rPr>
        <w:t>IČ</w:t>
      </w:r>
      <w:r w:rsidR="004B35FB">
        <w:rPr>
          <w:b/>
          <w:bCs/>
        </w:rPr>
        <w:t>O</w:t>
      </w:r>
      <w:r w:rsidRPr="00994618">
        <w:rPr>
          <w:b/>
          <w:bCs/>
        </w:rPr>
        <w:t>:</w:t>
      </w:r>
      <w:r>
        <w:tab/>
      </w:r>
      <w:r>
        <w:tab/>
      </w:r>
      <w:r>
        <w:tab/>
        <w:t>00298212</w:t>
      </w:r>
    </w:p>
    <w:p w14:paraId="5BEA9E5E" w14:textId="77777777" w:rsidR="00994618" w:rsidRDefault="00994618" w:rsidP="00994618">
      <w:pPr>
        <w:jc w:val="both"/>
      </w:pPr>
      <w:r w:rsidRPr="00994618">
        <w:rPr>
          <w:b/>
          <w:bCs/>
        </w:rPr>
        <w:t>DIČ:</w:t>
      </w:r>
      <w:r w:rsidRPr="00994618">
        <w:rPr>
          <w:b/>
          <w:bCs/>
        </w:rPr>
        <w:tab/>
      </w:r>
      <w:r>
        <w:tab/>
      </w:r>
      <w:r>
        <w:tab/>
        <w:t>CZ00298212</w:t>
      </w:r>
    </w:p>
    <w:p w14:paraId="52CA7036" w14:textId="77777777" w:rsidR="00994618" w:rsidRDefault="00994618" w:rsidP="00994618">
      <w:pPr>
        <w:jc w:val="both"/>
      </w:pPr>
      <w:r w:rsidRPr="00994618">
        <w:rPr>
          <w:b/>
          <w:bCs/>
        </w:rPr>
        <w:t>Bankovní účet:</w:t>
      </w:r>
      <w:r>
        <w:tab/>
        <w:t>326801/0100</w:t>
      </w:r>
    </w:p>
    <w:p w14:paraId="3B3FAF52" w14:textId="77777777" w:rsidR="00994618" w:rsidRDefault="00994618" w:rsidP="00994618">
      <w:pPr>
        <w:ind w:firstLine="2124"/>
        <w:jc w:val="both"/>
      </w:pPr>
    </w:p>
    <w:p w14:paraId="15359F41" w14:textId="77777777" w:rsidR="00994618" w:rsidRDefault="00994618" w:rsidP="00994618">
      <w:pPr>
        <w:jc w:val="both"/>
      </w:pPr>
      <w:r>
        <w:t>dále jen „kupující“,</w:t>
      </w:r>
    </w:p>
    <w:p w14:paraId="452B3883" w14:textId="77777777" w:rsidR="00994618" w:rsidRDefault="00994618" w:rsidP="00994618">
      <w:pPr>
        <w:ind w:firstLine="2124"/>
        <w:jc w:val="both"/>
      </w:pPr>
    </w:p>
    <w:p w14:paraId="4498D57B" w14:textId="39DC322B" w:rsidR="00994618" w:rsidRDefault="00994618" w:rsidP="00994618">
      <w:pPr>
        <w:jc w:val="both"/>
      </w:pPr>
      <w:r>
        <w:t>2. Prodávající:</w:t>
      </w:r>
    </w:p>
    <w:p w14:paraId="31BD38C9" w14:textId="77777777" w:rsidR="00994618" w:rsidRDefault="00994618" w:rsidP="00994618">
      <w:pPr>
        <w:jc w:val="both"/>
      </w:pPr>
    </w:p>
    <w:p w14:paraId="3642B403" w14:textId="5D120707" w:rsidR="00994618" w:rsidRPr="00994618" w:rsidRDefault="00994618" w:rsidP="00994618">
      <w:pPr>
        <w:jc w:val="both"/>
        <w:rPr>
          <w:b/>
          <w:bCs/>
        </w:rPr>
      </w:pPr>
      <w:r w:rsidRPr="00994618">
        <w:rPr>
          <w:b/>
          <w:bCs/>
        </w:rPr>
        <w:t>Název:</w:t>
      </w:r>
      <w:r w:rsidR="001E66FD">
        <w:rPr>
          <w:b/>
          <w:bCs/>
        </w:rPr>
        <w:tab/>
      </w:r>
      <w:r w:rsidR="001E66FD">
        <w:rPr>
          <w:b/>
          <w:bCs/>
        </w:rPr>
        <w:tab/>
      </w:r>
      <w:r w:rsidR="001E66FD">
        <w:rPr>
          <w:b/>
          <w:bCs/>
        </w:rPr>
        <w:tab/>
      </w:r>
      <w:r w:rsidR="001E66FD" w:rsidRPr="001E66FD">
        <w:t>Winterhalter Gastronom s.r.o.</w:t>
      </w:r>
    </w:p>
    <w:p w14:paraId="3800B93F" w14:textId="2092C890" w:rsidR="00994618" w:rsidRPr="00994618" w:rsidRDefault="00994618" w:rsidP="00994618">
      <w:pPr>
        <w:jc w:val="both"/>
        <w:rPr>
          <w:b/>
          <w:bCs/>
        </w:rPr>
      </w:pPr>
      <w:r w:rsidRPr="00994618">
        <w:rPr>
          <w:b/>
          <w:bCs/>
        </w:rPr>
        <w:t>Sídlo:</w:t>
      </w:r>
      <w:r w:rsidR="001E66FD">
        <w:rPr>
          <w:b/>
          <w:bCs/>
        </w:rPr>
        <w:tab/>
      </w:r>
      <w:r w:rsidR="001E66FD">
        <w:rPr>
          <w:b/>
          <w:bCs/>
        </w:rPr>
        <w:tab/>
      </w:r>
      <w:r w:rsidR="001E66FD">
        <w:rPr>
          <w:b/>
          <w:bCs/>
        </w:rPr>
        <w:tab/>
      </w:r>
      <w:r w:rsidR="001E66FD" w:rsidRPr="001E66FD">
        <w:t>Modletice 103, 251 01 Říčany</w:t>
      </w:r>
    </w:p>
    <w:p w14:paraId="0ECF7DC8" w14:textId="51755A9A" w:rsidR="00994618" w:rsidRDefault="00994618" w:rsidP="00994618">
      <w:pPr>
        <w:jc w:val="both"/>
        <w:rPr>
          <w:b/>
          <w:bCs/>
        </w:rPr>
      </w:pPr>
      <w:r w:rsidRPr="00994618">
        <w:rPr>
          <w:b/>
          <w:bCs/>
        </w:rPr>
        <w:t>Zastoupená:</w:t>
      </w:r>
      <w:r w:rsidR="001E66FD">
        <w:rPr>
          <w:b/>
          <w:bCs/>
        </w:rPr>
        <w:tab/>
      </w:r>
      <w:r w:rsidR="001E66FD">
        <w:rPr>
          <w:b/>
          <w:bCs/>
        </w:rPr>
        <w:tab/>
      </w:r>
      <w:r w:rsidR="001E66FD" w:rsidRPr="001E66FD">
        <w:t>Ing. Jiří</w:t>
      </w:r>
      <w:r w:rsidR="00593342">
        <w:t>m</w:t>
      </w:r>
      <w:r w:rsidR="001E66FD" w:rsidRPr="001E66FD">
        <w:t xml:space="preserve"> Kubeš</w:t>
      </w:r>
      <w:r w:rsidR="00593342">
        <w:t>em</w:t>
      </w:r>
      <w:r w:rsidR="001E66FD">
        <w:t>, jednatel</w:t>
      </w:r>
      <w:r w:rsidR="00593342">
        <w:t>em společnosti</w:t>
      </w:r>
    </w:p>
    <w:p w14:paraId="6D9651FD" w14:textId="260E6180" w:rsidR="004B35FB" w:rsidRPr="001E66FD" w:rsidRDefault="004B35FB" w:rsidP="00994618">
      <w:pPr>
        <w:jc w:val="both"/>
        <w:rPr>
          <w:b/>
          <w:bCs/>
        </w:rPr>
      </w:pPr>
      <w:r w:rsidRPr="001E66FD">
        <w:rPr>
          <w:b/>
          <w:bCs/>
        </w:rPr>
        <w:t xml:space="preserve">zapsaná v </w:t>
      </w:r>
      <w:r w:rsidR="001E66FD" w:rsidRPr="001E66FD">
        <w:rPr>
          <w:b/>
          <w:bCs/>
        </w:rPr>
        <w:t>Praze</w:t>
      </w:r>
      <w:r w:rsidRPr="001E66FD">
        <w:rPr>
          <w:b/>
          <w:bCs/>
        </w:rPr>
        <w:t xml:space="preserve"> u</w:t>
      </w:r>
      <w:r w:rsidR="001E66FD" w:rsidRPr="001E66FD">
        <w:rPr>
          <w:b/>
          <w:bCs/>
        </w:rPr>
        <w:t xml:space="preserve"> Městského soudu</w:t>
      </w:r>
      <w:r w:rsidRPr="001E66FD">
        <w:rPr>
          <w:b/>
          <w:bCs/>
        </w:rPr>
        <w:t xml:space="preserve"> pod sp. zn. </w:t>
      </w:r>
      <w:r w:rsidR="001E66FD" w:rsidRPr="001E66FD">
        <w:rPr>
          <w:b/>
          <w:bCs/>
        </w:rPr>
        <w:t>C 6088</w:t>
      </w:r>
    </w:p>
    <w:p w14:paraId="4919179B" w14:textId="3C802567" w:rsidR="00994618" w:rsidRPr="00994618" w:rsidRDefault="00994618" w:rsidP="00994618">
      <w:pPr>
        <w:jc w:val="both"/>
        <w:rPr>
          <w:b/>
          <w:bCs/>
        </w:rPr>
      </w:pPr>
      <w:r w:rsidRPr="00994618">
        <w:rPr>
          <w:b/>
          <w:bCs/>
        </w:rPr>
        <w:t>IČ</w:t>
      </w:r>
      <w:r w:rsidR="004B35FB">
        <w:rPr>
          <w:b/>
          <w:bCs/>
        </w:rPr>
        <w:t>O</w:t>
      </w:r>
      <w:r w:rsidRPr="00994618">
        <w:rPr>
          <w:b/>
          <w:bCs/>
        </w:rPr>
        <w:t>:</w:t>
      </w:r>
      <w:r w:rsidR="001E66FD">
        <w:rPr>
          <w:b/>
          <w:bCs/>
        </w:rPr>
        <w:tab/>
      </w:r>
      <w:r w:rsidR="001E66FD">
        <w:rPr>
          <w:b/>
          <w:bCs/>
        </w:rPr>
        <w:tab/>
      </w:r>
      <w:r w:rsidR="001E66FD">
        <w:rPr>
          <w:b/>
          <w:bCs/>
        </w:rPr>
        <w:tab/>
      </w:r>
      <w:r w:rsidR="001E66FD" w:rsidRPr="001E66FD">
        <w:t>43750176</w:t>
      </w:r>
    </w:p>
    <w:p w14:paraId="62AB66C1" w14:textId="1B611640" w:rsidR="00994618" w:rsidRPr="00994618" w:rsidRDefault="00994618" w:rsidP="00994618">
      <w:pPr>
        <w:jc w:val="both"/>
        <w:rPr>
          <w:b/>
          <w:bCs/>
        </w:rPr>
      </w:pPr>
      <w:r w:rsidRPr="00994618">
        <w:rPr>
          <w:b/>
          <w:bCs/>
        </w:rPr>
        <w:t>DIČ:</w:t>
      </w:r>
      <w:r w:rsidR="001E66FD">
        <w:rPr>
          <w:b/>
          <w:bCs/>
        </w:rPr>
        <w:tab/>
      </w:r>
      <w:r w:rsidR="001E66FD">
        <w:rPr>
          <w:b/>
          <w:bCs/>
        </w:rPr>
        <w:tab/>
      </w:r>
      <w:r w:rsidR="001E66FD">
        <w:rPr>
          <w:b/>
          <w:bCs/>
        </w:rPr>
        <w:tab/>
      </w:r>
      <w:r w:rsidR="001E66FD" w:rsidRPr="001E66FD">
        <w:t>CZ43750176</w:t>
      </w:r>
    </w:p>
    <w:p w14:paraId="4C098BF5" w14:textId="4ADA2B7B" w:rsidR="00994618" w:rsidRPr="00994618" w:rsidRDefault="00994618" w:rsidP="00994618">
      <w:pPr>
        <w:jc w:val="both"/>
        <w:rPr>
          <w:b/>
          <w:bCs/>
        </w:rPr>
      </w:pPr>
      <w:r w:rsidRPr="00994618">
        <w:rPr>
          <w:b/>
          <w:bCs/>
        </w:rPr>
        <w:t>Bankovní účet:</w:t>
      </w:r>
      <w:r w:rsidR="001E66FD">
        <w:rPr>
          <w:b/>
          <w:bCs/>
        </w:rPr>
        <w:tab/>
      </w:r>
      <w:r w:rsidR="001E66FD" w:rsidRPr="001E66FD">
        <w:t>272244201/0100</w:t>
      </w:r>
    </w:p>
    <w:p w14:paraId="49641D65" w14:textId="77777777" w:rsidR="00994618" w:rsidRDefault="00994618" w:rsidP="00994618">
      <w:pPr>
        <w:ind w:firstLine="2124"/>
        <w:jc w:val="both"/>
      </w:pPr>
    </w:p>
    <w:p w14:paraId="0934F0FE" w14:textId="20C87DAA" w:rsidR="001F2379" w:rsidRDefault="00994618" w:rsidP="00994618">
      <w:pPr>
        <w:jc w:val="both"/>
      </w:pPr>
      <w:r>
        <w:t>dále jen „prodávající“,</w:t>
      </w:r>
    </w:p>
    <w:p w14:paraId="4F0DE7C3" w14:textId="77777777" w:rsidR="001F2379" w:rsidRDefault="001F2379">
      <w:pPr>
        <w:jc w:val="both"/>
        <w:rPr>
          <w:caps/>
        </w:rPr>
      </w:pPr>
    </w:p>
    <w:p w14:paraId="1537986A" w14:textId="57CD2390" w:rsidR="004000E4" w:rsidRDefault="004000E4" w:rsidP="004000E4">
      <w:pPr>
        <w:tabs>
          <w:tab w:val="left" w:pos="1260"/>
        </w:tabs>
        <w:ind w:left="420" w:hanging="420"/>
        <w:jc w:val="center"/>
        <w:rPr>
          <w:b/>
          <w:caps/>
        </w:rPr>
      </w:pPr>
      <w:r>
        <w:rPr>
          <w:b/>
          <w:caps/>
        </w:rPr>
        <w:t>2</w:t>
      </w:r>
      <w:r>
        <w:rPr>
          <w:b/>
          <w:caps/>
        </w:rPr>
        <w:tab/>
      </w:r>
      <w:r w:rsidRPr="004000E4">
        <w:rPr>
          <w:b/>
          <w:caps/>
        </w:rPr>
        <w:t>Úvodní ustanovení</w:t>
      </w:r>
    </w:p>
    <w:p w14:paraId="21214A99" w14:textId="77777777" w:rsidR="004000E4" w:rsidRDefault="004000E4">
      <w:pPr>
        <w:jc w:val="both"/>
        <w:rPr>
          <w:caps/>
        </w:rPr>
      </w:pPr>
    </w:p>
    <w:p w14:paraId="7187F720" w14:textId="4245E557" w:rsidR="004000E4" w:rsidRPr="004000E4" w:rsidRDefault="004000E4" w:rsidP="004000E4">
      <w:pPr>
        <w:tabs>
          <w:tab w:val="left" w:pos="1260"/>
        </w:tabs>
        <w:ind w:left="420" w:hanging="420"/>
        <w:jc w:val="both"/>
      </w:pPr>
      <w:r>
        <w:t>2.</w:t>
      </w:r>
      <w:r w:rsidRPr="004000E4">
        <w:t>1</w:t>
      </w:r>
      <w:r w:rsidRPr="004000E4">
        <w:tab/>
        <w:t xml:space="preserve">Tato smlouva je uzavřena na základě výsledků zadávacího řízení dle zákona č. 134/2016 Sb., o zadávání veřejných zakázek, ve znění pozdějších předpisů s názvem </w:t>
      </w:r>
      <w:r w:rsidR="004B35FB">
        <w:t>„</w:t>
      </w:r>
      <w:r w:rsidRPr="004000E4">
        <w:t xml:space="preserve">Pořízení myčky na </w:t>
      </w:r>
      <w:r>
        <w:t xml:space="preserve">vratné </w:t>
      </w:r>
      <w:r w:rsidRPr="004000E4">
        <w:t>kelímky.</w:t>
      </w:r>
      <w:r w:rsidR="004B35FB">
        <w:t>“</w:t>
      </w:r>
    </w:p>
    <w:p w14:paraId="08206962" w14:textId="5A7B8AEB" w:rsidR="004000E4" w:rsidRPr="004000E4" w:rsidRDefault="004000E4" w:rsidP="004000E4">
      <w:pPr>
        <w:tabs>
          <w:tab w:val="left" w:pos="1260"/>
        </w:tabs>
        <w:ind w:left="420" w:hanging="420"/>
        <w:jc w:val="both"/>
      </w:pPr>
      <w:r w:rsidRPr="004000E4">
        <w:t>2</w:t>
      </w:r>
      <w:r>
        <w:t>.2</w:t>
      </w:r>
      <w:r w:rsidRPr="004000E4">
        <w:tab/>
        <w:t>Smluvní strany shodně prohlašují, že údaje uvedené ve smlouvě a taktéž oprávnění k</w:t>
      </w:r>
      <w:r>
        <w:t> </w:t>
      </w:r>
      <w:r w:rsidRPr="004000E4">
        <w:t>podnikání prodávajícího jsou v souladu s právní skutečností v době uzavření této smlouvy.</w:t>
      </w:r>
    </w:p>
    <w:p w14:paraId="6380F31D" w14:textId="5162E86D" w:rsidR="001F2379" w:rsidRPr="004000E4" w:rsidRDefault="004000E4" w:rsidP="004000E4">
      <w:pPr>
        <w:tabs>
          <w:tab w:val="left" w:pos="1260"/>
        </w:tabs>
        <w:ind w:left="420" w:hanging="420"/>
        <w:jc w:val="both"/>
      </w:pPr>
      <w:r>
        <w:t>2.</w:t>
      </w:r>
      <w:r w:rsidRPr="004000E4">
        <w:t>3</w:t>
      </w:r>
      <w:r w:rsidRPr="004000E4">
        <w:tab/>
        <w:t>Smluvní strany se zavazují, že změny dotčených údajů oznámí bez prodlení druhé smluvní straně.</w:t>
      </w:r>
    </w:p>
    <w:p w14:paraId="158A9B6B" w14:textId="77777777" w:rsidR="004000E4" w:rsidRDefault="004000E4">
      <w:pPr>
        <w:tabs>
          <w:tab w:val="left" w:pos="1260"/>
        </w:tabs>
        <w:ind w:left="420" w:hanging="420"/>
        <w:jc w:val="center"/>
        <w:rPr>
          <w:b/>
          <w:caps/>
        </w:rPr>
      </w:pPr>
    </w:p>
    <w:p w14:paraId="64FB801E" w14:textId="53D39B9B" w:rsidR="001F2379" w:rsidRDefault="004000E4">
      <w:pPr>
        <w:tabs>
          <w:tab w:val="left" w:pos="1260"/>
        </w:tabs>
        <w:ind w:left="420" w:hanging="420"/>
        <w:jc w:val="center"/>
        <w:rPr>
          <w:b/>
          <w:caps/>
        </w:rPr>
      </w:pPr>
      <w:r>
        <w:rPr>
          <w:b/>
          <w:caps/>
        </w:rPr>
        <w:t>3</w:t>
      </w:r>
      <w:r w:rsidR="00AF48D6">
        <w:rPr>
          <w:b/>
          <w:caps/>
        </w:rPr>
        <w:tab/>
        <w:t>Předmět smlouvy</w:t>
      </w:r>
    </w:p>
    <w:p w14:paraId="1F6EDDE9" w14:textId="77777777" w:rsidR="001F2379" w:rsidRDefault="001F2379">
      <w:pPr>
        <w:tabs>
          <w:tab w:val="left" w:pos="1260"/>
        </w:tabs>
        <w:ind w:left="420" w:hanging="420"/>
        <w:jc w:val="center"/>
        <w:rPr>
          <w:b/>
          <w:caps/>
        </w:rPr>
      </w:pPr>
    </w:p>
    <w:p w14:paraId="62F11EBC" w14:textId="631A9D6F" w:rsidR="002B5F3C" w:rsidRDefault="004000E4" w:rsidP="002B5F3C">
      <w:pPr>
        <w:tabs>
          <w:tab w:val="left" w:pos="1260"/>
        </w:tabs>
        <w:ind w:left="420" w:hanging="420"/>
        <w:jc w:val="both"/>
      </w:pPr>
      <w:r>
        <w:t>3</w:t>
      </w:r>
      <w:r w:rsidR="00AF48D6">
        <w:t>.1</w:t>
      </w:r>
      <w:r w:rsidR="00AF48D6">
        <w:tab/>
      </w:r>
      <w:r w:rsidR="002B5F3C">
        <w:t xml:space="preserve">Předmětem této smlouvy je závazek prodávajícího dodat kupujícímu </w:t>
      </w:r>
      <w:r w:rsidR="002B5F3C" w:rsidRPr="002B5F3C">
        <w:rPr>
          <w:b/>
          <w:bCs/>
        </w:rPr>
        <w:t>myčku na vratné kelímky</w:t>
      </w:r>
      <w:r w:rsidR="002B5F3C">
        <w:t xml:space="preserve"> (dále též „zboží“), </w:t>
      </w:r>
      <w:r w:rsidR="002B5F3C" w:rsidRPr="002B5F3C">
        <w:t>dle specifikace uvedené v Cenové nabídce, která je přílohou č.</w:t>
      </w:r>
      <w:r w:rsidR="002B5F3C">
        <w:t> 1</w:t>
      </w:r>
      <w:r w:rsidR="002B5F3C" w:rsidRPr="002B5F3C">
        <w:t xml:space="preserve"> a nedílnou součástí této smlouvy.</w:t>
      </w:r>
      <w:r w:rsidR="002B5F3C">
        <w:t xml:space="preserve"> Zboží bude dodáno </w:t>
      </w:r>
      <w:r w:rsidR="002B5F3C" w:rsidRPr="002B5F3C">
        <w:t>včetně úplné dokumentace, manuálů</w:t>
      </w:r>
      <w:r w:rsidR="00404DE4">
        <w:t>, záručního listu</w:t>
      </w:r>
      <w:r w:rsidR="002B5F3C" w:rsidRPr="002B5F3C">
        <w:t xml:space="preserve"> a ostatních dokladů, které umožní kupujícímu se zbožím nakládat</w:t>
      </w:r>
      <w:r w:rsidR="002B5F3C">
        <w:t>.</w:t>
      </w:r>
    </w:p>
    <w:p w14:paraId="58997D2A" w14:textId="7163A753" w:rsidR="002B5F3C" w:rsidRDefault="006B7AC2" w:rsidP="002B5F3C">
      <w:pPr>
        <w:tabs>
          <w:tab w:val="left" w:pos="1260"/>
        </w:tabs>
        <w:ind w:left="420" w:hanging="420"/>
        <w:jc w:val="both"/>
      </w:pPr>
      <w:r>
        <w:t>3</w:t>
      </w:r>
      <w:r w:rsidR="002B5F3C">
        <w:t xml:space="preserve">.2 Prodávající bere na vědomí, že nákup myčky na vratné kelímky kupující realizuje v rámci projektu „Pořízení kompostérů pro občany, vratných kelímků na akce města a myčky na kelímky“, </w:t>
      </w:r>
      <w:r w:rsidR="00404DE4">
        <w:t>na</w:t>
      </w:r>
      <w:r w:rsidR="004D11F9">
        <w:t xml:space="preserve"> jehož financování</w:t>
      </w:r>
      <w:r w:rsidR="00404DE4">
        <w:t xml:space="preserve"> bude </w:t>
      </w:r>
      <w:r w:rsidR="002B5F3C">
        <w:t>poskytnut</w:t>
      </w:r>
      <w:r w:rsidR="00404DE4">
        <w:t>a</w:t>
      </w:r>
      <w:r w:rsidR="002B5F3C">
        <w:t xml:space="preserve"> podpor</w:t>
      </w:r>
      <w:r w:rsidR="00404DE4">
        <w:t>a</w:t>
      </w:r>
      <w:r w:rsidR="002B5F3C">
        <w:t xml:space="preserve"> z Operačního programu Životní prostředí 2021-2027 </w:t>
      </w:r>
      <w:r w:rsidR="00404DE4">
        <w:t>(</w:t>
      </w:r>
      <w:r w:rsidR="002B5F3C">
        <w:t>reg. č. projektu CZ.05.01.05/XX/22_024/0001179</w:t>
      </w:r>
      <w:r w:rsidR="00404DE4">
        <w:t>), a zavazuje splnit veškeré podmínky stanovené poskytovatelem podpory</w:t>
      </w:r>
      <w:r w:rsidR="002B5F3C">
        <w:t xml:space="preserve">. </w:t>
      </w:r>
    </w:p>
    <w:p w14:paraId="6E3DBC04" w14:textId="77777777" w:rsidR="002B5F3C" w:rsidRDefault="002B5F3C">
      <w:pPr>
        <w:tabs>
          <w:tab w:val="left" w:pos="1260"/>
        </w:tabs>
        <w:ind w:left="420" w:hanging="420"/>
        <w:jc w:val="both"/>
      </w:pPr>
    </w:p>
    <w:p w14:paraId="78DDCCB9" w14:textId="77777777" w:rsidR="001F2379" w:rsidRDefault="001F2379">
      <w:pPr>
        <w:jc w:val="both"/>
      </w:pPr>
    </w:p>
    <w:p w14:paraId="7003BD6E" w14:textId="77777777" w:rsidR="001F2379" w:rsidRDefault="001F2379">
      <w:pPr>
        <w:jc w:val="both"/>
      </w:pPr>
    </w:p>
    <w:p w14:paraId="5A871846" w14:textId="1BFE281F" w:rsidR="001F2379" w:rsidRPr="004000E4" w:rsidRDefault="00AF48D6" w:rsidP="004000E4">
      <w:pPr>
        <w:pStyle w:val="Odstavecseseznamem"/>
        <w:widowControl w:val="0"/>
        <w:numPr>
          <w:ilvl w:val="0"/>
          <w:numId w:val="6"/>
        </w:numPr>
        <w:tabs>
          <w:tab w:val="left" w:pos="1260"/>
        </w:tabs>
        <w:jc w:val="center"/>
        <w:rPr>
          <w:b/>
          <w:caps/>
        </w:rPr>
      </w:pPr>
      <w:r w:rsidRPr="004000E4">
        <w:rPr>
          <w:b/>
          <w:caps/>
        </w:rPr>
        <w:t>místo a čas plnění předmětu smlouvy</w:t>
      </w:r>
    </w:p>
    <w:p w14:paraId="0BBB2441" w14:textId="77777777" w:rsidR="001F2379" w:rsidRDefault="001F2379">
      <w:pPr>
        <w:widowControl w:val="0"/>
        <w:tabs>
          <w:tab w:val="left" w:pos="1260"/>
        </w:tabs>
        <w:ind w:left="780"/>
        <w:jc w:val="center"/>
        <w:rPr>
          <w:b/>
          <w:caps/>
        </w:rPr>
      </w:pPr>
    </w:p>
    <w:p w14:paraId="256A7787" w14:textId="6543FECC" w:rsidR="001F2379" w:rsidRDefault="004000E4">
      <w:pPr>
        <w:tabs>
          <w:tab w:val="left" w:pos="1260"/>
        </w:tabs>
        <w:ind w:left="420" w:hanging="420"/>
        <w:jc w:val="both"/>
      </w:pPr>
      <w:r>
        <w:t>4</w:t>
      </w:r>
      <w:r w:rsidR="00AF48D6">
        <w:t>.1</w:t>
      </w:r>
      <w:r w:rsidR="00AF48D6">
        <w:tab/>
      </w:r>
      <w:r w:rsidR="00F84A63" w:rsidRPr="00F84A63">
        <w:t>Místem plnění je sídlo organizační složky „Návštěvnické centrum Nový Jičín – město klobouků“ na adrese: Masarykovo nám. 45/29, 741 01 Nový Jičín.</w:t>
      </w:r>
    </w:p>
    <w:p w14:paraId="00784C71" w14:textId="1A8B8AAE" w:rsidR="001F2379" w:rsidRDefault="004000E4">
      <w:pPr>
        <w:tabs>
          <w:tab w:val="left" w:pos="1260"/>
        </w:tabs>
        <w:ind w:left="420" w:hanging="420"/>
        <w:jc w:val="both"/>
      </w:pPr>
      <w:r>
        <w:t>4</w:t>
      </w:r>
      <w:r w:rsidR="00AF48D6">
        <w:t>.2</w:t>
      </w:r>
      <w:r w:rsidR="00AF48D6">
        <w:tab/>
        <w:t xml:space="preserve">Prodávající se zavazuje dodat zboží kupujícímu nejpozději do </w:t>
      </w:r>
      <w:r w:rsidR="00850E6B">
        <w:t>0</w:t>
      </w:r>
      <w:r w:rsidR="00185E63">
        <w:t>4</w:t>
      </w:r>
      <w:r w:rsidR="00F84A63">
        <w:t>.</w:t>
      </w:r>
      <w:r w:rsidR="00850E6B">
        <w:t>03</w:t>
      </w:r>
      <w:r w:rsidR="00F84A63">
        <w:t>.202</w:t>
      </w:r>
      <w:r w:rsidR="00850E6B">
        <w:t>4</w:t>
      </w:r>
      <w:r w:rsidR="00AF48D6" w:rsidRPr="005C75F8">
        <w:t>.</w:t>
      </w:r>
    </w:p>
    <w:p w14:paraId="221928B9" w14:textId="496EE599" w:rsidR="001F2379" w:rsidRDefault="006B7AC2">
      <w:pPr>
        <w:tabs>
          <w:tab w:val="left" w:pos="1260"/>
        </w:tabs>
        <w:ind w:left="420" w:hanging="420"/>
        <w:jc w:val="both"/>
      </w:pPr>
      <w:r>
        <w:t>4</w:t>
      </w:r>
      <w:r w:rsidR="00AF48D6">
        <w:t>.3</w:t>
      </w:r>
      <w:r w:rsidR="00AF48D6">
        <w:tab/>
        <w:t xml:space="preserve">Zboží se považuje za dodané, jestliže dojde k jeho převzetí pověřeným pracovníkem Návštěvnického centra Nový Jičín – město klobouků. Dokladem o dodání předmětu koupě je předávací protokol opatřený podpisem pověřeného pracovníka kupujícího. </w:t>
      </w:r>
    </w:p>
    <w:p w14:paraId="3A3C185A" w14:textId="2BBD16E5" w:rsidR="001F2379" w:rsidRDefault="006B7AC2">
      <w:pPr>
        <w:tabs>
          <w:tab w:val="left" w:pos="1260"/>
        </w:tabs>
        <w:ind w:left="420" w:hanging="420"/>
        <w:jc w:val="both"/>
      </w:pPr>
      <w:r>
        <w:t>4</w:t>
      </w:r>
      <w:r w:rsidR="00AF48D6">
        <w:t xml:space="preserve">.4 V případě prodlení s dodávkou zboží je prodávající povinen uhradit kupujícímu smluvní pokutu ve výši 0,5 % z celkové kupní ceny zboží včetně DPH za každý den prodlení. Tím není dotčen nárok na náhradu škody. </w:t>
      </w:r>
    </w:p>
    <w:p w14:paraId="2E7EFD31" w14:textId="54C2DB09" w:rsidR="001F2379" w:rsidRDefault="006B7AC2">
      <w:pPr>
        <w:tabs>
          <w:tab w:val="left" w:pos="1260"/>
        </w:tabs>
        <w:ind w:left="420" w:hanging="420"/>
        <w:jc w:val="both"/>
      </w:pPr>
      <w:r>
        <w:t>4</w:t>
      </w:r>
      <w:r w:rsidR="00AF48D6">
        <w:t>.5</w:t>
      </w:r>
      <w:r w:rsidR="00AF48D6">
        <w:tab/>
        <w:t xml:space="preserve">V případě prodlení s dodáním zboží delším než 10 dnů je kupující oprávněn od smlouvy </w:t>
      </w:r>
      <w:r w:rsidR="000C16AD">
        <w:br/>
      </w:r>
      <w:r w:rsidR="00AF48D6">
        <w:t xml:space="preserve">v plném rozsahu odstoupit. Nároky na smluvní pokutu a náhradu škody tím nejsou dotčeny. </w:t>
      </w:r>
    </w:p>
    <w:p w14:paraId="58C3FD57" w14:textId="77777777" w:rsidR="001F2379" w:rsidRDefault="001F2379">
      <w:pPr>
        <w:tabs>
          <w:tab w:val="left" w:pos="1260"/>
        </w:tabs>
        <w:ind w:left="420" w:hanging="420"/>
        <w:jc w:val="center"/>
        <w:rPr>
          <w:b/>
          <w:caps/>
        </w:rPr>
      </w:pPr>
    </w:p>
    <w:p w14:paraId="71DAE9D0" w14:textId="77777777" w:rsidR="001F2379" w:rsidRDefault="001F2379">
      <w:pPr>
        <w:tabs>
          <w:tab w:val="left" w:pos="1260"/>
        </w:tabs>
        <w:ind w:left="420" w:hanging="420"/>
        <w:jc w:val="center"/>
        <w:rPr>
          <w:b/>
          <w:caps/>
        </w:rPr>
      </w:pPr>
    </w:p>
    <w:p w14:paraId="2C00702B" w14:textId="58B62082" w:rsidR="001F2379" w:rsidRPr="004000E4" w:rsidRDefault="00AF48D6" w:rsidP="004000E4">
      <w:pPr>
        <w:pStyle w:val="Odstavecseseznamem"/>
        <w:numPr>
          <w:ilvl w:val="0"/>
          <w:numId w:val="6"/>
        </w:numPr>
        <w:tabs>
          <w:tab w:val="left" w:pos="1260"/>
        </w:tabs>
        <w:jc w:val="center"/>
        <w:rPr>
          <w:b/>
          <w:caps/>
        </w:rPr>
      </w:pPr>
      <w:r w:rsidRPr="004000E4">
        <w:rPr>
          <w:b/>
          <w:caps/>
        </w:rPr>
        <w:t>ODPOVĚDNOST ZA VADY (ZÁRUČNÍ A SERVISNÍ PODMÍNKY)</w:t>
      </w:r>
    </w:p>
    <w:p w14:paraId="27DBDADE" w14:textId="77777777" w:rsidR="001F2379" w:rsidRDefault="001F2379">
      <w:pPr>
        <w:tabs>
          <w:tab w:val="left" w:pos="1260"/>
        </w:tabs>
        <w:ind w:left="780"/>
        <w:jc w:val="center"/>
        <w:rPr>
          <w:b/>
          <w:caps/>
        </w:rPr>
      </w:pPr>
    </w:p>
    <w:p w14:paraId="386847CC" w14:textId="772D2CF7" w:rsidR="001F2379" w:rsidRDefault="001968BB">
      <w:pPr>
        <w:tabs>
          <w:tab w:val="left" w:pos="1260"/>
        </w:tabs>
        <w:ind w:left="420" w:hanging="420"/>
        <w:jc w:val="both"/>
      </w:pPr>
      <w:r>
        <w:t>5</w:t>
      </w:r>
      <w:r w:rsidR="00AF48D6">
        <w:t>.1</w:t>
      </w:r>
      <w:r w:rsidR="00AF48D6">
        <w:tab/>
        <w:t xml:space="preserve">Prodávající garantuje, že zboží plně odpovídá technickým a jakostním podmínkám dle požadavků kupujícího a splňuje vlastnosti stanovené platnými </w:t>
      </w:r>
      <w:r w:rsidR="00404DE4">
        <w:t xml:space="preserve">právními předpisy a </w:t>
      </w:r>
      <w:r w:rsidR="00AF48D6">
        <w:t>technickými normami.</w:t>
      </w:r>
    </w:p>
    <w:p w14:paraId="13972C16" w14:textId="5B13BD90" w:rsidR="001F2379" w:rsidRDefault="001968BB">
      <w:pPr>
        <w:tabs>
          <w:tab w:val="left" w:pos="1260"/>
        </w:tabs>
        <w:ind w:left="420" w:hanging="420"/>
        <w:jc w:val="both"/>
      </w:pPr>
      <w:r>
        <w:t>5</w:t>
      </w:r>
      <w:r w:rsidR="00AF48D6">
        <w:t>.2</w:t>
      </w:r>
      <w:r w:rsidR="00AF48D6">
        <w:tab/>
        <w:t xml:space="preserve">Prodávající poskytuje na zboží záruku za jakost po dobu </w:t>
      </w:r>
      <w:r w:rsidR="005C75F8">
        <w:t>36</w:t>
      </w:r>
      <w:r w:rsidR="00AF48D6">
        <w:t xml:space="preserve"> měsíců. </w:t>
      </w:r>
    </w:p>
    <w:p w14:paraId="29830CB4" w14:textId="2C9A71B3" w:rsidR="001F2379" w:rsidRDefault="001968BB">
      <w:pPr>
        <w:tabs>
          <w:tab w:val="left" w:pos="1260"/>
        </w:tabs>
        <w:ind w:left="420" w:hanging="420"/>
        <w:jc w:val="both"/>
      </w:pPr>
      <w:r>
        <w:t>5</w:t>
      </w:r>
      <w:r w:rsidR="00AF48D6">
        <w:t xml:space="preserve">.3 </w:t>
      </w:r>
      <w:r w:rsidR="00AF48D6">
        <w:tab/>
        <w:t>Záruční doba začíná běžet ode dne převzetí zboží kupujícím. Záruční doba neběží po dobu, po kterou kupující nemůže užívat zboží pro jeho vady.</w:t>
      </w:r>
    </w:p>
    <w:p w14:paraId="281A58F4" w14:textId="511CCBE9" w:rsidR="009A3CF8" w:rsidRDefault="001968BB">
      <w:pPr>
        <w:tabs>
          <w:tab w:val="left" w:pos="1260"/>
        </w:tabs>
        <w:ind w:left="420" w:hanging="420"/>
        <w:jc w:val="both"/>
      </w:pPr>
      <w:r>
        <w:t>5</w:t>
      </w:r>
      <w:r w:rsidR="00AF48D6">
        <w:t>.4</w:t>
      </w:r>
      <w:r w:rsidR="00AF48D6">
        <w:tab/>
      </w:r>
      <w:r w:rsidR="009A3CF8">
        <w:t>Prodávající</w:t>
      </w:r>
      <w:r w:rsidR="009A3CF8" w:rsidRPr="009A3CF8">
        <w:t xml:space="preserve"> odpovídá za vady, které </w:t>
      </w:r>
      <w:r w:rsidR="009A3CF8">
        <w:t>má dodané zboží</w:t>
      </w:r>
      <w:r w:rsidR="009A3CF8" w:rsidRPr="009A3CF8">
        <w:t xml:space="preserve"> při převzetí objednatelem, jakož i za vady, které se na </w:t>
      </w:r>
      <w:r w:rsidR="009A3CF8">
        <w:t>zboží</w:t>
      </w:r>
      <w:r w:rsidR="009A3CF8" w:rsidRPr="009A3CF8">
        <w:t xml:space="preserve"> vyskytnou po jeho převzetí </w:t>
      </w:r>
      <w:r w:rsidR="009A3CF8">
        <w:t>kupujícím</w:t>
      </w:r>
      <w:r w:rsidR="009A3CF8" w:rsidRPr="009A3CF8">
        <w:t xml:space="preserve"> v záruční době, pokud nebyly způsobeny objednatelem (např. nedodržováním pokynů k užívání, neodbornou obsluhou, nezajištěním vhodného prostředí pro provoz apod.).</w:t>
      </w:r>
    </w:p>
    <w:p w14:paraId="238B1E86" w14:textId="053EB644" w:rsidR="001F2379" w:rsidRDefault="001968BB">
      <w:pPr>
        <w:tabs>
          <w:tab w:val="left" w:pos="1260"/>
        </w:tabs>
        <w:ind w:left="420" w:hanging="420"/>
        <w:jc w:val="both"/>
      </w:pPr>
      <w:r>
        <w:t>5</w:t>
      </w:r>
      <w:r w:rsidR="009A3CF8">
        <w:t xml:space="preserve">.5 </w:t>
      </w:r>
      <w:r w:rsidR="00AF48D6">
        <w:t xml:space="preserve">Případné zásahy na zboží provedené odborně způsobilými osobami na žádost kupujícího nemají vliv na platnost a dobu záruky. </w:t>
      </w:r>
    </w:p>
    <w:p w14:paraId="2B1EB8F2" w14:textId="0F33153A" w:rsidR="001F2379" w:rsidRDefault="001968BB">
      <w:pPr>
        <w:tabs>
          <w:tab w:val="left" w:pos="1260"/>
        </w:tabs>
        <w:ind w:left="420" w:hanging="420"/>
        <w:jc w:val="both"/>
      </w:pPr>
      <w:r>
        <w:t>5</w:t>
      </w:r>
      <w:r w:rsidR="00AF48D6">
        <w:t>.</w:t>
      </w:r>
      <w:r w:rsidR="009A3CF8">
        <w:t>6</w:t>
      </w:r>
      <w:r w:rsidR="00AF48D6">
        <w:tab/>
        <w:t xml:space="preserve">Prodávající zajistí v případě reklamace opravu zboží u kupujícího, v případě neodstranění vady na místě prodávající zajistí na své náklady odvoz a dovoz zboží po provedení opravy případně výměny za zboží bezvadné. </w:t>
      </w:r>
    </w:p>
    <w:p w14:paraId="54A9F394" w14:textId="71D40114" w:rsidR="001F2379" w:rsidRDefault="001968BB">
      <w:pPr>
        <w:tabs>
          <w:tab w:val="left" w:pos="1260"/>
        </w:tabs>
        <w:ind w:left="420" w:hanging="420"/>
        <w:jc w:val="both"/>
      </w:pPr>
      <w:r>
        <w:t>5</w:t>
      </w:r>
      <w:r w:rsidR="00AF48D6">
        <w:t>.</w:t>
      </w:r>
      <w:r w:rsidR="009A3CF8">
        <w:t>7</w:t>
      </w:r>
      <w:r w:rsidR="00AF48D6">
        <w:tab/>
        <w:t xml:space="preserve">Prodávající se zavazuje k tomu, že nejpozději do 2 pracovních dnů od obdržení reklamace začne řešit odstranění vady zboží v záruční době a následně provede opravu, popř. výměnu za zboží bezvadné nejpozději do 5 pracovních dnů. </w:t>
      </w:r>
    </w:p>
    <w:p w14:paraId="16F2628A" w14:textId="77777777" w:rsidR="001F2379" w:rsidRDefault="001F2379">
      <w:pPr>
        <w:tabs>
          <w:tab w:val="left" w:pos="1260"/>
        </w:tabs>
        <w:ind w:left="420" w:hanging="420"/>
        <w:jc w:val="center"/>
        <w:rPr>
          <w:b/>
          <w:caps/>
        </w:rPr>
      </w:pPr>
    </w:p>
    <w:p w14:paraId="6BBAFF94" w14:textId="77777777" w:rsidR="001F2379" w:rsidRDefault="001F2379">
      <w:pPr>
        <w:tabs>
          <w:tab w:val="left" w:pos="1260"/>
        </w:tabs>
        <w:ind w:left="420" w:hanging="420"/>
        <w:jc w:val="center"/>
        <w:rPr>
          <w:b/>
          <w:caps/>
        </w:rPr>
      </w:pPr>
    </w:p>
    <w:p w14:paraId="7FEBBA7C" w14:textId="77777777" w:rsidR="001F2379" w:rsidRDefault="00AF48D6" w:rsidP="004000E4">
      <w:pPr>
        <w:numPr>
          <w:ilvl w:val="0"/>
          <w:numId w:val="6"/>
        </w:numPr>
        <w:tabs>
          <w:tab w:val="left" w:pos="1260"/>
        </w:tabs>
        <w:jc w:val="center"/>
        <w:rPr>
          <w:b/>
          <w:caps/>
        </w:rPr>
      </w:pPr>
      <w:r>
        <w:rPr>
          <w:b/>
          <w:caps/>
        </w:rPr>
        <w:t>Kupní cena</w:t>
      </w:r>
    </w:p>
    <w:p w14:paraId="115E32A4" w14:textId="77777777" w:rsidR="001F2379" w:rsidRDefault="001F2379">
      <w:pPr>
        <w:tabs>
          <w:tab w:val="left" w:pos="1260"/>
        </w:tabs>
        <w:ind w:left="780"/>
        <w:jc w:val="center"/>
        <w:rPr>
          <w:b/>
          <w:caps/>
        </w:rPr>
      </w:pPr>
    </w:p>
    <w:p w14:paraId="65C98056" w14:textId="6F45A404" w:rsidR="001F2379" w:rsidRDefault="001968BB">
      <w:pPr>
        <w:tabs>
          <w:tab w:val="left" w:pos="1260"/>
        </w:tabs>
        <w:ind w:left="420" w:hanging="420"/>
        <w:jc w:val="both"/>
      </w:pPr>
      <w:r>
        <w:t>6</w:t>
      </w:r>
      <w:r w:rsidR="00AF48D6">
        <w:t>.1</w:t>
      </w:r>
      <w:r w:rsidR="00AF48D6">
        <w:tab/>
        <w:t xml:space="preserve">Kupní cena je cenou nejvýše přípustnou a zahrnuje veškeré náklady prodávajícího spojené s předmětem plnění, tedy i náklady na dopravu na místo plnění. </w:t>
      </w:r>
    </w:p>
    <w:p w14:paraId="7E4D5D5F" w14:textId="1560B0DF" w:rsidR="001F2379" w:rsidRDefault="001968BB">
      <w:pPr>
        <w:tabs>
          <w:tab w:val="left" w:pos="1260"/>
        </w:tabs>
        <w:ind w:left="420" w:hanging="420"/>
        <w:jc w:val="both"/>
      </w:pPr>
      <w:r>
        <w:t>6</w:t>
      </w:r>
      <w:r w:rsidR="00AF48D6">
        <w:t>.2</w:t>
      </w:r>
      <w:r w:rsidR="00AF48D6">
        <w:tab/>
        <w:t xml:space="preserve">Kupní cena byla stanovena ve výši: </w:t>
      </w:r>
    </w:p>
    <w:p w14:paraId="578B37A9" w14:textId="77777777" w:rsidR="009A3CF8" w:rsidRDefault="009A3CF8">
      <w:pPr>
        <w:tabs>
          <w:tab w:val="left" w:pos="1260"/>
        </w:tabs>
        <w:ind w:left="420" w:hanging="420"/>
        <w:jc w:val="both"/>
      </w:pPr>
    </w:p>
    <w:tbl>
      <w:tblPr>
        <w:tblStyle w:val="Mkatabulky"/>
        <w:tblW w:w="0" w:type="auto"/>
        <w:tblInd w:w="423" w:type="dxa"/>
        <w:tblLook w:val="04A0" w:firstRow="1" w:lastRow="0" w:firstColumn="1" w:lastColumn="0" w:noHBand="0" w:noVBand="1"/>
      </w:tblPr>
      <w:tblGrid>
        <w:gridCol w:w="2122"/>
        <w:gridCol w:w="2268"/>
      </w:tblGrid>
      <w:tr w:rsidR="009A3CF8" w14:paraId="2BA413FA" w14:textId="77777777" w:rsidTr="001E7895">
        <w:tc>
          <w:tcPr>
            <w:tcW w:w="2122" w:type="dxa"/>
          </w:tcPr>
          <w:p w14:paraId="751C903C" w14:textId="77777777" w:rsidR="009A3CF8" w:rsidRPr="009A3CF8" w:rsidRDefault="009A3CF8" w:rsidP="001E7895">
            <w:pPr>
              <w:jc w:val="both"/>
            </w:pPr>
            <w:r w:rsidRPr="009A3CF8">
              <w:t>Cena bez DPH</w:t>
            </w:r>
          </w:p>
        </w:tc>
        <w:tc>
          <w:tcPr>
            <w:tcW w:w="2268" w:type="dxa"/>
          </w:tcPr>
          <w:p w14:paraId="63D6345F" w14:textId="15D8FBDB" w:rsidR="009A3CF8" w:rsidRPr="009A3CF8" w:rsidRDefault="001E66FD" w:rsidP="001E7895">
            <w:pPr>
              <w:jc w:val="right"/>
            </w:pPr>
            <w:r>
              <w:t xml:space="preserve">191.200,50 </w:t>
            </w:r>
            <w:r w:rsidR="009A3CF8" w:rsidRPr="009A3CF8">
              <w:t>Kč</w:t>
            </w:r>
          </w:p>
        </w:tc>
      </w:tr>
      <w:tr w:rsidR="009A3CF8" w14:paraId="441894B4" w14:textId="77777777" w:rsidTr="001E7895">
        <w:tc>
          <w:tcPr>
            <w:tcW w:w="2122" w:type="dxa"/>
          </w:tcPr>
          <w:p w14:paraId="509F3423" w14:textId="77777777" w:rsidR="009A3CF8" w:rsidRPr="009A3CF8" w:rsidRDefault="009A3CF8" w:rsidP="001E7895">
            <w:pPr>
              <w:jc w:val="both"/>
            </w:pPr>
            <w:r w:rsidRPr="009A3CF8">
              <w:t>DPH 21 %</w:t>
            </w:r>
          </w:p>
        </w:tc>
        <w:tc>
          <w:tcPr>
            <w:tcW w:w="2268" w:type="dxa"/>
          </w:tcPr>
          <w:p w14:paraId="06A00626" w14:textId="6C3A7AA2" w:rsidR="009A3CF8" w:rsidRPr="009A3CF8" w:rsidRDefault="001E66FD" w:rsidP="001E7895">
            <w:pPr>
              <w:jc w:val="right"/>
            </w:pPr>
            <w:r>
              <w:t xml:space="preserve">40.152,11 </w:t>
            </w:r>
            <w:r w:rsidR="009A3CF8" w:rsidRPr="009A3CF8">
              <w:t>Kč</w:t>
            </w:r>
          </w:p>
        </w:tc>
      </w:tr>
      <w:tr w:rsidR="009A3CF8" w14:paraId="60BA4FDB" w14:textId="77777777" w:rsidTr="001E7895">
        <w:tc>
          <w:tcPr>
            <w:tcW w:w="2122" w:type="dxa"/>
          </w:tcPr>
          <w:p w14:paraId="7E0DA05E" w14:textId="77777777" w:rsidR="009A3CF8" w:rsidRPr="009A3CF8" w:rsidRDefault="009A3CF8" w:rsidP="001E7895">
            <w:pPr>
              <w:jc w:val="both"/>
            </w:pPr>
            <w:r w:rsidRPr="009A3CF8">
              <w:t>Cena včetně DPH</w:t>
            </w:r>
          </w:p>
        </w:tc>
        <w:tc>
          <w:tcPr>
            <w:tcW w:w="2268" w:type="dxa"/>
          </w:tcPr>
          <w:p w14:paraId="6BCE3453" w14:textId="22B8FB19" w:rsidR="009A3CF8" w:rsidRPr="009A3CF8" w:rsidRDefault="001E66FD" w:rsidP="001E7895">
            <w:pPr>
              <w:jc w:val="right"/>
            </w:pPr>
            <w:r>
              <w:t xml:space="preserve">231.352,61 </w:t>
            </w:r>
            <w:r w:rsidR="009A3CF8" w:rsidRPr="009A3CF8">
              <w:t>Kč</w:t>
            </w:r>
          </w:p>
        </w:tc>
      </w:tr>
    </w:tbl>
    <w:p w14:paraId="0D2A81A5" w14:textId="77777777" w:rsidR="001F2379" w:rsidRDefault="001F2379">
      <w:pPr>
        <w:tabs>
          <w:tab w:val="left" w:pos="1260"/>
        </w:tabs>
        <w:ind w:left="420" w:hanging="420"/>
        <w:jc w:val="both"/>
        <w:rPr>
          <w:color w:val="FF0000"/>
        </w:rPr>
      </w:pPr>
    </w:p>
    <w:p w14:paraId="32BC4C37" w14:textId="77777777" w:rsidR="001F2379" w:rsidRDefault="001F2379">
      <w:pPr>
        <w:jc w:val="both"/>
      </w:pPr>
    </w:p>
    <w:p w14:paraId="7CC4B970" w14:textId="77777777" w:rsidR="001F2379" w:rsidRDefault="00AF48D6" w:rsidP="004000E4">
      <w:pPr>
        <w:numPr>
          <w:ilvl w:val="0"/>
          <w:numId w:val="6"/>
        </w:numPr>
        <w:tabs>
          <w:tab w:val="left" w:pos="1260"/>
        </w:tabs>
        <w:jc w:val="center"/>
        <w:rPr>
          <w:b/>
          <w:caps/>
        </w:rPr>
      </w:pPr>
      <w:r>
        <w:rPr>
          <w:b/>
          <w:caps/>
        </w:rPr>
        <w:t>Platební podmínky</w:t>
      </w:r>
    </w:p>
    <w:p w14:paraId="220AE743" w14:textId="77777777" w:rsidR="001F2379" w:rsidRDefault="001F2379">
      <w:pPr>
        <w:tabs>
          <w:tab w:val="left" w:pos="1260"/>
        </w:tabs>
        <w:ind w:left="780"/>
        <w:jc w:val="center"/>
        <w:rPr>
          <w:b/>
          <w:caps/>
        </w:rPr>
      </w:pPr>
    </w:p>
    <w:p w14:paraId="1756CCA2" w14:textId="4E3D026F" w:rsidR="001F2379" w:rsidRDefault="001968BB">
      <w:pPr>
        <w:tabs>
          <w:tab w:val="left" w:pos="1260"/>
        </w:tabs>
        <w:ind w:left="420" w:hanging="420"/>
        <w:jc w:val="both"/>
      </w:pPr>
      <w:r>
        <w:t>7</w:t>
      </w:r>
      <w:r w:rsidR="00AF48D6">
        <w:t>.1</w:t>
      </w:r>
      <w:r w:rsidR="00AF48D6">
        <w:tab/>
        <w:t>Kupující neposkytne prodávajícímu finanční zálohu na dodávku zboží.</w:t>
      </w:r>
    </w:p>
    <w:p w14:paraId="02C91BE3" w14:textId="330373CE" w:rsidR="009A3CF8" w:rsidRDefault="001968BB" w:rsidP="009A3CF8">
      <w:pPr>
        <w:tabs>
          <w:tab w:val="left" w:pos="1260"/>
        </w:tabs>
        <w:ind w:left="420" w:hanging="420"/>
        <w:jc w:val="both"/>
      </w:pPr>
      <w:r>
        <w:lastRenderedPageBreak/>
        <w:t>7</w:t>
      </w:r>
      <w:r w:rsidR="009A3CF8">
        <w:t xml:space="preserve">.2 </w:t>
      </w:r>
      <w:r w:rsidR="00404DE4">
        <w:t>Kupní cena</w:t>
      </w:r>
      <w:r w:rsidR="009A3CF8">
        <w:t xml:space="preserve"> bude uhrazen</w:t>
      </w:r>
      <w:r w:rsidR="00404DE4">
        <w:t>a</w:t>
      </w:r>
      <w:r w:rsidR="009A3CF8">
        <w:t xml:space="preserve"> na základě daňového dokladu (dále jen „faktura“) vystaveného po předání a převzetí zboží a podpisu předávacího protokolu, </w:t>
      </w:r>
      <w:r w:rsidR="00404DE4">
        <w:t xml:space="preserve">kterým bude potvrzeno, </w:t>
      </w:r>
      <w:r w:rsidR="009A3CF8">
        <w:t xml:space="preserve">že zboží bylo předáno řádně a včas. </w:t>
      </w:r>
    </w:p>
    <w:p w14:paraId="4D1B8A87" w14:textId="5AD87942" w:rsidR="009A3CF8" w:rsidRDefault="001968BB" w:rsidP="009A3CF8">
      <w:pPr>
        <w:tabs>
          <w:tab w:val="left" w:pos="1260"/>
        </w:tabs>
        <w:ind w:left="420" w:hanging="420"/>
        <w:jc w:val="both"/>
      </w:pPr>
      <w:r>
        <w:t>7</w:t>
      </w:r>
      <w:r w:rsidR="009A3CF8">
        <w:t xml:space="preserve">.3 Faktura bude doručena elektronicky na adresu kupujícího </w:t>
      </w:r>
      <w:hyperlink r:id="rId7" w:history="1">
        <w:r w:rsidR="009A3CF8" w:rsidRPr="009C451D">
          <w:rPr>
            <w:rStyle w:val="Hypertextovodkaz"/>
          </w:rPr>
          <w:t>e-podatelna@novyjicin.cz</w:t>
        </w:r>
      </w:hyperlink>
      <w:r w:rsidR="009A3CF8">
        <w:t xml:space="preserve"> tak, aby byla zajištěna věrohodnost původu a neporušitelnost obsahu a čitelnost daňových dokladů dle § 34 zákona o DPH. Pokud nebude mít náležitosti dle výše uvedeného zákona, může ji kupující vrátit zpět prodávajícímu k doplnění nebo novému vyhotovení. Lhůta splatnosti se pak začíná ode dne doručení opravené a doplněné faktury kupujícímu. </w:t>
      </w:r>
    </w:p>
    <w:p w14:paraId="0E275DCE" w14:textId="413E5147" w:rsidR="009A3CF8" w:rsidRDefault="001968BB" w:rsidP="009A3CF8">
      <w:pPr>
        <w:tabs>
          <w:tab w:val="left" w:pos="1260"/>
        </w:tabs>
        <w:ind w:left="420" w:hanging="420"/>
        <w:jc w:val="both"/>
      </w:pPr>
      <w:r>
        <w:t>7</w:t>
      </w:r>
      <w:r w:rsidR="009A3CF8">
        <w:t>.4</w:t>
      </w:r>
      <w:r w:rsidR="009A3CF8">
        <w:tab/>
        <w:t>Lhůta splatnosti faktury je do 1</w:t>
      </w:r>
      <w:r w:rsidR="00BF325D">
        <w:t>4</w:t>
      </w:r>
      <w:r w:rsidR="009A3CF8">
        <w:t xml:space="preserve"> dnů ode dne doručení faktury kupujícímu, povinnost zaplatit je splněna dnem odepsání příslušné částky z účtu kupujícího.</w:t>
      </w:r>
    </w:p>
    <w:p w14:paraId="17465492" w14:textId="16DF9E17" w:rsidR="009A3CF8" w:rsidRDefault="001968BB" w:rsidP="009A3CF8">
      <w:pPr>
        <w:tabs>
          <w:tab w:val="left" w:pos="1260"/>
        </w:tabs>
        <w:ind w:left="420" w:hanging="420"/>
        <w:jc w:val="both"/>
      </w:pPr>
      <w:r>
        <w:t>7</w:t>
      </w:r>
      <w:r w:rsidR="009A3CF8">
        <w:t>.5</w:t>
      </w:r>
      <w:r w:rsidR="009A3CF8">
        <w:tab/>
        <w:t>Faktura musí obsahovat náležitosti stanovené platnými právními předpisy. Kromě těchto náležitostí je prodávající povinen vyznačit na faktuře i tyto skutečnosti – předmět smlouvy a jeho přesnou specifikaci, vlastnoruční podpis vystavitele včetně kontaktního telefonu a číslo smlouvy dle kupujícího.</w:t>
      </w:r>
    </w:p>
    <w:p w14:paraId="541C1B79" w14:textId="7743A1A3" w:rsidR="009A3CF8" w:rsidRDefault="001968BB" w:rsidP="009A3CF8">
      <w:pPr>
        <w:tabs>
          <w:tab w:val="left" w:pos="1260"/>
        </w:tabs>
        <w:ind w:left="420" w:hanging="420"/>
        <w:jc w:val="both"/>
      </w:pPr>
      <w:r>
        <w:t>7</w:t>
      </w:r>
      <w:r w:rsidR="009A3CF8">
        <w:t>.6</w:t>
      </w:r>
      <w:r w:rsidR="009A3CF8">
        <w:tab/>
        <w:t xml:space="preserve">Faktura bude </w:t>
      </w:r>
      <w:r w:rsidR="00404DE4">
        <w:t xml:space="preserve">dále </w:t>
      </w:r>
      <w:r w:rsidR="009A3CF8">
        <w:t>obsahovat text: „Projekt Pořízení kompostérů pro občany, vratných kelímků na akce města a myčky na kelímky, registrační číslo projektu CZ.05.01.05/XX/22_024/0001179</w:t>
      </w:r>
      <w:r w:rsidR="00404DE4">
        <w:t>,</w:t>
      </w:r>
      <w:r w:rsidR="009A3CF8">
        <w:t xml:space="preserve"> je spolufinancován z Operačního programu Životní prostředí 2021-2027, v rámci výzvy MŽP_24. výzva, SC 1.5“.</w:t>
      </w:r>
    </w:p>
    <w:p w14:paraId="13EA1DB6" w14:textId="088645B7" w:rsidR="001F2379" w:rsidRDefault="001968BB" w:rsidP="009A3CF8">
      <w:pPr>
        <w:tabs>
          <w:tab w:val="left" w:pos="1260"/>
        </w:tabs>
        <w:ind w:left="420" w:hanging="420"/>
        <w:jc w:val="both"/>
      </w:pPr>
      <w:r>
        <w:t>7</w:t>
      </w:r>
      <w:r w:rsidR="00AF48D6">
        <w:t>.</w:t>
      </w:r>
      <w:r w:rsidR="009A3CF8">
        <w:t xml:space="preserve">7 </w:t>
      </w:r>
      <w:r w:rsidR="00AF48D6">
        <w:t>Kupující je povinen v případě prodlení s placením kupní ceny zaplatit prodávajícímu úrok z prodlení ve výši 0,3 % z dlužné částky za každý den prodlení.</w:t>
      </w:r>
    </w:p>
    <w:p w14:paraId="178290AF" w14:textId="77777777" w:rsidR="001F2379" w:rsidRDefault="001F2379">
      <w:pPr>
        <w:tabs>
          <w:tab w:val="left" w:pos="1260"/>
        </w:tabs>
        <w:ind w:left="420" w:hanging="420"/>
        <w:jc w:val="center"/>
        <w:rPr>
          <w:b/>
          <w:caps/>
        </w:rPr>
      </w:pPr>
    </w:p>
    <w:p w14:paraId="06F53A95" w14:textId="77777777" w:rsidR="001F2379" w:rsidRDefault="001F2379">
      <w:pPr>
        <w:tabs>
          <w:tab w:val="left" w:pos="1260"/>
        </w:tabs>
        <w:ind w:left="420" w:hanging="420"/>
        <w:jc w:val="center"/>
        <w:rPr>
          <w:b/>
          <w:caps/>
        </w:rPr>
      </w:pPr>
    </w:p>
    <w:p w14:paraId="08D511AA" w14:textId="77777777" w:rsidR="001F2379" w:rsidRDefault="00AF48D6" w:rsidP="004000E4">
      <w:pPr>
        <w:numPr>
          <w:ilvl w:val="0"/>
          <w:numId w:val="6"/>
        </w:numPr>
        <w:tabs>
          <w:tab w:val="left" w:pos="1260"/>
        </w:tabs>
        <w:jc w:val="center"/>
        <w:rPr>
          <w:b/>
          <w:caps/>
        </w:rPr>
      </w:pPr>
      <w:r>
        <w:rPr>
          <w:b/>
          <w:caps/>
        </w:rPr>
        <w:t>Závěrečná ustanovení</w:t>
      </w:r>
    </w:p>
    <w:p w14:paraId="71136EB0" w14:textId="77777777" w:rsidR="001F2379" w:rsidRDefault="001F2379">
      <w:pPr>
        <w:tabs>
          <w:tab w:val="left" w:pos="1260"/>
        </w:tabs>
        <w:ind w:left="780"/>
        <w:rPr>
          <w:b/>
          <w:caps/>
        </w:rPr>
      </w:pPr>
    </w:p>
    <w:p w14:paraId="15625C48" w14:textId="3954B458" w:rsidR="00D47E04" w:rsidRDefault="001968BB" w:rsidP="00D47E04">
      <w:pPr>
        <w:tabs>
          <w:tab w:val="left" w:pos="1260"/>
        </w:tabs>
        <w:ind w:left="420" w:hanging="420"/>
        <w:jc w:val="both"/>
      </w:pPr>
      <w:r>
        <w:t>8</w:t>
      </w:r>
      <w:r w:rsidR="00AF48D6">
        <w:t>.1</w:t>
      </w:r>
      <w:r w:rsidR="00AF48D6">
        <w:tab/>
      </w:r>
      <w:r w:rsidR="00D47E04">
        <w:t>Prodávající není oprávněn bez předchozího písemného souhlasu kupujícího jakoukoli svou pohledávku za kupujícím vzniklou z této Kupní smlouvy použít k jednostrannému započtení na pohledávku kupujícího za prodávajícím ani takovou pohledávku za kupujícím zastavit.</w:t>
      </w:r>
    </w:p>
    <w:p w14:paraId="797AF265" w14:textId="2832ED38" w:rsidR="00D47E04" w:rsidRDefault="001968BB" w:rsidP="00D47E04">
      <w:pPr>
        <w:tabs>
          <w:tab w:val="left" w:pos="1260"/>
        </w:tabs>
        <w:ind w:left="420" w:hanging="420"/>
        <w:jc w:val="both"/>
      </w:pPr>
      <w:r>
        <w:t>8</w:t>
      </w:r>
      <w:r w:rsidR="00D47E04">
        <w:t>.2</w:t>
      </w:r>
      <w:r w:rsidR="00D47E04">
        <w:tab/>
        <w:t>Prodávající není oprávněn bez předchozího písemného souhlasu kupujícího postoupit svá práva a povinnosti z této Kupní smlouvy třetí osobě.</w:t>
      </w:r>
    </w:p>
    <w:p w14:paraId="1F5BF6DB" w14:textId="73F5254F" w:rsidR="00D47E04" w:rsidRDefault="001968BB" w:rsidP="00D47E04">
      <w:pPr>
        <w:tabs>
          <w:tab w:val="left" w:pos="1260"/>
        </w:tabs>
        <w:ind w:left="420" w:hanging="420"/>
        <w:jc w:val="both"/>
      </w:pPr>
      <w:r>
        <w:t>8</w:t>
      </w:r>
      <w:r w:rsidR="00D47E04">
        <w:t>.</w:t>
      </w:r>
      <w:r w:rsidR="00E52BB2">
        <w:t>3</w:t>
      </w:r>
      <w:r w:rsidR="00D47E04">
        <w:tab/>
        <w:t>Smluvní strany se dohodly, že smlouva bude v souladu se zákonem č. 340/2015 Sb., o zvláštních podmínkách účinnosti některých smluv, uveřejňování těchto smluv a o registru smluv (zákon o registru smluv), ve znění pozdějších předpisů uveřejněna v registru smluv. Smluvní strany se dále dohodly, že elektronický obraz smlouvy a metadata dle uvedeného zákona zašle k uveřejnění v registru smluv město Nový Jičín, a to nejpozději do 15 dnů od uzavření smlouvy.</w:t>
      </w:r>
    </w:p>
    <w:p w14:paraId="7AFC3B43" w14:textId="06BB2FAC" w:rsidR="00D47E04" w:rsidRDefault="001968BB" w:rsidP="00D47E04">
      <w:pPr>
        <w:tabs>
          <w:tab w:val="left" w:pos="1260"/>
        </w:tabs>
        <w:ind w:left="420" w:hanging="420"/>
        <w:jc w:val="both"/>
      </w:pPr>
      <w:r>
        <w:t>8</w:t>
      </w:r>
      <w:r w:rsidR="00D47E04">
        <w:t>.</w:t>
      </w:r>
      <w:r w:rsidR="00E52BB2">
        <w:t>4</w:t>
      </w:r>
      <w:r w:rsidR="00D47E04">
        <w:tab/>
        <w:t xml:space="preserve">Smluvní strany prohlašují, že tato smlouva vyjma osobních údajů neobsahuje žádné informace ve smyslu § 3 odst. 1 zákona č. 340/2015 Sb., a proto souhlasí se zveřejněním celého textu smlouvy, po znečitelnění osobních údajů. </w:t>
      </w:r>
    </w:p>
    <w:p w14:paraId="397A8382" w14:textId="652624CE" w:rsidR="00D47E04" w:rsidRDefault="001968BB" w:rsidP="00D47E04">
      <w:pPr>
        <w:tabs>
          <w:tab w:val="left" w:pos="1260"/>
        </w:tabs>
        <w:ind w:left="420" w:hanging="420"/>
        <w:jc w:val="both"/>
      </w:pPr>
      <w:r>
        <w:t>8</w:t>
      </w:r>
      <w:r w:rsidR="00D47E04">
        <w:t>.</w:t>
      </w:r>
      <w:r w:rsidR="00E52BB2">
        <w:t>5</w:t>
      </w:r>
      <w:r w:rsidR="00D47E04">
        <w:tab/>
        <w:t>Změnit nebo doplnit tuto smlouvu mohou smluvní strany pouze formou písemných dodatků, které budou vzestupně číslovány, výslovně prohlášeny za dodatek této smlouvy a podepsány oprávněnými zástupci obou smluvních stran.</w:t>
      </w:r>
    </w:p>
    <w:p w14:paraId="2C13E9F8" w14:textId="68D5E3E3" w:rsidR="00D47E04" w:rsidRDefault="001968BB" w:rsidP="00D47E04">
      <w:pPr>
        <w:tabs>
          <w:tab w:val="left" w:pos="1260"/>
        </w:tabs>
        <w:ind w:left="420" w:hanging="420"/>
        <w:jc w:val="both"/>
      </w:pPr>
      <w:r>
        <w:t>8</w:t>
      </w:r>
      <w:r w:rsidR="00D47E04">
        <w:t>.</w:t>
      </w:r>
      <w:r w:rsidR="00E52BB2">
        <w:t>6</w:t>
      </w:r>
      <w:r w:rsidR="00D47E04">
        <w:tab/>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3039D79" w14:textId="06B03678" w:rsidR="00D47E04" w:rsidRDefault="001968BB" w:rsidP="00D47E04">
      <w:pPr>
        <w:tabs>
          <w:tab w:val="left" w:pos="1260"/>
        </w:tabs>
        <w:ind w:left="420" w:hanging="420"/>
        <w:jc w:val="both"/>
      </w:pPr>
      <w:r>
        <w:t>8</w:t>
      </w:r>
      <w:r w:rsidR="00D47E04">
        <w:t>.</w:t>
      </w:r>
      <w:r w:rsidR="00E52BB2">
        <w:t>7</w:t>
      </w:r>
      <w:r w:rsidR="00D47E04">
        <w:tab/>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budu případy, kdy daná strana úmyslně uvedla druhou stranu ve skutkový omyl ohledně předmětu této smlouvy.</w:t>
      </w:r>
    </w:p>
    <w:p w14:paraId="49BF988D" w14:textId="22EF19AA" w:rsidR="00D47E04" w:rsidRDefault="001968BB" w:rsidP="00D47E04">
      <w:pPr>
        <w:tabs>
          <w:tab w:val="left" w:pos="1260"/>
        </w:tabs>
        <w:ind w:left="420" w:hanging="420"/>
        <w:jc w:val="both"/>
      </w:pPr>
      <w:r>
        <w:lastRenderedPageBreak/>
        <w:t>8.</w:t>
      </w:r>
      <w:r w:rsidR="00E52BB2">
        <w:t>8</w:t>
      </w:r>
      <w:r w:rsidR="00D47E04">
        <w:tab/>
        <w:t>Tato smlouva nabývá platnosti dnem podpisu obou smluvních stran a účinnosti uveřejněním v registru smluv. Veškeré dodatky a změny musí být učiněny písemně a musí být oboustranně odsouhlaseny.</w:t>
      </w:r>
    </w:p>
    <w:p w14:paraId="6E9A5938" w14:textId="787F38BB" w:rsidR="00D47E04" w:rsidRDefault="001968BB" w:rsidP="00FB2EDE">
      <w:pPr>
        <w:tabs>
          <w:tab w:val="left" w:pos="1260"/>
          <w:tab w:val="left" w:pos="9072"/>
        </w:tabs>
        <w:ind w:left="420" w:hanging="420"/>
        <w:jc w:val="both"/>
      </w:pPr>
      <w:r>
        <w:t>8.</w:t>
      </w:r>
      <w:r w:rsidR="00E52BB2">
        <w:t xml:space="preserve">9 </w:t>
      </w:r>
      <w:r w:rsidR="00775866" w:rsidRPr="00775866">
        <w:t>Tato smlouva je uzavírána v elektronické podobě a nabude platnosti připojením zaručených elektronických podpisů zástupců obou smluvních stran, kteří jsou uvedeni v záhlaví této smlouvy, k témuž elektronickému dokumentu, a zasláním takto podepsaného dokumentu oběma smluvním stranám. Tato smlouva nabude účinnosti zveřejněním v registru smluv dle zák. č. 340/2015 Sb., zákon o registru smluv, ve znění pozdějších předpisů.</w:t>
      </w:r>
    </w:p>
    <w:p w14:paraId="1D0B930A" w14:textId="33B40D06" w:rsidR="00D47E04" w:rsidRDefault="001968BB" w:rsidP="00D47E04">
      <w:pPr>
        <w:tabs>
          <w:tab w:val="left" w:pos="1260"/>
        </w:tabs>
        <w:ind w:left="420" w:hanging="420"/>
        <w:jc w:val="both"/>
      </w:pPr>
      <w:r>
        <w:t>8.1</w:t>
      </w:r>
      <w:r w:rsidR="00E52BB2">
        <w:t>0</w:t>
      </w:r>
      <w:r w:rsidR="00D47E04">
        <w:t>Prodávající bere na vědomí, že zakázka je spolufinancována ze zdrojů Fondu soudržnosti a Státního rozpočtu ČR, a zavazuje se respektovat stanovená nařízení Operačního programu Životní prostředí. Zejména se prodávající zavazuje umožnit všem subjektům oprávněným k výkonu kontroly projektu, z jehož prostředků je dodávka spolufinancována, provést kontrolu dokladů souvisejících s plněním zakázky, a to po dobu danou právními předpisy ČR k jejich archivaci (zákon č. 563/1991 Sb., o účetnictví, a zákon č. 235/2004 Sb., o dani z přidané hodnoty).</w:t>
      </w:r>
    </w:p>
    <w:p w14:paraId="0BB1F7F5" w14:textId="3194F139" w:rsidR="001F2379" w:rsidRDefault="001968BB" w:rsidP="00D47E04">
      <w:pPr>
        <w:tabs>
          <w:tab w:val="left" w:pos="1260"/>
        </w:tabs>
        <w:ind w:left="420" w:hanging="420"/>
        <w:jc w:val="both"/>
      </w:pPr>
      <w:r>
        <w:t>8.1</w:t>
      </w:r>
      <w:r w:rsidR="00E52BB2">
        <w:t>1</w:t>
      </w:r>
      <w:r w:rsidR="00AF48D6">
        <w:t xml:space="preserve">Smluvní strany shodně prohlašují, že si tuto smlouvu před jejím podepsáním přečetly, že byla uzavřena po vzájemném projednání podle jejich pravé a svobodné vůle, že jejímu obsahu porozuměly a svůj projev vůle učinily vážně, určitě, srozumitelně, </w:t>
      </w:r>
      <w:r w:rsidR="000D7B86">
        <w:t>dobrovolně,</w:t>
      </w:r>
      <w:r w:rsidR="00AF48D6">
        <w:t xml:space="preserve"> a nikoliv v</w:t>
      </w:r>
      <w:r w:rsidR="000D7B86">
        <w:t> </w:t>
      </w:r>
      <w:r w:rsidR="00AF48D6">
        <w:t>tísni</w:t>
      </w:r>
      <w:r w:rsidR="000D7B86">
        <w:t>,</w:t>
      </w:r>
      <w:r w:rsidR="00AF48D6">
        <w:t xml:space="preserve"> a že se dohodly na celém jejím obsahu, což stvrzují svými podpisy.</w:t>
      </w:r>
    </w:p>
    <w:p w14:paraId="45822D6C" w14:textId="77777777" w:rsidR="001F2379" w:rsidRDefault="001F2379">
      <w:pPr>
        <w:tabs>
          <w:tab w:val="left" w:pos="1260"/>
        </w:tabs>
        <w:jc w:val="both"/>
      </w:pPr>
    </w:p>
    <w:p w14:paraId="2EBFCA47" w14:textId="77777777" w:rsidR="000D7B86" w:rsidRDefault="000D7B86">
      <w:pPr>
        <w:tabs>
          <w:tab w:val="left" w:pos="1260"/>
        </w:tabs>
        <w:jc w:val="both"/>
      </w:pPr>
    </w:p>
    <w:p w14:paraId="2E1563A6" w14:textId="1559BD4C" w:rsidR="001F2379" w:rsidRDefault="00AF48D6">
      <w:pPr>
        <w:tabs>
          <w:tab w:val="left" w:pos="1260"/>
        </w:tabs>
        <w:jc w:val="both"/>
      </w:pPr>
      <w:r>
        <w:t>Příloha č. 1 – Cenová nabídka</w:t>
      </w:r>
    </w:p>
    <w:p w14:paraId="059CA1DD" w14:textId="77777777" w:rsidR="001F2379" w:rsidRDefault="001F2379">
      <w:pPr>
        <w:tabs>
          <w:tab w:val="left" w:pos="1260"/>
        </w:tabs>
        <w:jc w:val="both"/>
      </w:pPr>
    </w:p>
    <w:p w14:paraId="6F04DD46" w14:textId="77777777" w:rsidR="000D7B86" w:rsidRDefault="000D7B86">
      <w:pPr>
        <w:tabs>
          <w:tab w:val="left" w:pos="1260"/>
        </w:tabs>
        <w:jc w:val="both"/>
      </w:pPr>
    </w:p>
    <w:p w14:paraId="145B64D8" w14:textId="77777777" w:rsidR="000D7B86" w:rsidRDefault="000D7B86">
      <w:pPr>
        <w:tabs>
          <w:tab w:val="left" w:pos="1260"/>
        </w:tabs>
        <w:jc w:val="both"/>
      </w:pPr>
    </w:p>
    <w:p w14:paraId="64FA447E" w14:textId="77777777" w:rsidR="001F2379" w:rsidRDefault="001F2379">
      <w:pPr>
        <w:tabs>
          <w:tab w:val="left" w:pos="1260"/>
        </w:tabs>
        <w:jc w:val="both"/>
      </w:pPr>
    </w:p>
    <w:p w14:paraId="7022923A" w14:textId="77777777" w:rsidR="001F2379" w:rsidRDefault="001F2379">
      <w:pPr>
        <w:jc w:val="both"/>
      </w:pPr>
    </w:p>
    <w:p w14:paraId="7950AFF5" w14:textId="52396384" w:rsidR="001F2379" w:rsidRDefault="00AF48D6">
      <w:pPr>
        <w:jc w:val="both"/>
      </w:pPr>
      <w:r>
        <w:t>V Novém Jičíně dne</w:t>
      </w:r>
      <w:r w:rsidR="00435A9B">
        <w:t xml:space="preserve"> 13.02.2024</w:t>
      </w:r>
      <w:r>
        <w:tab/>
        <w:t xml:space="preserve">                 </w:t>
      </w:r>
      <w:r w:rsidR="00D6532E">
        <w:t xml:space="preserve">                 </w:t>
      </w:r>
      <w:r>
        <w:t>V</w:t>
      </w:r>
      <w:r w:rsidR="000D7B86">
        <w:t xml:space="preserve"> </w:t>
      </w:r>
      <w:r w:rsidR="001E66FD">
        <w:t>Říčanech</w:t>
      </w:r>
      <w:r w:rsidR="000D7B86">
        <w:t xml:space="preserve"> dne</w:t>
      </w:r>
      <w:r w:rsidR="00435A9B">
        <w:t xml:space="preserve"> 30.01.2024</w:t>
      </w:r>
    </w:p>
    <w:p w14:paraId="277B31A2" w14:textId="77777777" w:rsidR="001F2379" w:rsidRDefault="001F2379">
      <w:pPr>
        <w:pStyle w:val="ZkladntextStandardparagraph"/>
        <w:rPr>
          <w:rFonts w:ascii="Times New Roman" w:hAnsi="Times New Roman" w:cs="Times New Roman"/>
          <w:sz w:val="24"/>
          <w:szCs w:val="24"/>
        </w:rPr>
      </w:pPr>
    </w:p>
    <w:p w14:paraId="77C12538" w14:textId="77777777" w:rsidR="001F2379" w:rsidRDefault="001F2379">
      <w:pPr>
        <w:pStyle w:val="ZkladntextStandardparagraph"/>
        <w:rPr>
          <w:rFonts w:ascii="Times New Roman" w:hAnsi="Times New Roman" w:cs="Times New Roman"/>
          <w:sz w:val="24"/>
          <w:szCs w:val="24"/>
          <w:lang w:val="cs-CZ"/>
        </w:rPr>
      </w:pPr>
    </w:p>
    <w:p w14:paraId="47BDBE05" w14:textId="77777777" w:rsidR="001F2379" w:rsidRDefault="00AF48D6">
      <w:pPr>
        <w:pStyle w:val="ZkladntextStandardparagraph"/>
        <w:rPr>
          <w:rFonts w:ascii="Times New Roman" w:hAnsi="Times New Roman" w:cs="Times New Roman"/>
          <w:sz w:val="24"/>
          <w:szCs w:val="24"/>
          <w:lang w:val="cs-CZ"/>
        </w:rPr>
      </w:pPr>
      <w:r>
        <w:rPr>
          <w:rFonts w:ascii="Times New Roman" w:hAnsi="Times New Roman" w:cs="Times New Roman"/>
          <w:sz w:val="24"/>
          <w:szCs w:val="24"/>
          <w:lang w:val="cs-CZ"/>
        </w:rPr>
        <w:t xml:space="preserve">Za kupujícího: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 xml:space="preserve">                                   Za prodávajícího:</w:t>
      </w:r>
    </w:p>
    <w:p w14:paraId="552F9637" w14:textId="77777777" w:rsidR="001F2379" w:rsidRDefault="001F2379">
      <w:pPr>
        <w:pStyle w:val="ZkladntextStandardparagraph"/>
        <w:rPr>
          <w:rFonts w:ascii="Times New Roman" w:hAnsi="Times New Roman" w:cs="Times New Roman"/>
          <w:sz w:val="24"/>
          <w:szCs w:val="24"/>
          <w:lang w:val="cs-CZ"/>
        </w:rPr>
      </w:pPr>
    </w:p>
    <w:p w14:paraId="1DA29200" w14:textId="77777777" w:rsidR="001F2379" w:rsidRDefault="001F2379">
      <w:pPr>
        <w:pStyle w:val="ZkladntextStandardparagraph"/>
        <w:rPr>
          <w:rFonts w:ascii="Times New Roman" w:hAnsi="Times New Roman" w:cs="Times New Roman"/>
          <w:sz w:val="24"/>
          <w:szCs w:val="24"/>
          <w:lang w:val="cs-CZ"/>
        </w:rPr>
      </w:pPr>
    </w:p>
    <w:p w14:paraId="3F12BF67" w14:textId="77777777" w:rsidR="000D7B86" w:rsidRDefault="000D7B86">
      <w:pPr>
        <w:pStyle w:val="ZkladntextStandardparagraph"/>
        <w:rPr>
          <w:rFonts w:ascii="Times New Roman" w:hAnsi="Times New Roman" w:cs="Times New Roman"/>
          <w:sz w:val="24"/>
          <w:szCs w:val="24"/>
          <w:lang w:val="cs-CZ"/>
        </w:rPr>
      </w:pPr>
    </w:p>
    <w:p w14:paraId="01B536C5" w14:textId="77777777" w:rsidR="000D7B86" w:rsidRDefault="000D7B86">
      <w:pPr>
        <w:pStyle w:val="ZkladntextStandardparagraph"/>
        <w:rPr>
          <w:rFonts w:ascii="Times New Roman" w:hAnsi="Times New Roman" w:cs="Times New Roman"/>
          <w:sz w:val="24"/>
          <w:szCs w:val="24"/>
          <w:lang w:val="cs-CZ"/>
        </w:rPr>
      </w:pPr>
    </w:p>
    <w:p w14:paraId="6DDF75B0" w14:textId="77777777" w:rsidR="002E740D" w:rsidRDefault="002E740D">
      <w:pPr>
        <w:pStyle w:val="ZkladntextStandardparagraph"/>
        <w:rPr>
          <w:rFonts w:ascii="Times New Roman" w:hAnsi="Times New Roman" w:cs="Times New Roman"/>
          <w:sz w:val="24"/>
          <w:szCs w:val="24"/>
          <w:lang w:val="cs-CZ"/>
        </w:rPr>
      </w:pPr>
    </w:p>
    <w:p w14:paraId="26F53EB3" w14:textId="77777777" w:rsidR="000D7B86" w:rsidRDefault="000D7B86">
      <w:pPr>
        <w:pStyle w:val="ZkladntextStandardparagraph"/>
        <w:rPr>
          <w:rFonts w:ascii="Times New Roman" w:hAnsi="Times New Roman" w:cs="Times New Roman"/>
          <w:sz w:val="24"/>
          <w:szCs w:val="24"/>
          <w:lang w:val="cs-CZ"/>
        </w:rPr>
      </w:pPr>
    </w:p>
    <w:p w14:paraId="24AD48F0" w14:textId="77777777" w:rsidR="001E66FD" w:rsidRDefault="001E66FD">
      <w:pPr>
        <w:pStyle w:val="ZkladntextStandardparagraph"/>
        <w:rPr>
          <w:rFonts w:ascii="Times New Roman" w:hAnsi="Times New Roman" w:cs="Times New Roman"/>
          <w:sz w:val="24"/>
          <w:szCs w:val="24"/>
          <w:lang w:val="cs-CZ"/>
        </w:rPr>
      </w:pPr>
    </w:p>
    <w:p w14:paraId="41065C41" w14:textId="77777777" w:rsidR="000D7B86" w:rsidRDefault="000D7B86">
      <w:pPr>
        <w:pStyle w:val="ZkladntextStandardparagraph"/>
        <w:rPr>
          <w:rFonts w:ascii="Times New Roman" w:hAnsi="Times New Roman" w:cs="Times New Roman"/>
          <w:sz w:val="24"/>
          <w:szCs w:val="24"/>
          <w:lang w:val="cs-CZ"/>
        </w:rPr>
      </w:pPr>
    </w:p>
    <w:p w14:paraId="00C7D190" w14:textId="77777777" w:rsidR="001F2379" w:rsidRDefault="001F2379">
      <w:pPr>
        <w:pStyle w:val="ZkladntextStandardparagraph"/>
        <w:rPr>
          <w:rFonts w:ascii="Times New Roman" w:hAnsi="Times New Roman" w:cs="Times New Roman"/>
          <w:sz w:val="24"/>
          <w:szCs w:val="24"/>
          <w:lang w:val="cs-CZ"/>
        </w:rPr>
      </w:pPr>
    </w:p>
    <w:p w14:paraId="0CBF2056" w14:textId="77777777" w:rsidR="001F2379" w:rsidRDefault="00AF48D6">
      <w:pPr>
        <w:pStyle w:val="ZkladntextStandardparagraph"/>
        <w:rPr>
          <w:rFonts w:ascii="Times New Roman" w:hAnsi="Times New Roman" w:cs="Times New Roman"/>
          <w:sz w:val="24"/>
          <w:szCs w:val="24"/>
          <w:lang w:val="cs-CZ"/>
        </w:rPr>
      </w:pPr>
      <w:r>
        <w:rPr>
          <w:rFonts w:ascii="Times New Roman" w:hAnsi="Times New Roman" w:cs="Times New Roman"/>
          <w:sz w:val="24"/>
          <w:szCs w:val="24"/>
          <w:lang w:val="cs-CZ"/>
        </w:rPr>
        <w:t>…………………………</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w:t>
      </w:r>
    </w:p>
    <w:p w14:paraId="7AB3375A" w14:textId="6544E4E3" w:rsidR="00593342" w:rsidRDefault="00AF48D6" w:rsidP="00593342">
      <w:pPr>
        <w:ind w:left="2127" w:hanging="2124"/>
      </w:pPr>
      <w:r>
        <w:t xml:space="preserve">       Město Nový Jičín</w:t>
      </w:r>
      <w:r w:rsidR="001E66FD">
        <w:tab/>
      </w:r>
      <w:r w:rsidR="001E66FD">
        <w:tab/>
      </w:r>
      <w:r w:rsidR="001E66FD">
        <w:tab/>
      </w:r>
      <w:r w:rsidR="001E66FD">
        <w:tab/>
      </w:r>
      <w:r w:rsidR="001E66FD">
        <w:tab/>
      </w:r>
      <w:r w:rsidR="00593342">
        <w:t xml:space="preserve">    </w:t>
      </w:r>
      <w:r w:rsidR="00593342" w:rsidRPr="001E66FD">
        <w:t>Winterhalter Gastronom s.r.</w:t>
      </w:r>
      <w:r w:rsidR="00593342">
        <w:t>o.</w:t>
      </w:r>
      <w:r>
        <w:t xml:space="preserve">                </w:t>
      </w:r>
      <w:r w:rsidR="00593342">
        <w:t xml:space="preserve">                   </w:t>
      </w:r>
    </w:p>
    <w:p w14:paraId="1B483E5D" w14:textId="3F9ED020" w:rsidR="001F2379" w:rsidRDefault="00593342" w:rsidP="00593342">
      <w:pPr>
        <w:ind w:left="2127" w:hanging="2124"/>
      </w:pPr>
      <w:r>
        <w:t>Mgr. Radka Bobková, MBA</w:t>
      </w:r>
      <w:r>
        <w:tab/>
        <w:t xml:space="preserve">                                                                </w:t>
      </w:r>
      <w:r w:rsidRPr="00593342">
        <w:t>Ing. Jiří Kubeš</w:t>
      </w:r>
    </w:p>
    <w:p w14:paraId="3D8D40D4" w14:textId="485F80AA" w:rsidR="001F2379" w:rsidRDefault="00AF48D6">
      <w:pPr>
        <w:pStyle w:val="Default"/>
      </w:pPr>
      <w:r>
        <w:tab/>
      </w:r>
      <w:r>
        <w:tab/>
      </w:r>
      <w:r>
        <w:tab/>
      </w:r>
      <w:r>
        <w:tab/>
      </w:r>
      <w:r>
        <w:tab/>
      </w:r>
      <w:r>
        <w:tab/>
        <w:t xml:space="preserve">   </w:t>
      </w:r>
      <w:r>
        <w:tab/>
      </w:r>
      <w:r>
        <w:tab/>
      </w:r>
      <w:r>
        <w:tab/>
      </w:r>
      <w:r>
        <w:tab/>
      </w:r>
      <w:r>
        <w:tab/>
        <w:t xml:space="preserve">                                                             </w:t>
      </w:r>
    </w:p>
    <w:p w14:paraId="6EFCC856" w14:textId="77777777" w:rsidR="001F2379" w:rsidRDefault="00AF48D6">
      <w:pPr>
        <w:pStyle w:val="ZkladntextStandardparagraph"/>
        <w:rPr>
          <w:rFonts w:ascii="Times New Roman" w:hAnsi="Times New Roman" w:cs="Times New Roman"/>
          <w:sz w:val="24"/>
          <w:szCs w:val="24"/>
          <w:lang w:val="cs-CZ"/>
        </w:rPr>
      </w:pPr>
      <w:r>
        <w:rPr>
          <w:rFonts w:ascii="Times New Roman" w:hAnsi="Times New Roman" w:cs="Times New Roman"/>
          <w:sz w:val="24"/>
          <w:szCs w:val="24"/>
          <w:lang w:val="cs-CZ"/>
        </w:rPr>
        <w:tab/>
      </w:r>
    </w:p>
    <w:p w14:paraId="729E8021" w14:textId="77777777" w:rsidR="001F2379" w:rsidRDefault="001F2379">
      <w:pPr>
        <w:rPr>
          <w:lang w:val="en-US"/>
        </w:rPr>
      </w:pPr>
    </w:p>
    <w:p w14:paraId="45A6599D" w14:textId="77777777" w:rsidR="001F2379" w:rsidRDefault="001F2379">
      <w:pPr>
        <w:rPr>
          <w:lang w:val="en-US"/>
        </w:rPr>
      </w:pPr>
    </w:p>
    <w:p w14:paraId="19C8BDF8" w14:textId="77777777" w:rsidR="001F2379" w:rsidRDefault="001F2379">
      <w:pPr>
        <w:rPr>
          <w:lang w:val="en-US"/>
        </w:rPr>
      </w:pPr>
    </w:p>
    <w:p w14:paraId="452C9614" w14:textId="77777777" w:rsidR="001F2379" w:rsidRDefault="001F2379">
      <w:pPr>
        <w:rPr>
          <w:lang w:val="en-US"/>
        </w:rPr>
      </w:pPr>
    </w:p>
    <w:p w14:paraId="5A8665F0" w14:textId="77777777" w:rsidR="001F2379" w:rsidRDefault="001F2379"/>
    <w:p w14:paraId="71019EDF" w14:textId="77777777" w:rsidR="001F2379" w:rsidRDefault="001F2379"/>
    <w:p w14:paraId="6638C66C" w14:textId="77777777" w:rsidR="001F2379" w:rsidRDefault="001F2379"/>
    <w:p w14:paraId="2B210F5A" w14:textId="77777777" w:rsidR="001F2379" w:rsidRDefault="001F2379"/>
    <w:p w14:paraId="2E56BBAD" w14:textId="77777777" w:rsidR="001F2379" w:rsidRDefault="001F2379"/>
    <w:p w14:paraId="71ECCB24" w14:textId="77777777" w:rsidR="001F2379" w:rsidRDefault="001F2379"/>
    <w:sectPr w:rsidR="001F2379">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47BD" w14:textId="77777777" w:rsidR="008F5CD9" w:rsidRDefault="008F5CD9">
      <w:r>
        <w:separator/>
      </w:r>
    </w:p>
  </w:endnote>
  <w:endnote w:type="continuationSeparator" w:id="0">
    <w:p w14:paraId="4B233887" w14:textId="77777777" w:rsidR="008F5CD9" w:rsidRDefault="008F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8F41" w14:textId="77777777" w:rsidR="008F5CD9" w:rsidRDefault="008F5CD9">
      <w:r>
        <w:separator/>
      </w:r>
    </w:p>
  </w:footnote>
  <w:footnote w:type="continuationSeparator" w:id="0">
    <w:p w14:paraId="17D14534" w14:textId="77777777" w:rsidR="008F5CD9" w:rsidRDefault="008F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E98"/>
    <w:multiLevelType w:val="multilevel"/>
    <w:tmpl w:val="3DFEA662"/>
    <w:lvl w:ilvl="0">
      <w:start w:val="1"/>
      <w:numFmt w:val="decimal"/>
      <w:lvlText w:val="%1"/>
      <w:lvlJc w:val="left"/>
      <w:pPr>
        <w:tabs>
          <w:tab w:val="num" w:pos="780"/>
        </w:tabs>
        <w:ind w:left="780" w:hanging="42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21E71D8"/>
    <w:multiLevelType w:val="multilevel"/>
    <w:tmpl w:val="91889824"/>
    <w:lvl w:ilvl="0">
      <w:start w:val="1"/>
      <w:numFmt w:val="decimal"/>
      <w:lvlText w:val="%1"/>
      <w:lvlJc w:val="left"/>
      <w:pPr>
        <w:tabs>
          <w:tab w:val="num" w:pos="780"/>
        </w:tabs>
        <w:ind w:left="780" w:hanging="42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3515E7D"/>
    <w:multiLevelType w:val="hybridMultilevel"/>
    <w:tmpl w:val="45C85D7E"/>
    <w:lvl w:ilvl="0" w:tplc="3C4E0C08">
      <w:start w:val="1"/>
      <w:numFmt w:val="decimal"/>
      <w:lvlText w:val="%1"/>
      <w:lvlJc w:val="left"/>
      <w:pPr>
        <w:ind w:left="780" w:hanging="420"/>
      </w:pPr>
    </w:lvl>
    <w:lvl w:ilvl="1" w:tplc="F6CED500">
      <w:start w:val="1"/>
      <w:numFmt w:val="lowerLetter"/>
      <w:lvlText w:val="%2."/>
      <w:lvlJc w:val="left"/>
      <w:pPr>
        <w:ind w:left="1440" w:hanging="360"/>
      </w:pPr>
    </w:lvl>
    <w:lvl w:ilvl="2" w:tplc="E6B4274C">
      <w:start w:val="1"/>
      <w:numFmt w:val="lowerRoman"/>
      <w:lvlText w:val="%3."/>
      <w:lvlJc w:val="right"/>
      <w:pPr>
        <w:ind w:left="2160" w:hanging="180"/>
      </w:pPr>
    </w:lvl>
    <w:lvl w:ilvl="3" w:tplc="03589D9E">
      <w:start w:val="1"/>
      <w:numFmt w:val="decimal"/>
      <w:lvlText w:val="%4."/>
      <w:lvlJc w:val="left"/>
      <w:pPr>
        <w:ind w:left="2880" w:hanging="360"/>
      </w:pPr>
    </w:lvl>
    <w:lvl w:ilvl="4" w:tplc="3F109C60">
      <w:start w:val="1"/>
      <w:numFmt w:val="lowerLetter"/>
      <w:lvlText w:val="%5."/>
      <w:lvlJc w:val="left"/>
      <w:pPr>
        <w:ind w:left="3600" w:hanging="360"/>
      </w:pPr>
    </w:lvl>
    <w:lvl w:ilvl="5" w:tplc="8F808DEA">
      <w:start w:val="1"/>
      <w:numFmt w:val="lowerRoman"/>
      <w:lvlText w:val="%6."/>
      <w:lvlJc w:val="right"/>
      <w:pPr>
        <w:ind w:left="4320" w:hanging="180"/>
      </w:pPr>
    </w:lvl>
    <w:lvl w:ilvl="6" w:tplc="DFBE2C42">
      <w:start w:val="1"/>
      <w:numFmt w:val="decimal"/>
      <w:lvlText w:val="%7."/>
      <w:lvlJc w:val="left"/>
      <w:pPr>
        <w:ind w:left="5040" w:hanging="360"/>
      </w:pPr>
    </w:lvl>
    <w:lvl w:ilvl="7" w:tplc="55E22A5E">
      <w:start w:val="1"/>
      <w:numFmt w:val="lowerLetter"/>
      <w:lvlText w:val="%8."/>
      <w:lvlJc w:val="left"/>
      <w:pPr>
        <w:ind w:left="5760" w:hanging="360"/>
      </w:pPr>
    </w:lvl>
    <w:lvl w:ilvl="8" w:tplc="C4F44FD4">
      <w:start w:val="1"/>
      <w:numFmt w:val="lowerRoman"/>
      <w:lvlText w:val="%9."/>
      <w:lvlJc w:val="right"/>
      <w:pPr>
        <w:ind w:left="6480" w:hanging="180"/>
      </w:pPr>
    </w:lvl>
  </w:abstractNum>
  <w:abstractNum w:abstractNumId="3" w15:restartNumberingAfterBreak="0">
    <w:nsid w:val="0D745FA8"/>
    <w:multiLevelType w:val="hybridMultilevel"/>
    <w:tmpl w:val="A5CE54C8"/>
    <w:lvl w:ilvl="0" w:tplc="D0D05EE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60376"/>
    <w:multiLevelType w:val="multilevel"/>
    <w:tmpl w:val="D4B0F700"/>
    <w:lvl w:ilvl="0">
      <w:start w:val="3"/>
      <w:numFmt w:val="decimal"/>
      <w:lvlText w:val="%1"/>
      <w:lvlJc w:val="left"/>
      <w:pPr>
        <w:tabs>
          <w:tab w:val="num" w:pos="780"/>
        </w:tabs>
        <w:ind w:left="780" w:hanging="42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FA62337"/>
    <w:multiLevelType w:val="hybridMultilevel"/>
    <w:tmpl w:val="51080B6C"/>
    <w:lvl w:ilvl="0" w:tplc="D0D05EE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4B7081"/>
    <w:multiLevelType w:val="hybridMultilevel"/>
    <w:tmpl w:val="C91E2F92"/>
    <w:lvl w:ilvl="0" w:tplc="8480AB30">
      <w:start w:val="1"/>
      <w:numFmt w:val="bullet"/>
      <w:lvlText w:val=""/>
      <w:lvlJc w:val="left"/>
      <w:pPr>
        <w:tabs>
          <w:tab w:val="num" w:pos="720"/>
        </w:tabs>
        <w:ind w:left="720" w:hanging="360"/>
      </w:pPr>
      <w:rPr>
        <w:rFonts w:ascii="Symbol" w:hAnsi="Symbol"/>
        <w:sz w:val="20"/>
      </w:rPr>
    </w:lvl>
    <w:lvl w:ilvl="1" w:tplc="FB00C4B8">
      <w:start w:val="1"/>
      <w:numFmt w:val="bullet"/>
      <w:lvlText w:val="o"/>
      <w:lvlJc w:val="left"/>
      <w:pPr>
        <w:tabs>
          <w:tab w:val="num" w:pos="1440"/>
        </w:tabs>
        <w:ind w:left="1440" w:hanging="360"/>
      </w:pPr>
      <w:rPr>
        <w:rFonts w:ascii="Courier New" w:hAnsi="Courier New"/>
        <w:sz w:val="20"/>
      </w:rPr>
    </w:lvl>
    <w:lvl w:ilvl="2" w:tplc="6A3C11CC">
      <w:start w:val="1"/>
      <w:numFmt w:val="bullet"/>
      <w:lvlText w:val=""/>
      <w:lvlJc w:val="left"/>
      <w:pPr>
        <w:tabs>
          <w:tab w:val="num" w:pos="2160"/>
        </w:tabs>
        <w:ind w:left="2160" w:hanging="360"/>
      </w:pPr>
      <w:rPr>
        <w:rFonts w:ascii="Wingdings" w:hAnsi="Wingdings"/>
        <w:sz w:val="20"/>
      </w:rPr>
    </w:lvl>
    <w:lvl w:ilvl="3" w:tplc="23049F72">
      <w:start w:val="1"/>
      <w:numFmt w:val="bullet"/>
      <w:lvlText w:val=""/>
      <w:lvlJc w:val="left"/>
      <w:pPr>
        <w:tabs>
          <w:tab w:val="num" w:pos="2880"/>
        </w:tabs>
        <w:ind w:left="2880" w:hanging="360"/>
      </w:pPr>
      <w:rPr>
        <w:rFonts w:ascii="Wingdings" w:hAnsi="Wingdings"/>
        <w:sz w:val="20"/>
      </w:rPr>
    </w:lvl>
    <w:lvl w:ilvl="4" w:tplc="71A8A8A2">
      <w:start w:val="1"/>
      <w:numFmt w:val="bullet"/>
      <w:lvlText w:val=""/>
      <w:lvlJc w:val="left"/>
      <w:pPr>
        <w:tabs>
          <w:tab w:val="num" w:pos="3600"/>
        </w:tabs>
        <w:ind w:left="3600" w:hanging="360"/>
      </w:pPr>
      <w:rPr>
        <w:rFonts w:ascii="Wingdings" w:hAnsi="Wingdings"/>
        <w:sz w:val="20"/>
      </w:rPr>
    </w:lvl>
    <w:lvl w:ilvl="5" w:tplc="CEB0ECFE">
      <w:start w:val="1"/>
      <w:numFmt w:val="bullet"/>
      <w:lvlText w:val=""/>
      <w:lvlJc w:val="left"/>
      <w:pPr>
        <w:tabs>
          <w:tab w:val="num" w:pos="4320"/>
        </w:tabs>
        <w:ind w:left="4320" w:hanging="360"/>
      </w:pPr>
      <w:rPr>
        <w:rFonts w:ascii="Wingdings" w:hAnsi="Wingdings"/>
        <w:sz w:val="20"/>
      </w:rPr>
    </w:lvl>
    <w:lvl w:ilvl="6" w:tplc="507CFDD2">
      <w:start w:val="1"/>
      <w:numFmt w:val="bullet"/>
      <w:lvlText w:val=""/>
      <w:lvlJc w:val="left"/>
      <w:pPr>
        <w:tabs>
          <w:tab w:val="num" w:pos="5040"/>
        </w:tabs>
        <w:ind w:left="5040" w:hanging="360"/>
      </w:pPr>
      <w:rPr>
        <w:rFonts w:ascii="Wingdings" w:hAnsi="Wingdings"/>
        <w:sz w:val="20"/>
      </w:rPr>
    </w:lvl>
    <w:lvl w:ilvl="7" w:tplc="FD90411E">
      <w:start w:val="1"/>
      <w:numFmt w:val="bullet"/>
      <w:lvlText w:val=""/>
      <w:lvlJc w:val="left"/>
      <w:pPr>
        <w:tabs>
          <w:tab w:val="num" w:pos="5760"/>
        </w:tabs>
        <w:ind w:left="5760" w:hanging="360"/>
      </w:pPr>
      <w:rPr>
        <w:rFonts w:ascii="Wingdings" w:hAnsi="Wingdings"/>
        <w:sz w:val="20"/>
      </w:rPr>
    </w:lvl>
    <w:lvl w:ilvl="8" w:tplc="9D7C1272">
      <w:start w:val="1"/>
      <w:numFmt w:val="bullet"/>
      <w:lvlText w:val=""/>
      <w:lvlJc w:val="left"/>
      <w:pPr>
        <w:tabs>
          <w:tab w:val="num" w:pos="6480"/>
        </w:tabs>
        <w:ind w:left="6480" w:hanging="360"/>
      </w:pPr>
      <w:rPr>
        <w:rFonts w:ascii="Wingdings" w:hAnsi="Wingdings"/>
        <w:sz w:val="20"/>
      </w:rPr>
    </w:lvl>
  </w:abstractNum>
  <w:num w:numId="1" w16cid:durableId="1878811678">
    <w:abstractNumId w:val="4"/>
  </w:num>
  <w:num w:numId="2" w16cid:durableId="113520381">
    <w:abstractNumId w:val="2"/>
  </w:num>
  <w:num w:numId="3" w16cid:durableId="1554930508">
    <w:abstractNumId w:val="6"/>
  </w:num>
  <w:num w:numId="4" w16cid:durableId="1021928791">
    <w:abstractNumId w:val="1"/>
  </w:num>
  <w:num w:numId="5" w16cid:durableId="904609088">
    <w:abstractNumId w:val="0"/>
  </w:num>
  <w:num w:numId="6" w16cid:durableId="1499535044">
    <w:abstractNumId w:val="3"/>
  </w:num>
  <w:num w:numId="7" w16cid:durableId="1477214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79"/>
    <w:rsid w:val="00052471"/>
    <w:rsid w:val="000C16AD"/>
    <w:rsid w:val="000D7B86"/>
    <w:rsid w:val="00152653"/>
    <w:rsid w:val="00185E63"/>
    <w:rsid w:val="001968BB"/>
    <w:rsid w:val="001E66FD"/>
    <w:rsid w:val="001F2379"/>
    <w:rsid w:val="00225629"/>
    <w:rsid w:val="002931ED"/>
    <w:rsid w:val="002B5F3C"/>
    <w:rsid w:val="002E740D"/>
    <w:rsid w:val="004000E4"/>
    <w:rsid w:val="00404DE4"/>
    <w:rsid w:val="00435A9B"/>
    <w:rsid w:val="004B35FB"/>
    <w:rsid w:val="004D11F9"/>
    <w:rsid w:val="00593342"/>
    <w:rsid w:val="005C75F8"/>
    <w:rsid w:val="0066652B"/>
    <w:rsid w:val="006A3099"/>
    <w:rsid w:val="006B7AC2"/>
    <w:rsid w:val="006C1779"/>
    <w:rsid w:val="00775866"/>
    <w:rsid w:val="00783ADB"/>
    <w:rsid w:val="007C1498"/>
    <w:rsid w:val="00850E6B"/>
    <w:rsid w:val="0087309F"/>
    <w:rsid w:val="00874DC2"/>
    <w:rsid w:val="008A2B1C"/>
    <w:rsid w:val="008A597B"/>
    <w:rsid w:val="008F5CD9"/>
    <w:rsid w:val="00922301"/>
    <w:rsid w:val="00994618"/>
    <w:rsid w:val="009A3CF8"/>
    <w:rsid w:val="009F1F92"/>
    <w:rsid w:val="00AA5262"/>
    <w:rsid w:val="00AF48D6"/>
    <w:rsid w:val="00BF325D"/>
    <w:rsid w:val="00D47E04"/>
    <w:rsid w:val="00D6532E"/>
    <w:rsid w:val="00DA3757"/>
    <w:rsid w:val="00E20797"/>
    <w:rsid w:val="00E52BB2"/>
    <w:rsid w:val="00EA125E"/>
    <w:rsid w:val="00EB4EF4"/>
    <w:rsid w:val="00F84A63"/>
    <w:rsid w:val="00F9401C"/>
    <w:rsid w:val="00FB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49EB"/>
  <w15:docId w15:val="{0598A5B2-7551-4F46-80DA-C122C91B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00E4"/>
    <w:rPr>
      <w:sz w:val="24"/>
      <w:szCs w:val="24"/>
      <w:lang w:eastAsia="cs-CZ"/>
    </w:rPr>
  </w:style>
  <w:style w:type="paragraph" w:styleId="Nadpis1">
    <w:name w:val="heading 1"/>
    <w:basedOn w:val="Normln"/>
    <w:next w:val="Normln"/>
    <w:link w:val="Nadpis1Char"/>
    <w:qFormat/>
    <w:pPr>
      <w:keepNext/>
      <w:spacing w:before="240" w:after="60"/>
      <w:outlineLvl w:val="0"/>
    </w:pPr>
    <w:rPr>
      <w:rFonts w:ascii="Arial" w:hAnsi="Arial" w:cs="Arial"/>
      <w:b/>
      <w:bCs/>
      <w:sz w:val="32"/>
      <w:szCs w:val="32"/>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basedOn w:val="Normln"/>
    <w:link w:val="ZpatChar"/>
    <w:uiPriority w:val="99"/>
    <w:unhideWhenUsed/>
    <w:pPr>
      <w:tabs>
        <w:tab w:val="center" w:pos="7143"/>
        <w:tab w:val="right" w:pos="14287"/>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customStyle="1" w:styleId="ZkladntextStandardparagraph">
    <w:name w:val="Základní text;Standard paragraph"/>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styleId="Textbubliny">
    <w:name w:val="Balloon Text"/>
    <w:basedOn w:val="Normln"/>
    <w:semiHidden/>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styleId="Siln">
    <w:name w:val="Strong"/>
    <w:uiPriority w:val="22"/>
    <w:qFormat/>
    <w:rPr>
      <w:b/>
      <w:bCs/>
    </w:rPr>
  </w:style>
  <w:style w:type="paragraph" w:customStyle="1" w:styleId="Default">
    <w:name w:val="Default"/>
    <w:rPr>
      <w:color w:val="000000"/>
      <w:sz w:val="24"/>
      <w:szCs w:val="24"/>
      <w:lang w:eastAsia="cs-CZ"/>
    </w:rPr>
  </w:style>
  <w:style w:type="paragraph" w:styleId="Revize">
    <w:name w:val="Revision"/>
    <w:hidden/>
    <w:uiPriority w:val="99"/>
    <w:semiHidden/>
    <w:rPr>
      <w:sz w:val="24"/>
      <w:szCs w:val="24"/>
      <w:lang w:eastAsia="cs-CZ"/>
    </w:rPr>
  </w:style>
  <w:style w:type="character" w:customStyle="1" w:styleId="Nevyeenzmnka1">
    <w:name w:val="Nevyřešená zmínka1"/>
    <w:basedOn w:val="Standardnpsmoodstavce"/>
    <w:uiPriority w:val="99"/>
    <w:semiHidden/>
    <w:unhideWhenUsed/>
    <w:rsid w:val="009A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odatelna@novy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1511</Words>
  <Characters>8918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AdministratorGIS</dc:creator>
  <cp:lastModifiedBy>Kristýna Juliová</cp:lastModifiedBy>
  <cp:revision>7</cp:revision>
  <cp:lastPrinted>2024-01-29T13:53:00Z</cp:lastPrinted>
  <dcterms:created xsi:type="dcterms:W3CDTF">2024-01-25T14:34:00Z</dcterms:created>
  <dcterms:modified xsi:type="dcterms:W3CDTF">2024-02-22T10:01:00Z</dcterms:modified>
  <cp:version>983040</cp:version>
</cp:coreProperties>
</file>