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F002" w14:textId="77777777" w:rsidR="006C3925" w:rsidRDefault="006C3925">
      <w:pPr>
        <w:spacing w:line="1" w:lineRule="exact"/>
      </w:pPr>
    </w:p>
    <w:p w14:paraId="33A52FD4" w14:textId="77777777" w:rsidR="006C3925" w:rsidRDefault="00D20FFA">
      <w:pPr>
        <w:pStyle w:val="Heading110"/>
        <w:framePr w:w="9950" w:h="936" w:hRule="exact" w:wrap="none" w:vAnchor="page" w:hAnchor="page" w:x="997" w:y="2167"/>
        <w:spacing w:after="0"/>
      </w:pPr>
      <w:bookmarkStart w:id="0" w:name="bookmark0"/>
      <w:bookmarkStart w:id="1" w:name="bookmark1"/>
      <w:bookmarkStart w:id="2" w:name="bookmark2"/>
      <w:r>
        <w:t>INFOPOINTY PRO MUZEUM BEDŘICHA SMETANY -</w:t>
      </w:r>
      <w:r>
        <w:br/>
        <w:t xml:space="preserve">PROVÁDĚCÍ </w:t>
      </w:r>
      <w:proofErr w:type="gramStart"/>
      <w:r>
        <w:t>PROJEKT - VÝKAZ</w:t>
      </w:r>
      <w:proofErr w:type="gramEnd"/>
      <w:r>
        <w:t xml:space="preserve"> VÝMĚR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502"/>
        <w:gridCol w:w="1262"/>
        <w:gridCol w:w="1253"/>
        <w:gridCol w:w="4637"/>
      </w:tblGrid>
      <w:tr w:rsidR="006C3925" w14:paraId="01BB480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8AD35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POLOŽKA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9B840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ind w:firstLine="220"/>
            </w:pPr>
            <w:r>
              <w:t>VÝKRES / DÍL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E3B9B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MNOŽSTVÍ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1604F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CENA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769E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POZNÁMKA/PROVEDENÍ</w:t>
            </w:r>
          </w:p>
        </w:tc>
      </w:tr>
      <w:tr w:rsidR="006C3925" w14:paraId="3BE3908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80935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TYP „A“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5F65B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EDCF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7EE99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93999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</w:tr>
      <w:tr w:rsidR="006C3925" w14:paraId="305D5B1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B6A53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A.1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AB43E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Popis sestavy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69F1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A1DF6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C5749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Popis sestavy</w:t>
            </w:r>
          </w:p>
        </w:tc>
      </w:tr>
      <w:tr w:rsidR="006C3925" w14:paraId="61FDD911" w14:textId="77777777">
        <w:tblPrEx>
          <w:tblCellMar>
            <w:top w:w="0" w:type="dxa"/>
            <w:bottom w:w="0" w:type="dxa"/>
          </w:tblCellMar>
        </w:tblPrEx>
        <w:trPr>
          <w:trHeight w:hRule="exact" w:val="38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7DD1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A.2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6317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Sloupek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2A9E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8D142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65 500,00 Kč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08CFF" w14:textId="77777777" w:rsidR="006C3925" w:rsidRDefault="00D20FFA">
            <w:pPr>
              <w:pStyle w:val="Other10"/>
              <w:framePr w:w="9950" w:h="11659" w:wrap="none" w:vAnchor="page" w:hAnchor="page" w:x="997" w:y="3132"/>
            </w:pPr>
            <w:r>
              <w:t xml:space="preserve">konstrukce tvořená z plechu t. 2mm, korpus svařený, ohýbané profily, základní tvar vypálen na CNC, povrchová úprava </w:t>
            </w:r>
            <w:proofErr w:type="spellStart"/>
            <w:r>
              <w:t>komaxit</w:t>
            </w:r>
            <w:proofErr w:type="spellEnd"/>
            <w:r>
              <w:t xml:space="preserve"> RAL bude doplněn, na zadní straně jsou otvory pro upevnění ke stěně, upevnění bude provedeno pomocí hmoždinek zvolených podle typu zdivá, připevněno šrouby s metrickým závitem, pryžové podložky z obou stran plechu, v čelní straně jsou osazené revizní dvířka na skryté panty, zámek na klíč dle výběru IT oddělení, v rámci sloupku bude realizován svislý rozvod el a data, pro kabely a datové rozvaděče / dekodéry bude nutné připravit úchyty a upevnění dle příslušné ČSN EN, horní strana sloupku není zastro</w:t>
            </w:r>
            <w:r>
              <w:t>pena kvůli odvětrání skryté technologie, z boku jsou otvory pro vstup kabelů, prostupy kabelů do sloupku musí být opatřeny pryžovým těsněním, aby nedocházelo k ohýbání kabelu přes hranu plechu, konečný rozměr sloupku může být upraven na základě specifikace rozměrů vložené technologie a na základě zvoleného VESA držáku, který určuje vzdálenost zadní části obrazovky od zadní části přesahujícího plechu sloupku, který slouží k upevnění VESA držáku 100 X 100 mm</w:t>
            </w:r>
          </w:p>
        </w:tc>
      </w:tr>
      <w:tr w:rsidR="006C3925" w14:paraId="096F21EC" w14:textId="77777777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577C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A.3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228FA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Podpěra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B0577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D8FCE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ind w:firstLine="340"/>
            </w:pPr>
            <w:r>
              <w:t>3 500,00 Kč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2A922" w14:textId="77777777" w:rsidR="006C3925" w:rsidRDefault="00D20FFA">
            <w:pPr>
              <w:pStyle w:val="Other10"/>
              <w:framePr w:w="9950" w:h="11659" w:wrap="none" w:vAnchor="page" w:hAnchor="page" w:x="997" w:y="3132"/>
            </w:pPr>
            <w:r>
              <w:t xml:space="preserve">tento díl zajišťuje vodorovnou orientaci skla a tvoří jeho podporu, na jeho čelní straně je plechový díl pro upevnění dekorativního dřevěného panelu, díl je </w:t>
            </w:r>
            <w:r>
              <w:t xml:space="preserve">vyroben z ohýbaného plechu </w:t>
            </w:r>
            <w:proofErr w:type="spellStart"/>
            <w:r>
              <w:t>tl</w:t>
            </w:r>
            <w:proofErr w:type="spellEnd"/>
            <w:r>
              <w:t>. 2mm (na základě doporučení výrobce je možné tloušťku plechu zvětšit), boční rohy jsou zakulaceny R10 mm, povrchová úprava RAL bude doplněn, tento díl je připevněn do sloupku dvojicí šroubů s metrickým závitem M8, oválné otvory pro tyto šrouby v zadní části podpěry umožňují přesné vyrovnání podpěry pro vodorovné usazení skla, šrouby musí mít podložky a matky musí být zajištěny proti povolení</w:t>
            </w:r>
          </w:p>
        </w:tc>
      </w:tr>
      <w:tr w:rsidR="006C3925" w14:paraId="105DC538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5006D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A.4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E1716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Sklo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7765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90D58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ind w:firstLine="340"/>
            </w:pPr>
            <w:r>
              <w:t>8 500,00 Kč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1D6E3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62" w:lineRule="auto"/>
            </w:pPr>
            <w:r>
              <w:t xml:space="preserve">sklo 4-1-4 s vloženou bezpečnostní fólií, leštěné hrany </w:t>
            </w:r>
            <w:r>
              <w:t xml:space="preserve">jsou sražené hrany šikmým broušením min 1,5 mm po obvodu, sklo je čiré, vnitřní výřez realizován vodním paprskem, výřez dle skutečného tvaru TV + </w:t>
            </w:r>
            <w:proofErr w:type="gramStart"/>
            <w:r>
              <w:t>2mm</w:t>
            </w:r>
            <w:proofErr w:type="gramEnd"/>
            <w:r>
              <w:t xml:space="preserve">, sklo na hraně, kde se opírá o plechovou podpěru (A.2) musí být podloženo pryžovou nebo mechovou páskou šíře 8 mm, </w:t>
            </w:r>
            <w:proofErr w:type="spellStart"/>
            <w:r>
              <w:t>tl</w:t>
            </w:r>
            <w:proofErr w:type="spellEnd"/>
            <w:r>
              <w:t>. 0,5 mm</w:t>
            </w:r>
          </w:p>
        </w:tc>
      </w:tr>
      <w:tr w:rsidR="006C3925" w14:paraId="4C5DA1F9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3A778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A.5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C944A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TV A DRŽÁK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1B1BA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BF40D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ind w:firstLine="340"/>
            </w:pPr>
            <w:r>
              <w:t>3 700,00 Kč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E7B80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62" w:lineRule="auto"/>
            </w:pPr>
            <w:r>
              <w:t xml:space="preserve">VESA držák o rozteči otvorů pro TV 100 x 100 mm, černá barva, nastavitelný ve 2 osách, max. odsazení 43 mm, v případě, že nebude možné tento rozměr dodržet nebo bude nutné vyrobit sloupek hlubší, je </w:t>
            </w:r>
            <w:r>
              <w:t xml:space="preserve">nutné upravit zadní stranu sloupku tak, aby byla koordinována čelní strana skla a TV v jedné rovině, TV je orientována vodorovně, typ </w:t>
            </w:r>
            <w:proofErr w:type="gramStart"/>
            <w:r>
              <w:t>TV :</w:t>
            </w:r>
            <w:proofErr w:type="gramEnd"/>
            <w:r>
              <w:t xml:space="preserve"> ELO 2294L</w:t>
            </w:r>
          </w:p>
          <w:p w14:paraId="7B24C319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62" w:lineRule="auto"/>
            </w:pPr>
            <w:r>
              <w:t xml:space="preserve">PCAP </w:t>
            </w:r>
            <w:r>
              <w:rPr>
                <w:b/>
                <w:bCs/>
              </w:rPr>
              <w:t>(TV dodává NM)</w:t>
            </w:r>
          </w:p>
        </w:tc>
      </w:tr>
      <w:tr w:rsidR="006C3925" w14:paraId="340A6074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BAC18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A.6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5D802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64" w:lineRule="auto"/>
            </w:pPr>
            <w:r>
              <w:t>DEKORATIVNÍ DRŽÁKY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7C8D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right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2ED0F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ind w:firstLine="260"/>
            </w:pPr>
            <w:r>
              <w:t>18 500,00 Kč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D4F5D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62" w:lineRule="auto"/>
            </w:pPr>
            <w:r>
              <w:t xml:space="preserve">jedná se o kopii vycházející ze </w:t>
            </w:r>
            <w:r>
              <w:t>stávající držáků již používaných v expozici, dřevo = buk, čelní strana nese na sobě grafiku (potisk) krytou bezbarvým lakem, spodní díl je připevněn lepidlem (např. MAMUT) na plechový díl podpěry (A.3), horní díl je upevněn do zdi a umožňuje přesnou fixaci horní hrany skla, tento díl je stejný pro typ A, B i C</w:t>
            </w:r>
          </w:p>
        </w:tc>
      </w:tr>
      <w:tr w:rsidR="006C3925" w14:paraId="3EC3D9B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3086D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TYP „B“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FF9D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DE7C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1A94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49062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</w:tr>
      <w:tr w:rsidR="006C3925" w14:paraId="60F3651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51534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  <w:jc w:val="center"/>
            </w:pPr>
            <w:r>
              <w:t>B.1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B5B28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Popis sestavy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503B2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B884C" w14:textId="77777777" w:rsidR="006C3925" w:rsidRDefault="006C3925">
            <w:pPr>
              <w:framePr w:w="9950" w:h="11659" w:wrap="none" w:vAnchor="page" w:hAnchor="page" w:x="997" w:y="3132"/>
              <w:rPr>
                <w:sz w:val="10"/>
                <w:szCs w:val="1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8B422" w14:textId="77777777" w:rsidR="006C3925" w:rsidRDefault="00D20FFA">
            <w:pPr>
              <w:pStyle w:val="Other10"/>
              <w:framePr w:w="9950" w:h="11659" w:wrap="none" w:vAnchor="page" w:hAnchor="page" w:x="997" w:y="3132"/>
              <w:spacing w:line="240" w:lineRule="auto"/>
            </w:pPr>
            <w:r>
              <w:t>Popis sestavy</w:t>
            </w:r>
          </w:p>
        </w:tc>
      </w:tr>
    </w:tbl>
    <w:p w14:paraId="747A6DBC" w14:textId="77777777" w:rsidR="006C3925" w:rsidRDefault="00D20FFA">
      <w:pPr>
        <w:pStyle w:val="Headerorfooter10"/>
        <w:framePr w:wrap="none" w:vAnchor="page" w:hAnchor="page" w:x="5941" w:y="15262"/>
      </w:pPr>
      <w:r>
        <w:t>1</w:t>
      </w:r>
    </w:p>
    <w:p w14:paraId="3FD7AFFA" w14:textId="77777777" w:rsidR="006C3925" w:rsidRDefault="006C3925">
      <w:pPr>
        <w:spacing w:line="1" w:lineRule="exact"/>
      </w:pPr>
    </w:p>
    <w:p w14:paraId="6137A34F" w14:textId="77777777" w:rsidR="007B0A78" w:rsidRPr="007B0A78" w:rsidRDefault="007B0A78" w:rsidP="007B0A78"/>
    <w:p w14:paraId="22452A8C" w14:textId="77777777" w:rsidR="007B0A78" w:rsidRDefault="007B0A78" w:rsidP="007B0A78"/>
    <w:p w14:paraId="48EC31B3" w14:textId="77777777" w:rsidR="007B0A78" w:rsidRDefault="007B0A78" w:rsidP="007B0A78"/>
    <w:p w14:paraId="0F542D94" w14:textId="71AC76D5" w:rsidR="007B0A78" w:rsidRDefault="007B0A78" w:rsidP="007B0A78">
      <w:pPr>
        <w:tabs>
          <w:tab w:val="left" w:pos="1155"/>
        </w:tabs>
      </w:pPr>
      <w:r>
        <w:tab/>
        <w:t xml:space="preserve">                                                                                                           Příloha č. 1</w:t>
      </w:r>
    </w:p>
    <w:p w14:paraId="17D0B697" w14:textId="2B654508" w:rsidR="007B0A78" w:rsidRPr="007B0A78" w:rsidRDefault="007B0A78" w:rsidP="007B0A78">
      <w:pPr>
        <w:tabs>
          <w:tab w:val="left" w:pos="1155"/>
        </w:tabs>
        <w:sectPr w:rsidR="007B0A78" w:rsidRPr="007B0A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3CF98AE8" w14:textId="77777777" w:rsidR="006C3925" w:rsidRDefault="006C392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1498"/>
        <w:gridCol w:w="1262"/>
        <w:gridCol w:w="1253"/>
        <w:gridCol w:w="4632"/>
      </w:tblGrid>
      <w:tr w:rsidR="006C3925" w14:paraId="21D37536" w14:textId="77777777">
        <w:tblPrEx>
          <w:tblCellMar>
            <w:top w:w="0" w:type="dxa"/>
            <w:bottom w:w="0" w:type="dxa"/>
          </w:tblCellMar>
        </w:tblPrEx>
        <w:trPr>
          <w:trHeight w:hRule="exact" w:val="40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2CE22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ind w:firstLine="520"/>
            </w:pPr>
            <w:r>
              <w:t>B.2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ABEC0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</w:pPr>
            <w:r>
              <w:t>Sloupek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4A1C4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ECA20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ind w:firstLine="280"/>
            </w:pPr>
            <w:r>
              <w:t>64 500,00 Kč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CF303" w14:textId="77777777" w:rsidR="006C3925" w:rsidRDefault="00D20FFA">
            <w:pPr>
              <w:pStyle w:val="Other10"/>
              <w:framePr w:w="9936" w:h="9768" w:wrap="none" w:vAnchor="page" w:hAnchor="page" w:x="1005" w:y="2167"/>
            </w:pPr>
            <w:r>
              <w:t xml:space="preserve">konstrukce tvořená z plechu t. 2mm, korpus svařený, ohýbané profily, základní tvar vypálen na CNC, povrchová úprava </w:t>
            </w:r>
            <w:proofErr w:type="spellStart"/>
            <w:r>
              <w:t>komaxit</w:t>
            </w:r>
            <w:proofErr w:type="spellEnd"/>
            <w:r>
              <w:t xml:space="preserve"> RAL bude doplněn, na zadní straně jsou otvory pro upevnění ke stěně, upevnění bude provedeno pomocí hmoždinek zvolených podle typu zdivá, připevněno šrouby s metrickým závitem, pryžové podložky z obou stran plechu, v čelní straně jsou osazené revizní dvířka na skryté panty, zámek na klíč dle výběru IT oddělení, v rámci sloupku bude realizován svislý rozvod el a data, pro kabely a datové rozvaděče / dekodéry bude nutné připravit úchyty a upevnění dle příslušné ČSN EN, horní strana sloupku není zastro</w:t>
            </w:r>
            <w:r>
              <w:t>pena kvůli odvětrání skryté technologie, z boku jsou otvory pro vstup kabelů, prostupy kabelů do sloupku musí být opatřeny pryžovým těsněním, aby nedocházelo k ohýbání kabelu přes hranu plechu, konečný rozměr sloupku může být upraven na základě specifikace rozměrů vložené technologie a na základě zvoleného VESA držáku, který určuje vzdálenost zadní části obrazovky od zadní části přesahujícího plechu sloupku, který slouží k upevnění VESA držáku 300 x 300 mm (nebo VESA 100 x 100 mm a rozšiřovací redukce na 30</w:t>
            </w:r>
            <w:r>
              <w:t>0 x 300 mm)</w:t>
            </w:r>
          </w:p>
        </w:tc>
      </w:tr>
      <w:tr w:rsidR="006C3925" w14:paraId="46D1574F" w14:textId="77777777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45828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ind w:firstLine="520"/>
            </w:pPr>
            <w:r>
              <w:t>B.3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6D193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</w:pPr>
            <w:r>
              <w:t>Podpěra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9C1E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BE8B8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ind w:firstLine="360"/>
            </w:pPr>
            <w:r>
              <w:t>4 600,00 Kč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B9434" w14:textId="77777777" w:rsidR="006C3925" w:rsidRDefault="00D20FFA">
            <w:pPr>
              <w:pStyle w:val="Other10"/>
              <w:framePr w:w="9936" w:h="9768" w:wrap="none" w:vAnchor="page" w:hAnchor="page" w:x="1005" w:y="2167"/>
            </w:pPr>
            <w:r>
              <w:t xml:space="preserve">tento díl zajišťuje vodorovnou orientaci skla a tvoří jeho podporu, na jeho čelní straně je </w:t>
            </w:r>
            <w:r>
              <w:t xml:space="preserve">plechový díl pro upevnění dekorativního dřevěného panelu, díl je vyroben z ohýbaného plechu </w:t>
            </w:r>
            <w:proofErr w:type="spellStart"/>
            <w:r>
              <w:t>tl</w:t>
            </w:r>
            <w:proofErr w:type="spellEnd"/>
            <w:r>
              <w:t>. 2mm (na základě doporučení výrobce je možné tloušťku plechu zvětšit), boční rohy jsou zakulaceny R10 mm, povrchová úprava RAL bude doplněn, tento díl je připevněn do sloupku dvojicí šroubů s metrickým závitem M8, oválné otvory pro tyto šrouby v zadní části podpěry umožňují přesné vyrovnání podpěry pro vodorovné usazení skla, šrouby musí mít podložky a matky musí být zajištěny proti povolení</w:t>
            </w:r>
          </w:p>
        </w:tc>
      </w:tr>
      <w:tr w:rsidR="006C3925" w14:paraId="5CDC42FC" w14:textId="7777777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F4DAC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ind w:firstLine="520"/>
            </w:pPr>
            <w:r>
              <w:t>B.4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3AB15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</w:pPr>
            <w:r>
              <w:t>Sklo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7182D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73E20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ind w:firstLine="280"/>
            </w:pPr>
            <w:r>
              <w:t xml:space="preserve">15 </w:t>
            </w:r>
            <w:r>
              <w:t>500,00 Kč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75247" w14:textId="77777777" w:rsidR="006C3925" w:rsidRDefault="00D20FFA">
            <w:pPr>
              <w:pStyle w:val="Other10"/>
              <w:framePr w:w="9936" w:h="9768" w:wrap="none" w:vAnchor="page" w:hAnchor="page" w:x="1005" w:y="2167"/>
            </w:pPr>
            <w:r>
              <w:t xml:space="preserve">sklo 6-1-6 s vloženou bezpečnostní fólií, leštěné hrany jsou sražené hrany šikmým broušením min 1,5 mm po obvodu, sklo je čiré, vnitřní výřez realizován vodním paprskem, výřez dle skutečného tvaru TV + </w:t>
            </w:r>
            <w:proofErr w:type="gramStart"/>
            <w:r>
              <w:t>2mm</w:t>
            </w:r>
            <w:proofErr w:type="gramEnd"/>
            <w:r>
              <w:t xml:space="preserve">, sklo na hraně, kde se opírá o plechovou podpěru (A.2) musí být podloženo pryžovou nebo mechovou páskou šíře 12 mm, </w:t>
            </w:r>
            <w:proofErr w:type="spellStart"/>
            <w:r>
              <w:t>tl</w:t>
            </w:r>
            <w:proofErr w:type="spellEnd"/>
            <w:r>
              <w:t>. 0,5 mm</w:t>
            </w:r>
          </w:p>
        </w:tc>
      </w:tr>
      <w:tr w:rsidR="006C3925" w14:paraId="37AD1D7E" w14:textId="77777777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AB8C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jc w:val="center"/>
            </w:pPr>
            <w:r>
              <w:t>B.5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BBFD9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</w:pPr>
            <w:r>
              <w:t>TV A DRŽÁK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C532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8CF13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ind w:firstLine="360"/>
            </w:pPr>
            <w:r>
              <w:t>5 500,00 Kč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D09C8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62" w:lineRule="auto"/>
            </w:pPr>
            <w:r>
              <w:t xml:space="preserve">VESA držák o rozteči otvorů pro TV 300 x 300 mm, černá barva, nastavitelný ve 2 osách, max. odsazení 43 mm, v případě, že nebude možné tento rozměr dodržet nebo bude nutné vyrobit sloupek hlubší, je nutné upravit zadní stranu sloupku tak, aby byla koordinována čelní strana skla a TV v jedné rovině, v případě, že nebude k dispozici VESA držák 300 x 300 mm použije se VESA 100 x 100 mm a rozšiřovací redukce na 300 x 300 mm, </w:t>
            </w:r>
            <w:proofErr w:type="spellStart"/>
            <w:r>
              <w:t>Tv</w:t>
            </w:r>
            <w:proofErr w:type="spellEnd"/>
            <w:r>
              <w:t xml:space="preserve"> je orientována vodorovně, typ </w:t>
            </w:r>
            <w:proofErr w:type="gramStart"/>
            <w:r>
              <w:t>TV :</w:t>
            </w:r>
            <w:proofErr w:type="gramEnd"/>
            <w:r>
              <w:t xml:space="preserve"> NEC M551 PCAP </w:t>
            </w:r>
            <w:r>
              <w:rPr>
                <w:b/>
                <w:bCs/>
              </w:rPr>
              <w:t>(TV dodává NM)</w:t>
            </w:r>
          </w:p>
        </w:tc>
      </w:tr>
      <w:tr w:rsidR="006C3925" w14:paraId="1E489B7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12A77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jc w:val="center"/>
            </w:pPr>
            <w:r>
              <w:t>TYP „CB“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D9D7" w14:textId="77777777" w:rsidR="006C3925" w:rsidRDefault="006C3925">
            <w:pPr>
              <w:framePr w:w="9936" w:h="9768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FF94E" w14:textId="77777777" w:rsidR="006C3925" w:rsidRDefault="006C3925">
            <w:pPr>
              <w:framePr w:w="9936" w:h="9768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BE3E6" w14:textId="77777777" w:rsidR="006C3925" w:rsidRDefault="006C3925">
            <w:pPr>
              <w:framePr w:w="9936" w:h="9768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2E218" w14:textId="77777777" w:rsidR="006C3925" w:rsidRDefault="006C3925">
            <w:pPr>
              <w:framePr w:w="9936" w:h="9768" w:wrap="none" w:vAnchor="page" w:hAnchor="page" w:x="1005" w:y="2167"/>
              <w:rPr>
                <w:sz w:val="10"/>
                <w:szCs w:val="10"/>
              </w:rPr>
            </w:pPr>
          </w:p>
        </w:tc>
      </w:tr>
      <w:tr w:rsidR="006C3925" w14:paraId="3A89510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121E2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  <w:jc w:val="center"/>
            </w:pPr>
            <w:r>
              <w:t>C.1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DCC65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</w:pPr>
            <w:r>
              <w:t>Popis sestavy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70ABF" w14:textId="77777777" w:rsidR="006C3925" w:rsidRDefault="006C3925">
            <w:pPr>
              <w:framePr w:w="9936" w:h="9768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402DF" w14:textId="77777777" w:rsidR="006C3925" w:rsidRDefault="006C3925">
            <w:pPr>
              <w:framePr w:w="9936" w:h="9768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1BC6" w14:textId="77777777" w:rsidR="006C3925" w:rsidRDefault="00D20FFA">
            <w:pPr>
              <w:pStyle w:val="Other10"/>
              <w:framePr w:w="9936" w:h="9768" w:wrap="none" w:vAnchor="page" w:hAnchor="page" w:x="1005" w:y="2167"/>
              <w:spacing w:line="240" w:lineRule="auto"/>
            </w:pPr>
            <w:r>
              <w:t>Popis sestavy</w:t>
            </w:r>
          </w:p>
        </w:tc>
      </w:tr>
    </w:tbl>
    <w:p w14:paraId="40F621B4" w14:textId="77777777" w:rsidR="006C3925" w:rsidRDefault="00D20FFA">
      <w:pPr>
        <w:pStyle w:val="Headerorfooter10"/>
        <w:framePr w:w="149" w:h="235" w:hRule="exact" w:wrap="none" w:vAnchor="page" w:hAnchor="page" w:x="5934" w:y="15324"/>
        <w:jc w:val="center"/>
      </w:pPr>
      <w:r>
        <w:t>2</w:t>
      </w:r>
    </w:p>
    <w:p w14:paraId="3D77DE04" w14:textId="77777777" w:rsidR="006C3925" w:rsidRDefault="006C3925">
      <w:pPr>
        <w:spacing w:line="1" w:lineRule="exact"/>
        <w:sectPr w:rsidR="006C39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8D214F" w14:textId="77777777" w:rsidR="006C3925" w:rsidRDefault="006C392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1502"/>
        <w:gridCol w:w="1258"/>
        <w:gridCol w:w="1258"/>
        <w:gridCol w:w="4627"/>
      </w:tblGrid>
      <w:tr w:rsidR="006C3925" w14:paraId="61D080D6" w14:textId="77777777">
        <w:tblPrEx>
          <w:tblCellMar>
            <w:top w:w="0" w:type="dxa"/>
            <w:bottom w:w="0" w:type="dxa"/>
          </w:tblCellMar>
        </w:tblPrEx>
        <w:trPr>
          <w:trHeight w:hRule="exact" w:val="406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3B614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ind w:firstLine="520"/>
            </w:pPr>
            <w:r>
              <w:t>C.2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0A0F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</w:pPr>
            <w:r>
              <w:t>Sloupek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D7C2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D2669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ind w:firstLine="280"/>
            </w:pPr>
            <w:r>
              <w:t>64 500,00 Kč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76A94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62" w:lineRule="auto"/>
            </w:pPr>
            <w:r>
              <w:t xml:space="preserve">konstrukce tvořená z plechu t. 2mm, korpus svařený, ohýbané profily, základní tvar vypálen na CNC, povrchová úprava </w:t>
            </w:r>
            <w:proofErr w:type="spellStart"/>
            <w:r>
              <w:t>komaxit</w:t>
            </w:r>
            <w:proofErr w:type="spellEnd"/>
            <w:r>
              <w:t xml:space="preserve"> RAL bude doplněn, na zadní straně jsou otvory pro upevnění ke stěně, upevnění bude provedeno pomocí hmoždinek zvolených podle typu zdivá, připevněno šrouby s metrickým závitem, pryžové podložky z obou stran plechu, v čelní straně jsou osazené revizní dvířka na skryté panty, zámek na klíč dle výběru IT oddělení, v rámci sloupku bude realizován svislý rozvod el a data, pro kabely a datové rozvaděče / dekodéry bude nutné připravit úchyty a upevnění dle příslušné ČSN EN, horní strana sloupku není zastro</w:t>
            </w:r>
            <w:r>
              <w:t>pena kvůli odvětrání skryté technologie, z boku jsou otvory pro vstup kabelů, prostupy kabelů do sloupku musí být opatřeny pryžovým těsněním, aby nedocházelo k ohýbání kabelu přes hranu plechu, konečný rozměr sloupku může být upraven na základě specifikace rozměrů vložené technologie a na základě zvoleného VESA držáku, který určuje vzdálenost zadní části obrazovky od zadní části přesahujícího plechu sloupku, který slouží k upevnění VESA držáku 300 x 300 mm (nebo VESA 100 x 100 mm a rozšiřovací redukce na 30</w:t>
            </w:r>
            <w:r>
              <w:t>0 x 300 mm)</w:t>
            </w:r>
          </w:p>
        </w:tc>
      </w:tr>
      <w:tr w:rsidR="006C3925" w14:paraId="6A09964F" w14:textId="77777777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801D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ind w:firstLine="520"/>
            </w:pPr>
            <w:r>
              <w:t>C.3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EA15D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</w:pPr>
            <w:r>
              <w:t>Podpěra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5BE7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F9511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ind w:firstLine="360"/>
            </w:pPr>
            <w:r>
              <w:t>4 600,00 Kč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69972" w14:textId="77777777" w:rsidR="006C3925" w:rsidRDefault="00D20FFA">
            <w:pPr>
              <w:pStyle w:val="Other10"/>
              <w:framePr w:w="9936" w:h="10882" w:wrap="none" w:vAnchor="page" w:hAnchor="page" w:x="1005" w:y="2167"/>
            </w:pPr>
            <w:r>
              <w:t xml:space="preserve">tento díl zajišťuje vodorovnou orientaci skla a tvoří jeho podporu, na jeho čelní straně je </w:t>
            </w:r>
            <w:r>
              <w:t xml:space="preserve">plechový díl pro upevnění dekorativního dřevěného panelu, díl je vyroben z ohýbaného plechu </w:t>
            </w:r>
            <w:proofErr w:type="spellStart"/>
            <w:r>
              <w:t>tl</w:t>
            </w:r>
            <w:proofErr w:type="spellEnd"/>
            <w:r>
              <w:t>. 2mm (na základě doporučení výrobce je možné tloušťku plechu zvětšit), boční rohy jsou zakulaceny R10 mm, povrchová úprava RAL bude doplněn, tento díl je připevněn do sloupku dvojicí šroubů s metrickým závitem M8, oválné otvory pro tyto šrouby v zadní části podpěry umožňují přesné vyrovnání podpěry pro vodorovné usazení skla, šrouby musí mít podložky a matky musí být zajištěny proti povolení</w:t>
            </w:r>
          </w:p>
        </w:tc>
      </w:tr>
      <w:tr w:rsidR="006C3925" w14:paraId="2283B631" w14:textId="7777777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8441F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center"/>
            </w:pPr>
            <w:r>
              <w:t>C.4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A108F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</w:pPr>
            <w:r>
              <w:t>Sklo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A19BE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A2EB2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ind w:firstLine="280"/>
            </w:pPr>
            <w:r>
              <w:t xml:space="preserve">15 </w:t>
            </w:r>
            <w:r>
              <w:t>500,00 Kč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E1DA3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62" w:lineRule="auto"/>
            </w:pPr>
            <w:r>
              <w:t xml:space="preserve">sklo 6-1-6 s vloženou bezpečnostní fólií, leštěné hrany jsou sražené hrany šikmým broušením min 1,5 mm po obvodu, sklo je čiré, vnitřní výřez realizován vodním paprskem, výřez dle skutečného tvaru TV + </w:t>
            </w:r>
            <w:proofErr w:type="gramStart"/>
            <w:r>
              <w:t>2mm</w:t>
            </w:r>
            <w:proofErr w:type="gramEnd"/>
            <w:r>
              <w:t xml:space="preserve">, sklo na hraně, kde se opírá o plechovou podpěru (A.2) musí být podloženo pryžovou nebo mechovou páskou šíře 12 mm, </w:t>
            </w:r>
            <w:proofErr w:type="spellStart"/>
            <w:r>
              <w:t>tl</w:t>
            </w:r>
            <w:proofErr w:type="spellEnd"/>
            <w:r>
              <w:t>. 0,5 mm</w:t>
            </w:r>
          </w:p>
        </w:tc>
      </w:tr>
      <w:tr w:rsidR="006C3925" w14:paraId="3876CBEC" w14:textId="77777777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3D65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center"/>
            </w:pPr>
            <w:r>
              <w:t>C.5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D27BF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</w:pPr>
            <w:r>
              <w:t>TV A DRŽÁK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A7043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right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A06E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ind w:firstLine="360"/>
            </w:pPr>
            <w:r>
              <w:t>5 500,00 Kč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47559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62" w:lineRule="auto"/>
            </w:pPr>
            <w:r>
              <w:t xml:space="preserve">VESA držák o rozteči otvorů pro TV 300 x 300 mm, černá barva, nastavitelný ve 2 osách, max. odsazení 43 mm, v případě, že nebude možné tento rozměr dodržet nebo bude nutné vyrobit sloupek hlubší, je nutné upravit zadní stranu sloupku tak, aby byla koordinována čelní strana skla a TV v jedné rovině, v případě, že nebude k dispozici VESA držák 300 x 300 mm použije se VESA 100 x 100 mm a rozšiřovací redukce na 300 x 300 mm, TV je orientována svisle, typ </w:t>
            </w:r>
            <w:proofErr w:type="gramStart"/>
            <w:r>
              <w:t>TV :</w:t>
            </w:r>
            <w:proofErr w:type="gramEnd"/>
            <w:r>
              <w:t xml:space="preserve"> NEC M551 PCAP </w:t>
            </w:r>
            <w:r>
              <w:rPr>
                <w:b/>
                <w:bCs/>
              </w:rPr>
              <w:t>(TV dodává NM)</w:t>
            </w:r>
          </w:p>
        </w:tc>
      </w:tr>
      <w:tr w:rsidR="006C3925" w14:paraId="5F2A0CA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E87D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center"/>
            </w:pPr>
            <w:r>
              <w:t>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8CF64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E9D9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FFE5B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ind w:firstLine="180"/>
            </w:pPr>
            <w:r>
              <w:t xml:space="preserve">279 </w:t>
            </w:r>
            <w:r>
              <w:t>900,00 Kč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D9856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</w:tr>
      <w:tr w:rsidR="006C3925" w14:paraId="7EC4E1D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56F90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5C6EB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1CE3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9D928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C78D8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</w:tr>
      <w:tr w:rsidR="006C3925" w14:paraId="4D8D361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8E87E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40" w:lineRule="auto"/>
              <w:jc w:val="center"/>
            </w:pPr>
            <w:r>
              <w:t>Pozn.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C1F7C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0BF99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32B9E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D40D7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57" w:lineRule="auto"/>
            </w:pPr>
            <w:r>
              <w:t>výrobce je povinen předložit architektovi, IT oddělení a produkci NM ke schválení výrobní dokumentaci všech dílů</w:t>
            </w:r>
          </w:p>
        </w:tc>
      </w:tr>
      <w:tr w:rsidR="006C3925" w14:paraId="21C76F6C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032B2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5AE8E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659E5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39E01" w14:textId="77777777" w:rsidR="006C3925" w:rsidRDefault="006C3925">
            <w:pPr>
              <w:framePr w:w="9936" w:h="10882" w:wrap="none" w:vAnchor="page" w:hAnchor="page" w:x="1005" w:y="2167"/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150D9" w14:textId="77777777" w:rsidR="006C3925" w:rsidRDefault="00D20FFA">
            <w:pPr>
              <w:pStyle w:val="Other10"/>
              <w:framePr w:w="9936" w:h="10882" w:wrap="none" w:vAnchor="page" w:hAnchor="page" w:x="1005" w:y="2167"/>
              <w:spacing w:line="264" w:lineRule="auto"/>
            </w:pPr>
            <w:r>
              <w:t>všechny prvky, díly a povrchová úprava musí být výrobce vzorkovány a schváleny architektem, IT oddělením a produkcí NM</w:t>
            </w:r>
          </w:p>
        </w:tc>
      </w:tr>
    </w:tbl>
    <w:p w14:paraId="7B0A4CDC" w14:textId="77777777" w:rsidR="006C3925" w:rsidRDefault="00D20FFA">
      <w:pPr>
        <w:pStyle w:val="Headerorfooter10"/>
        <w:framePr w:wrap="none" w:vAnchor="page" w:hAnchor="page" w:x="5939" w:y="15339"/>
      </w:pPr>
      <w:r>
        <w:t>3</w:t>
      </w:r>
    </w:p>
    <w:p w14:paraId="553390D4" w14:textId="77777777" w:rsidR="006C3925" w:rsidRDefault="006C3925">
      <w:pPr>
        <w:spacing w:line="1" w:lineRule="exact"/>
      </w:pPr>
    </w:p>
    <w:sectPr w:rsidR="006C39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255F" w14:textId="77777777" w:rsidR="00D20FFA" w:rsidRDefault="00D20FFA">
      <w:r>
        <w:separator/>
      </w:r>
    </w:p>
  </w:endnote>
  <w:endnote w:type="continuationSeparator" w:id="0">
    <w:p w14:paraId="094F08BE" w14:textId="77777777" w:rsidR="00D20FFA" w:rsidRDefault="00D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26AD" w14:textId="77777777" w:rsidR="006C3925" w:rsidRDefault="006C3925"/>
  </w:footnote>
  <w:footnote w:type="continuationSeparator" w:id="0">
    <w:p w14:paraId="63B068DD" w14:textId="77777777" w:rsidR="006C3925" w:rsidRDefault="006C39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25"/>
    <w:rsid w:val="006C3925"/>
    <w:rsid w:val="007B0A78"/>
    <w:rsid w:val="00D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0D16"/>
  <w15:docId w15:val="{9B48B053-1464-41B4-8AE6-C4876003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40" w:line="252" w:lineRule="auto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Other10">
    <w:name w:val="Other|1"/>
    <w:basedOn w:val="Normln"/>
    <w:link w:val="Other1"/>
    <w:pPr>
      <w:spacing w:line="259" w:lineRule="auto"/>
    </w:pPr>
    <w:rPr>
      <w:rFonts w:ascii="Arial" w:eastAsia="Arial" w:hAnsi="Arial" w:cs="Arial"/>
      <w:sz w:val="16"/>
      <w:szCs w:val="16"/>
    </w:rPr>
  </w:style>
  <w:style w:type="paragraph" w:customStyle="1" w:styleId="Headerorfooter10">
    <w:name w:val="Header or footer|1"/>
    <w:basedOn w:val="Normln"/>
    <w:link w:val="Headerorfooter1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2</cp:revision>
  <dcterms:created xsi:type="dcterms:W3CDTF">2024-02-01T08:58:00Z</dcterms:created>
  <dcterms:modified xsi:type="dcterms:W3CDTF">2024-02-01T08:58:00Z</dcterms:modified>
</cp:coreProperties>
</file>