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CE48186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2C3EE0" w:rsidRPr="002C3EE0">
        <w:rPr>
          <w:rFonts w:ascii="Arial" w:hAnsi="Arial" w:cs="Arial"/>
          <w:b/>
          <w:bCs/>
          <w:sz w:val="18"/>
          <w:szCs w:val="18"/>
        </w:rPr>
        <w:t>4</w:t>
      </w:r>
      <w:r w:rsidR="006E628B">
        <w:rPr>
          <w:rFonts w:ascii="Arial" w:hAnsi="Arial" w:cs="Arial"/>
          <w:b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067EBA">
        <w:rPr>
          <w:rFonts w:ascii="Arial" w:hAnsi="Arial" w:cs="Arial"/>
          <w:b/>
          <w:sz w:val="18"/>
          <w:szCs w:val="18"/>
        </w:rPr>
        <w:t>12</w:t>
      </w:r>
      <w:r w:rsidR="00567110">
        <w:rPr>
          <w:rFonts w:ascii="Arial" w:hAnsi="Arial" w:cs="Arial"/>
          <w:b/>
          <w:sz w:val="18"/>
          <w:szCs w:val="18"/>
        </w:rPr>
        <w:t>-20</w:t>
      </w:r>
      <w:r w:rsidR="00067EBA">
        <w:rPr>
          <w:rFonts w:ascii="Arial" w:hAnsi="Arial" w:cs="Arial"/>
          <w:b/>
          <w:sz w:val="18"/>
          <w:szCs w:val="18"/>
        </w:rPr>
        <w:t>18</w:t>
      </w:r>
      <w:r w:rsidR="00567110">
        <w:rPr>
          <w:rFonts w:ascii="Arial" w:hAnsi="Arial" w:cs="Arial"/>
          <w:b/>
          <w:sz w:val="18"/>
          <w:szCs w:val="18"/>
        </w:rPr>
        <w:t>-504201</w:t>
      </w:r>
    </w:p>
    <w:p w14:paraId="1F4EF0F5" w14:textId="62A44B8B" w:rsidR="001C3319" w:rsidRPr="00D434BC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Č.j. objednatele:</w:t>
      </w:r>
      <w:r w:rsidR="004E71CB">
        <w:rPr>
          <w:rFonts w:ascii="Arial" w:hAnsi="Arial" w:cs="Arial"/>
          <w:sz w:val="18"/>
          <w:szCs w:val="18"/>
        </w:rPr>
        <w:t xml:space="preserve"> </w:t>
      </w:r>
      <w:r w:rsidR="004E71CB" w:rsidRPr="004E71CB">
        <w:rPr>
          <w:rFonts w:ascii="Arial" w:hAnsi="Arial" w:cs="Arial"/>
          <w:sz w:val="18"/>
          <w:szCs w:val="18"/>
        </w:rPr>
        <w:t>SPU 023683/2024/</w:t>
      </w:r>
      <w:proofErr w:type="spellStart"/>
      <w:r w:rsidR="004E71CB" w:rsidRPr="004E71CB">
        <w:rPr>
          <w:rFonts w:ascii="Arial" w:hAnsi="Arial" w:cs="Arial"/>
          <w:sz w:val="18"/>
          <w:szCs w:val="18"/>
        </w:rPr>
        <w:t>miko</w:t>
      </w:r>
      <w:proofErr w:type="spellEnd"/>
      <w:r w:rsidR="001B4D98" w:rsidRPr="001B4D98">
        <w:t xml:space="preserve"> </w:t>
      </w:r>
    </w:p>
    <w:p w14:paraId="5863E81A" w14:textId="55E42C4F" w:rsidR="00BB58DE" w:rsidRPr="00D434BC" w:rsidRDefault="00BB58DE" w:rsidP="001C3319">
      <w:pPr>
        <w:pStyle w:val="Zhlav"/>
        <w:jc w:val="right"/>
        <w:rPr>
          <w:sz w:val="18"/>
          <w:szCs w:val="18"/>
        </w:rPr>
      </w:pPr>
      <w:r w:rsidRPr="00D434BC">
        <w:rPr>
          <w:rFonts w:ascii="Arial" w:hAnsi="Arial" w:cs="Arial"/>
          <w:sz w:val="18"/>
          <w:szCs w:val="18"/>
        </w:rPr>
        <w:t>UID dokumentu:</w:t>
      </w:r>
      <w:r w:rsidR="004E71CB">
        <w:rPr>
          <w:rFonts w:ascii="Arial" w:hAnsi="Arial" w:cs="Arial"/>
          <w:sz w:val="18"/>
          <w:szCs w:val="18"/>
        </w:rPr>
        <w:t xml:space="preserve"> </w:t>
      </w:r>
      <w:r w:rsidR="004E71CB" w:rsidRPr="004E71CB">
        <w:rPr>
          <w:rFonts w:ascii="Arial" w:hAnsi="Arial" w:cs="Arial"/>
          <w:sz w:val="18"/>
          <w:szCs w:val="18"/>
        </w:rPr>
        <w:t>spudms00000014270103</w:t>
      </w:r>
      <w:r w:rsidR="001B4D98">
        <w:rPr>
          <w:rFonts w:ascii="Arial" w:hAnsi="Arial" w:cs="Arial"/>
          <w:sz w:val="18"/>
          <w:szCs w:val="18"/>
        </w:rPr>
        <w:t xml:space="preserve"> </w:t>
      </w:r>
      <w:r w:rsidR="006D0EAC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BF516D5" w14:textId="4E9F8C05" w:rsidR="006E628B" w:rsidRPr="00191E97" w:rsidRDefault="006E628B" w:rsidP="006E628B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191E97">
        <w:rPr>
          <w:rFonts w:ascii="Arial" w:hAnsi="Arial" w:cs="Arial"/>
          <w:caps/>
          <w:sz w:val="28"/>
          <w:szCs w:val="28"/>
        </w:rPr>
        <w:t xml:space="preserve">DODATEK č. </w:t>
      </w:r>
      <w:r w:rsidR="00E407DB">
        <w:rPr>
          <w:rFonts w:ascii="Arial" w:hAnsi="Arial" w:cs="Arial"/>
          <w:caps/>
          <w:sz w:val="28"/>
          <w:szCs w:val="28"/>
        </w:rPr>
        <w:t>4</w:t>
      </w:r>
      <w:r w:rsidRPr="00191E97">
        <w:rPr>
          <w:rFonts w:ascii="Arial" w:hAnsi="Arial" w:cs="Arial"/>
          <w:caps/>
          <w:sz w:val="28"/>
          <w:szCs w:val="28"/>
        </w:rPr>
        <w:t xml:space="preserve"> </w:t>
      </w:r>
      <w:r w:rsidRPr="00191E97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D0C05C1" w14:textId="19EAEEC8" w:rsidR="00F82301" w:rsidRPr="007E0E57" w:rsidRDefault="00F82301" w:rsidP="00F82301">
      <w:pPr>
        <w:pStyle w:val="Nzev"/>
        <w:tabs>
          <w:tab w:val="left" w:pos="4800"/>
        </w:tabs>
        <w:rPr>
          <w:rFonts w:ascii="Arial" w:hAnsi="Arial" w:cs="Arial"/>
          <w:b w:val="0"/>
          <w:color w:val="FF0000"/>
          <w:sz w:val="22"/>
          <w:szCs w:val="22"/>
        </w:rPr>
      </w:pPr>
      <w:r w:rsidRPr="4399D1E7">
        <w:rPr>
          <w:rFonts w:ascii="Arial" w:hAnsi="Arial" w:cs="Arial"/>
          <w:b w:val="0"/>
          <w:sz w:val="18"/>
          <w:szCs w:val="18"/>
        </w:rPr>
        <w:t xml:space="preserve">(číslo smlouvy objednatele </w:t>
      </w:r>
      <w:r w:rsidR="00067EBA">
        <w:rPr>
          <w:rFonts w:ascii="Arial" w:hAnsi="Arial" w:cs="Arial"/>
          <w:b w:val="0"/>
          <w:sz w:val="18"/>
          <w:szCs w:val="18"/>
        </w:rPr>
        <w:t>12</w:t>
      </w:r>
      <w:r w:rsidR="00502324">
        <w:rPr>
          <w:rFonts w:ascii="Arial" w:hAnsi="Arial" w:cs="Arial"/>
          <w:b w:val="0"/>
          <w:sz w:val="18"/>
          <w:szCs w:val="18"/>
        </w:rPr>
        <w:t>-20</w:t>
      </w:r>
      <w:r w:rsidR="00067EBA">
        <w:rPr>
          <w:rFonts w:ascii="Arial" w:hAnsi="Arial" w:cs="Arial"/>
          <w:b w:val="0"/>
          <w:sz w:val="18"/>
          <w:szCs w:val="18"/>
        </w:rPr>
        <w:t>18</w:t>
      </w:r>
      <w:r w:rsidR="00114040">
        <w:rPr>
          <w:rFonts w:ascii="Arial" w:hAnsi="Arial" w:cs="Arial"/>
          <w:b w:val="0"/>
          <w:sz w:val="18"/>
          <w:szCs w:val="18"/>
        </w:rPr>
        <w:t>-504201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Pr="4399D1E7">
        <w:rPr>
          <w:rFonts w:ascii="Arial" w:hAnsi="Arial" w:cs="Arial"/>
          <w:b w:val="0"/>
          <w:sz w:val="22"/>
          <w:szCs w:val="22"/>
        </w:rPr>
        <w:t>,</w:t>
      </w:r>
      <w:r w:rsidRPr="4399D1E7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4399D1E7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067EBA">
        <w:rPr>
          <w:rFonts w:ascii="Arial" w:hAnsi="Arial" w:cs="Arial"/>
          <w:b w:val="0"/>
          <w:sz w:val="22"/>
          <w:szCs w:val="22"/>
        </w:rPr>
        <w:t>18</w:t>
      </w:r>
      <w:r w:rsidR="006449AC">
        <w:rPr>
          <w:rFonts w:ascii="Arial" w:hAnsi="Arial" w:cs="Arial"/>
          <w:b w:val="0"/>
          <w:sz w:val="22"/>
          <w:szCs w:val="22"/>
        </w:rPr>
        <w:t>.</w:t>
      </w:r>
      <w:r w:rsidR="001B4358">
        <w:rPr>
          <w:rFonts w:ascii="Arial" w:hAnsi="Arial" w:cs="Arial"/>
          <w:b w:val="0"/>
          <w:sz w:val="22"/>
          <w:szCs w:val="22"/>
        </w:rPr>
        <w:t xml:space="preserve"> </w:t>
      </w:r>
      <w:r w:rsidR="006449AC">
        <w:rPr>
          <w:rFonts w:ascii="Arial" w:hAnsi="Arial" w:cs="Arial"/>
          <w:b w:val="0"/>
          <w:sz w:val="22"/>
          <w:szCs w:val="22"/>
        </w:rPr>
        <w:t>0</w:t>
      </w:r>
      <w:r w:rsidR="00067EBA">
        <w:rPr>
          <w:rFonts w:ascii="Arial" w:hAnsi="Arial" w:cs="Arial"/>
          <w:b w:val="0"/>
          <w:sz w:val="22"/>
          <w:szCs w:val="22"/>
        </w:rPr>
        <w:t>1</w:t>
      </w:r>
      <w:r w:rsidR="001B4358">
        <w:rPr>
          <w:rFonts w:ascii="Arial" w:hAnsi="Arial" w:cs="Arial"/>
          <w:b w:val="0"/>
          <w:sz w:val="22"/>
          <w:szCs w:val="22"/>
        </w:rPr>
        <w:t>. 20</w:t>
      </w:r>
      <w:r w:rsidR="00067EBA">
        <w:rPr>
          <w:rFonts w:ascii="Arial" w:hAnsi="Arial" w:cs="Arial"/>
          <w:b w:val="0"/>
          <w:sz w:val="22"/>
          <w:szCs w:val="22"/>
        </w:rPr>
        <w:t>18</w:t>
      </w:r>
    </w:p>
    <w:p w14:paraId="10D5AD31" w14:textId="77777777" w:rsidR="00563D18" w:rsidRDefault="00F82301" w:rsidP="00563D1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 w:rsidR="00563D18">
        <w:rPr>
          <w:rFonts w:ascii="Arial-BoldMT" w:hAnsi="Arial-BoldMT" w:cs="Arial-BoldMT"/>
          <w:b/>
          <w:bCs/>
          <w:sz w:val="22"/>
          <w:szCs w:val="22"/>
        </w:rPr>
        <w:t>Komplexní pozemkové úpravy včetně rekonstrukce přídělů</w:t>
      </w:r>
    </w:p>
    <w:p w14:paraId="2145851F" w14:textId="7061E6AC" w:rsidR="00F82301" w:rsidRPr="00C309F5" w:rsidRDefault="00563D18" w:rsidP="00563D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v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.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Kokořov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a v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. Klášter u Nepomuka, Část 2)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k.ú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>. Klášter u Nepomuka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“</w:t>
      </w:r>
      <w:r w:rsidR="0090716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F82301" w:rsidRPr="00191E97">
        <w:rPr>
          <w:rFonts w:ascii="Arial" w:hAnsi="Arial" w:cs="Arial"/>
          <w:b/>
          <w:snapToGrid w:val="0"/>
          <w:sz w:val="22"/>
          <w:szCs w:val="22"/>
        </w:rPr>
        <w:t>smlouva</w:t>
      </w:r>
      <w:r w:rsidR="00F82301" w:rsidRPr="00191E97">
        <w:rPr>
          <w:rFonts w:ascii="Arial" w:hAnsi="Arial" w:cs="Arial"/>
          <w:bCs/>
          <w:snapToGrid w:val="0"/>
          <w:sz w:val="22"/>
          <w:szCs w:val="22"/>
        </w:rPr>
        <w:t>“)</w:t>
      </w:r>
      <w:r w:rsidR="00F82301" w:rsidRPr="00191E97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4FAD448E" w14:textId="2241E265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B577C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22E1722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FD1228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6D01EA2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FD1228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473FB95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7A6512" w:rsidRPr="007A6512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Petra Heroutová DiS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7A6512">
            <w:rPr>
              <w:rFonts w:ascii="Arial" w:hAnsi="Arial" w:cs="Arial"/>
              <w:snapToGrid w:val="0"/>
              <w:sz w:val="22"/>
              <w:szCs w:val="22"/>
            </w:rPr>
            <w:t>,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AC6FB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46E25">
            <w:rPr>
              <w:rFonts w:ascii="Arial" w:hAnsi="Arial" w:cs="Arial"/>
              <w:snapToGrid w:val="0"/>
              <w:sz w:val="22"/>
              <w:szCs w:val="22"/>
            </w:rPr>
            <w:t>Pobočky Plzeň</w:t>
          </w:r>
        </w:sdtContent>
      </w:sdt>
    </w:p>
    <w:p w14:paraId="350C23E0" w14:textId="1277DDA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0D39AF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0D90F27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F4721F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C55A14" w14:textId="4096134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B279F4">
            <w:rPr>
              <w:rFonts w:ascii="Arial" w:hAnsi="Arial" w:cs="Arial"/>
              <w:snapToGrid w:val="0"/>
              <w:sz w:val="22"/>
              <w:szCs w:val="22"/>
            </w:rPr>
            <w:t>plzensky.kraj@spucr.cz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06C74FD" w14:textId="77777777" w:rsidR="00704B1A" w:rsidRDefault="00704B1A" w:rsidP="00191E97">
      <w:pPr>
        <w:pStyle w:val="Zkladntext2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662A8FEC" w14:textId="6B060FF7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511FF">
        <w:rPr>
          <w:rFonts w:ascii="Arial" w:hAnsi="Arial" w:cs="Arial"/>
          <w:b/>
          <w:sz w:val="22"/>
          <w:szCs w:val="22"/>
        </w:rPr>
        <w:t>Zhotovitel:</w:t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 w:rsidRPr="001511F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7A6512" w:rsidRPr="007A6512">
        <w:rPr>
          <w:rFonts w:ascii="Arial" w:hAnsi="Arial" w:cs="Arial"/>
          <w:b/>
          <w:sz w:val="22"/>
          <w:szCs w:val="22"/>
        </w:rPr>
        <w:t>GEO Hrubý spol. s r.o</w:t>
      </w:r>
      <w:r w:rsidR="007A6512">
        <w:rPr>
          <w:rFonts w:ascii="Arial" w:hAnsi="Arial" w:cs="Arial"/>
          <w:b/>
          <w:sz w:val="22"/>
          <w:szCs w:val="22"/>
        </w:rPr>
        <w:t>.</w:t>
      </w:r>
    </w:p>
    <w:p w14:paraId="09E04135" w14:textId="4495B5B9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Sídlo: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7A6512" w:rsidRPr="007A6512">
        <w:rPr>
          <w:rFonts w:ascii="Arial" w:hAnsi="Arial" w:cs="Arial"/>
          <w:sz w:val="22"/>
          <w:szCs w:val="22"/>
        </w:rPr>
        <w:t>Doudlevecká 730/26, 301 00 Plzeň</w:t>
      </w:r>
    </w:p>
    <w:p w14:paraId="7B323404" w14:textId="7A45D18F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Zastoupený: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972754" w:rsidRPr="007A6512">
        <w:rPr>
          <w:rFonts w:ascii="Arial" w:hAnsi="Arial" w:cs="Arial"/>
          <w:sz w:val="22"/>
          <w:szCs w:val="22"/>
        </w:rPr>
        <w:t>Ing. Zdeňkem Hrubým, jednatelem</w:t>
      </w:r>
    </w:p>
    <w:p w14:paraId="50026C45" w14:textId="1868C1D6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7A6512" w:rsidRPr="007A6512">
        <w:rPr>
          <w:rFonts w:ascii="Arial" w:hAnsi="Arial" w:cs="Arial"/>
          <w:sz w:val="22"/>
          <w:szCs w:val="22"/>
        </w:rPr>
        <w:t>Ing. Zde</w:t>
      </w:r>
      <w:r w:rsidR="00E54A56">
        <w:rPr>
          <w:rFonts w:ascii="Arial" w:hAnsi="Arial" w:cs="Arial"/>
          <w:sz w:val="22"/>
          <w:szCs w:val="22"/>
        </w:rPr>
        <w:t>něk</w:t>
      </w:r>
      <w:r w:rsidR="007A6512" w:rsidRPr="007A6512">
        <w:rPr>
          <w:rFonts w:ascii="Arial" w:hAnsi="Arial" w:cs="Arial"/>
          <w:sz w:val="22"/>
          <w:szCs w:val="22"/>
        </w:rPr>
        <w:t xml:space="preserve"> Hrubý, jednatel</w:t>
      </w:r>
    </w:p>
    <w:p w14:paraId="080085C9" w14:textId="30BFAACE" w:rsidR="003839CD" w:rsidRPr="001511FF" w:rsidRDefault="003839CD" w:rsidP="003839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4129FD">
        <w:rPr>
          <w:rFonts w:ascii="Arial" w:hAnsi="Arial" w:cs="Arial"/>
          <w:sz w:val="22"/>
          <w:szCs w:val="22"/>
        </w:rPr>
        <w:t>xxxxx</w:t>
      </w:r>
      <w:proofErr w:type="spellEnd"/>
    </w:p>
    <w:p w14:paraId="17192705" w14:textId="2F8EA8AD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Telefon: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proofErr w:type="spellStart"/>
      <w:r w:rsidR="004129FD">
        <w:rPr>
          <w:rFonts w:ascii="Arial" w:hAnsi="Arial" w:cs="Arial"/>
          <w:sz w:val="22"/>
          <w:szCs w:val="22"/>
        </w:rPr>
        <w:t>xxxxx</w:t>
      </w:r>
      <w:proofErr w:type="spellEnd"/>
      <w:r w:rsidR="007A6512" w:rsidRPr="007A6512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129FD">
        <w:rPr>
          <w:rFonts w:ascii="Arial" w:hAnsi="Arial" w:cs="Arial"/>
          <w:sz w:val="22"/>
          <w:szCs w:val="22"/>
        </w:rPr>
        <w:t>xxxxx</w:t>
      </w:r>
      <w:proofErr w:type="spellEnd"/>
    </w:p>
    <w:p w14:paraId="3AFAAABB" w14:textId="56D8A33F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E-mail: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="00920576">
        <w:rPr>
          <w:rFonts w:ascii="Arial" w:hAnsi="Arial" w:cs="Arial"/>
          <w:sz w:val="22"/>
          <w:szCs w:val="22"/>
        </w:rPr>
        <w:t>xxxxx</w:t>
      </w:r>
      <w:proofErr w:type="spellEnd"/>
    </w:p>
    <w:p w14:paraId="3D749F73" w14:textId="5A6B9D4D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ID DS: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A6512">
        <w:rPr>
          <w:rFonts w:ascii="Arial" w:hAnsi="Arial" w:cs="Arial"/>
          <w:sz w:val="22"/>
          <w:szCs w:val="22"/>
        </w:rPr>
        <w:t>7s47464</w:t>
      </w:r>
    </w:p>
    <w:p w14:paraId="3E15DE9C" w14:textId="6A466C75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Bankovní spojení: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7A6512">
        <w:rPr>
          <w:rFonts w:ascii="Arial" w:hAnsi="Arial" w:cs="Arial"/>
          <w:sz w:val="22"/>
          <w:szCs w:val="22"/>
        </w:rPr>
        <w:t xml:space="preserve">KB </w:t>
      </w:r>
      <w:r w:rsidR="007A6512">
        <w:rPr>
          <w:rFonts w:ascii="ArialMT" w:hAnsi="ArialMT" w:cs="ArialMT"/>
          <w:sz w:val="22"/>
          <w:szCs w:val="22"/>
        </w:rPr>
        <w:t>Plzeň</w:t>
      </w:r>
    </w:p>
    <w:p w14:paraId="6809ECB9" w14:textId="5BBB0F96" w:rsidR="003839CD" w:rsidRPr="001511FF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Číslo účtu: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E54A56">
        <w:rPr>
          <w:rFonts w:ascii="ArialMT" w:hAnsi="ArialMT" w:cs="ArialMT"/>
          <w:sz w:val="22"/>
          <w:szCs w:val="22"/>
        </w:rPr>
        <w:t>21106-381/0100</w:t>
      </w:r>
    </w:p>
    <w:p w14:paraId="11CC75C9" w14:textId="77777777" w:rsidR="007A6512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7A6512">
        <w:rPr>
          <w:rFonts w:ascii="Arial" w:hAnsi="Arial" w:cs="Arial"/>
          <w:sz w:val="22"/>
          <w:szCs w:val="22"/>
        </w:rPr>
        <w:t>25227751</w:t>
      </w:r>
    </w:p>
    <w:p w14:paraId="17E8F6E9" w14:textId="2D6A943E" w:rsidR="003839CD" w:rsidRDefault="003839CD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1511FF">
        <w:rPr>
          <w:rFonts w:ascii="Arial" w:hAnsi="Arial" w:cs="Arial"/>
          <w:sz w:val="22"/>
          <w:szCs w:val="22"/>
        </w:rPr>
        <w:t xml:space="preserve">DIČ: </w:t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 w:rsidRPr="001511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7A6512">
        <w:rPr>
          <w:rFonts w:ascii="Arial" w:hAnsi="Arial" w:cs="Arial"/>
          <w:sz w:val="22"/>
          <w:szCs w:val="22"/>
        </w:rPr>
        <w:t>CZ25227751</w:t>
      </w:r>
    </w:p>
    <w:p w14:paraId="37165271" w14:textId="62BD11CE" w:rsidR="007A6512" w:rsidRDefault="007A6512" w:rsidP="003839CD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558B8D93" w14:textId="3466CB12" w:rsidR="004E40B8" w:rsidRDefault="004E40B8" w:rsidP="004E40B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Osoba odpovědná (úředně oprávněná) za zpracování návrhu </w:t>
      </w:r>
      <w:proofErr w:type="spellStart"/>
      <w:r>
        <w:rPr>
          <w:rFonts w:ascii="ArialMT" w:hAnsi="ArialMT" w:cs="ArialMT"/>
          <w:sz w:val="22"/>
          <w:szCs w:val="22"/>
        </w:rPr>
        <w:t>KoPÚ</w:t>
      </w:r>
      <w:proofErr w:type="spellEnd"/>
      <w:r>
        <w:rPr>
          <w:rFonts w:ascii="ArialMT" w:hAnsi="ArialMT" w:cs="ArialMT"/>
          <w:sz w:val="22"/>
          <w:szCs w:val="22"/>
        </w:rPr>
        <w:t xml:space="preserve">: </w:t>
      </w:r>
      <w:proofErr w:type="spellStart"/>
      <w:r w:rsidR="004129FD">
        <w:rPr>
          <w:rFonts w:ascii="ArialMT" w:hAnsi="ArialMT" w:cs="ArialMT"/>
          <w:sz w:val="22"/>
          <w:szCs w:val="22"/>
        </w:rPr>
        <w:t>xxxxx</w:t>
      </w:r>
      <w:proofErr w:type="spellEnd"/>
    </w:p>
    <w:p w14:paraId="65C32A20" w14:textId="77777777" w:rsidR="004E40B8" w:rsidRDefault="004E40B8" w:rsidP="004E40B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Osoba odpovědná (odborně způsobilá) k výkonu zeměměřičských činností v rámci zpracování návrhu</w:t>
      </w:r>
    </w:p>
    <w:p w14:paraId="0A60FB55" w14:textId="4A72ABE4" w:rsidR="004E40B8" w:rsidRPr="001511FF" w:rsidRDefault="004E40B8" w:rsidP="004E40B8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KoPÚ</w:t>
      </w:r>
      <w:proofErr w:type="spellEnd"/>
      <w:r>
        <w:rPr>
          <w:rFonts w:ascii="ArialMT" w:hAnsi="ArialMT" w:cs="ArialMT"/>
          <w:sz w:val="22"/>
          <w:szCs w:val="22"/>
        </w:rPr>
        <w:t xml:space="preserve"> a vytyčení pozemků: </w:t>
      </w:r>
      <w:proofErr w:type="spellStart"/>
      <w:r w:rsidR="004129FD">
        <w:rPr>
          <w:rFonts w:ascii="ArialMT" w:hAnsi="ArialMT" w:cs="ArialMT"/>
          <w:sz w:val="22"/>
          <w:szCs w:val="22"/>
        </w:rPr>
        <w:t>xxxxx</w:t>
      </w:r>
      <w:proofErr w:type="spellEnd"/>
    </w:p>
    <w:p w14:paraId="0CC6623B" w14:textId="5027C6BB" w:rsidR="007A6512" w:rsidRDefault="007A6512" w:rsidP="007A6512">
      <w:pPr>
        <w:pStyle w:val="Zkladntext2"/>
        <w:spacing w:before="120" w:line="276" w:lineRule="auto"/>
        <w:rPr>
          <w:rFonts w:ascii="Arial" w:hAnsi="Arial" w:cs="Arial"/>
          <w:snapToGrid/>
          <w:sz w:val="22"/>
          <w:szCs w:val="22"/>
        </w:rPr>
      </w:pPr>
      <w:r w:rsidRPr="007A6512">
        <w:rPr>
          <w:rFonts w:ascii="Arial" w:hAnsi="Arial" w:cs="Arial"/>
          <w:snapToGrid/>
          <w:sz w:val="22"/>
          <w:szCs w:val="22"/>
        </w:rPr>
        <w:t>Společnost je zapsaná v obchodním rejstříku vedeném: Krajským soudem v Plzni pod č.j.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7A6512">
        <w:rPr>
          <w:rFonts w:ascii="Arial" w:hAnsi="Arial" w:cs="Arial"/>
          <w:snapToGrid/>
          <w:sz w:val="22"/>
          <w:szCs w:val="22"/>
        </w:rPr>
        <w:t xml:space="preserve">C10235. </w:t>
      </w:r>
    </w:p>
    <w:p w14:paraId="3A104E32" w14:textId="4A933789" w:rsidR="006101B7" w:rsidRPr="00A22C99" w:rsidRDefault="006101B7" w:rsidP="007A6512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(dále jen „</w:t>
      </w:r>
      <w:r w:rsidRPr="00A22C99">
        <w:rPr>
          <w:rFonts w:ascii="Arial" w:hAnsi="Arial" w:cs="Arial"/>
          <w:b/>
          <w:sz w:val="22"/>
          <w:szCs w:val="22"/>
        </w:rPr>
        <w:t>zhotovitel</w:t>
      </w:r>
      <w:r w:rsidRPr="00A22C99">
        <w:rPr>
          <w:rFonts w:ascii="Arial" w:hAnsi="Arial" w:cs="Arial"/>
          <w:sz w:val="22"/>
          <w:szCs w:val="22"/>
        </w:rPr>
        <w:t>“),</w:t>
      </w:r>
    </w:p>
    <w:p w14:paraId="1E949FEB" w14:textId="55A5D78D" w:rsidR="006101B7" w:rsidRDefault="006101B7" w:rsidP="006101B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1AF3E9D0" w:rsidR="00426B5B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E87B6D">
        <w:rPr>
          <w:rFonts w:ascii="Arial" w:hAnsi="Arial" w:cs="Arial"/>
          <w:sz w:val="22"/>
          <w:szCs w:val="22"/>
        </w:rPr>
        <w:t>4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D7792A">
            <w:rPr>
              <w:rFonts w:ascii="Arial" w:hAnsi="Arial" w:cs="Arial"/>
              <w:sz w:val="22"/>
              <w:szCs w:val="22"/>
            </w:rPr>
            <w:t>ceny za provedení díla a 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1D3FCB">
        <w:rPr>
          <w:rFonts w:ascii="Arial" w:hAnsi="Arial" w:cs="Arial"/>
          <w:sz w:val="22"/>
          <w:szCs w:val="22"/>
        </w:rPr>
        <w:t>12.</w:t>
      </w:r>
      <w:r w:rsidR="00765D28">
        <w:rPr>
          <w:rFonts w:ascii="Arial" w:hAnsi="Arial" w:cs="Arial"/>
          <w:sz w:val="22"/>
          <w:szCs w:val="22"/>
        </w:rPr>
        <w:t>2</w:t>
      </w:r>
      <w:r w:rsidR="001D3FCB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1D3FCB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6C6D31C1" w14:textId="3A045977" w:rsidR="004E40B8" w:rsidRPr="00DB56B0" w:rsidRDefault="009E25C4" w:rsidP="00CB745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1C48">
        <w:rPr>
          <w:rFonts w:ascii="Arial" w:hAnsi="Arial" w:cs="Arial"/>
          <w:sz w:val="22"/>
          <w:szCs w:val="22"/>
        </w:rPr>
        <w:t xml:space="preserve"> </w:t>
      </w:r>
      <w:r w:rsidRPr="00DB56B0">
        <w:rPr>
          <w:rFonts w:ascii="Arial" w:hAnsi="Arial" w:cs="Arial"/>
          <w:sz w:val="22"/>
          <w:szCs w:val="22"/>
        </w:rPr>
        <w:t xml:space="preserve">V rámci postupujícího zpracovávání etapy 3.5.1. </w:t>
      </w:r>
      <w:r w:rsidRPr="00DB56B0">
        <w:rPr>
          <w:rFonts w:ascii="Arial" w:hAnsi="Arial" w:cs="Arial"/>
          <w:i/>
          <w:iCs/>
          <w:sz w:val="22"/>
          <w:szCs w:val="22"/>
        </w:rPr>
        <w:t xml:space="preserve">Vypracování plánu společných zařízení </w:t>
      </w:r>
      <w:r w:rsidRPr="00DB56B0">
        <w:rPr>
          <w:rFonts w:ascii="Arial" w:hAnsi="Arial" w:cs="Arial"/>
          <w:sz w:val="22"/>
          <w:szCs w:val="22"/>
        </w:rPr>
        <w:t xml:space="preserve">byly </w:t>
      </w:r>
      <w:r w:rsidR="00740D88" w:rsidRPr="00DB56B0">
        <w:rPr>
          <w:rFonts w:ascii="Arial" w:hAnsi="Arial" w:cs="Arial"/>
          <w:sz w:val="22"/>
          <w:szCs w:val="22"/>
        </w:rPr>
        <w:t xml:space="preserve">vzneseny sborem zástupců vlastníků a zástupci obce </w:t>
      </w:r>
      <w:r w:rsidR="00534ACA" w:rsidRPr="00DB56B0">
        <w:rPr>
          <w:rFonts w:ascii="Arial" w:hAnsi="Arial" w:cs="Arial"/>
          <w:sz w:val="22"/>
          <w:szCs w:val="22"/>
        </w:rPr>
        <w:t xml:space="preserve">Klášter </w:t>
      </w:r>
      <w:r w:rsidR="00740D88" w:rsidRPr="00DB56B0">
        <w:rPr>
          <w:rFonts w:ascii="Arial" w:hAnsi="Arial" w:cs="Arial"/>
          <w:sz w:val="22"/>
          <w:szCs w:val="22"/>
        </w:rPr>
        <w:t xml:space="preserve">požadavky na návrh vodohospodářských a protierozních opatření, které vyústily v navrhovanou soustavu </w:t>
      </w:r>
      <w:r w:rsidR="00534ACA" w:rsidRPr="00DB56B0">
        <w:rPr>
          <w:rFonts w:ascii="Arial" w:hAnsi="Arial" w:cs="Arial"/>
          <w:sz w:val="22"/>
          <w:szCs w:val="22"/>
        </w:rPr>
        <w:t>vodních nádrží doplněnou svodným příkopem a odvodňovacím kanálem s příčnými přepážkami. Realizací těchto opatření dojde k ochraně obce Klášter před následky přívalových srážek. V rámci projednávání PSZ byly rovněž upřesněny požadavky na cestní síť. Na základě výše uvedeného došlo</w:t>
      </w:r>
      <w:r w:rsidRPr="00DB56B0">
        <w:rPr>
          <w:rFonts w:ascii="Arial" w:hAnsi="Arial" w:cs="Arial"/>
          <w:sz w:val="22"/>
          <w:szCs w:val="22"/>
        </w:rPr>
        <w:t xml:space="preserve"> </w:t>
      </w:r>
      <w:r w:rsidR="00534ACA" w:rsidRPr="00DB56B0">
        <w:rPr>
          <w:rFonts w:ascii="Arial" w:hAnsi="Arial" w:cs="Arial"/>
          <w:sz w:val="22"/>
          <w:szCs w:val="22"/>
        </w:rPr>
        <w:t>ke změně</w:t>
      </w:r>
      <w:r w:rsidRPr="00DB56B0">
        <w:rPr>
          <w:rFonts w:ascii="Arial" w:hAnsi="Arial" w:cs="Arial"/>
          <w:sz w:val="22"/>
          <w:szCs w:val="22"/>
        </w:rPr>
        <w:t xml:space="preserve"> skutečn</w:t>
      </w:r>
      <w:r w:rsidR="00534ACA" w:rsidRPr="00DB56B0">
        <w:rPr>
          <w:rFonts w:ascii="Arial" w:hAnsi="Arial" w:cs="Arial"/>
          <w:sz w:val="22"/>
          <w:szCs w:val="22"/>
        </w:rPr>
        <w:t>ých</w:t>
      </w:r>
      <w:r w:rsidRPr="00DB56B0">
        <w:rPr>
          <w:rFonts w:ascii="Arial" w:hAnsi="Arial" w:cs="Arial"/>
          <w:sz w:val="22"/>
          <w:szCs w:val="22"/>
        </w:rPr>
        <w:t xml:space="preserve"> měrn</w:t>
      </w:r>
      <w:r w:rsidR="00534ACA" w:rsidRPr="00DB56B0">
        <w:rPr>
          <w:rFonts w:ascii="Arial" w:hAnsi="Arial" w:cs="Arial"/>
          <w:sz w:val="22"/>
          <w:szCs w:val="22"/>
        </w:rPr>
        <w:t>ých</w:t>
      </w:r>
      <w:r w:rsidRPr="00DB56B0">
        <w:rPr>
          <w:rFonts w:ascii="Arial" w:hAnsi="Arial" w:cs="Arial"/>
          <w:sz w:val="22"/>
          <w:szCs w:val="22"/>
        </w:rPr>
        <w:t xml:space="preserve"> jednot</w:t>
      </w:r>
      <w:r w:rsidR="00534ACA" w:rsidRPr="00DB56B0">
        <w:rPr>
          <w:rFonts w:ascii="Arial" w:hAnsi="Arial" w:cs="Arial"/>
          <w:sz w:val="22"/>
          <w:szCs w:val="22"/>
        </w:rPr>
        <w:t>ek</w:t>
      </w:r>
      <w:r w:rsidRPr="00DB56B0">
        <w:rPr>
          <w:rFonts w:ascii="Arial" w:hAnsi="Arial" w:cs="Arial"/>
          <w:sz w:val="22"/>
          <w:szCs w:val="22"/>
        </w:rPr>
        <w:t xml:space="preserve">, které se lišily od stávajících měrných jednotek, které byly uvedeny ve smlouvě. Konkrétně se </w:t>
      </w:r>
      <w:r w:rsidR="00534ACA" w:rsidRPr="00DB56B0">
        <w:rPr>
          <w:rFonts w:ascii="Arial" w:hAnsi="Arial" w:cs="Arial"/>
          <w:sz w:val="22"/>
          <w:szCs w:val="22"/>
        </w:rPr>
        <w:t xml:space="preserve">změna </w:t>
      </w:r>
      <w:r w:rsidRPr="00DB56B0">
        <w:rPr>
          <w:rFonts w:ascii="Arial" w:hAnsi="Arial" w:cs="Arial"/>
          <w:sz w:val="22"/>
          <w:szCs w:val="22"/>
        </w:rPr>
        <w:t xml:space="preserve">týká zvýšení počtu měrných jednotek následujících etap: 3.5.i.a) </w:t>
      </w:r>
      <w:r w:rsidRPr="00DB56B0">
        <w:rPr>
          <w:rFonts w:ascii="Arial" w:hAnsi="Arial" w:cs="Arial"/>
          <w:i/>
          <w:iCs/>
          <w:sz w:val="22"/>
          <w:szCs w:val="22"/>
        </w:rPr>
        <w:t xml:space="preserve">Výškopisné zaměření zájmového území v obvodu </w:t>
      </w:r>
      <w:proofErr w:type="spellStart"/>
      <w:r w:rsidRPr="00DB56B0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Pr="00DB56B0">
        <w:rPr>
          <w:rFonts w:ascii="Arial" w:hAnsi="Arial" w:cs="Arial"/>
          <w:i/>
          <w:iCs/>
          <w:sz w:val="22"/>
          <w:szCs w:val="22"/>
        </w:rPr>
        <w:t xml:space="preserve"> - RP v trvalých i mimo trvalé porosty; </w:t>
      </w:r>
      <w:r w:rsidRPr="00DB56B0">
        <w:rPr>
          <w:rFonts w:ascii="Arial" w:hAnsi="Arial" w:cs="Arial"/>
          <w:sz w:val="22"/>
          <w:szCs w:val="22"/>
        </w:rPr>
        <w:t>3.5.i.b)</w:t>
      </w:r>
      <w:r w:rsidRPr="00DB56B0">
        <w:rPr>
          <w:rFonts w:ascii="Arial" w:hAnsi="Arial" w:cs="Arial"/>
          <w:i/>
          <w:iCs/>
          <w:sz w:val="22"/>
          <w:szCs w:val="22"/>
        </w:rPr>
        <w:t xml:space="preserve">Potřebné podélné profily, příčné řezy a podrobné situace liniových staveb PSZ pro stanovení plochy záboru půdy stavbami; </w:t>
      </w:r>
      <w:r w:rsidRPr="00DB56B0">
        <w:rPr>
          <w:rFonts w:ascii="Arial" w:hAnsi="Arial" w:cs="Arial"/>
          <w:sz w:val="22"/>
          <w:szCs w:val="22"/>
        </w:rPr>
        <w:t xml:space="preserve">3.5.i.c) </w:t>
      </w:r>
      <w:r w:rsidRPr="00DB56B0">
        <w:rPr>
          <w:rFonts w:ascii="Arial" w:hAnsi="Arial" w:cs="Arial"/>
          <w:i/>
          <w:iCs/>
          <w:sz w:val="22"/>
          <w:szCs w:val="22"/>
        </w:rPr>
        <w:t xml:space="preserve">Potřebné podélné profily, příčné řezy a podrobné situace vodohospodářských staveb PSZ pro stanovení plochy záboru půdy stavbami.  </w:t>
      </w:r>
      <w:r w:rsidRPr="00DB56B0">
        <w:rPr>
          <w:rFonts w:ascii="Arial" w:hAnsi="Arial" w:cs="Arial"/>
          <w:sz w:val="22"/>
          <w:szCs w:val="22"/>
        </w:rPr>
        <w:t xml:space="preserve">Změny jsou navrhovány s ohledem na zpracování všech dalších etap pozemkové úpravy v </w:t>
      </w:r>
      <w:proofErr w:type="spellStart"/>
      <w:r w:rsidRPr="00DB56B0">
        <w:rPr>
          <w:rFonts w:ascii="Arial" w:hAnsi="Arial" w:cs="Arial"/>
          <w:sz w:val="22"/>
          <w:szCs w:val="22"/>
        </w:rPr>
        <w:t>k.ú</w:t>
      </w:r>
      <w:proofErr w:type="spellEnd"/>
      <w:r w:rsidRPr="00DB56B0">
        <w:rPr>
          <w:rFonts w:ascii="Arial" w:hAnsi="Arial" w:cs="Arial"/>
          <w:sz w:val="22"/>
          <w:szCs w:val="22"/>
        </w:rPr>
        <w:t xml:space="preserve">. </w:t>
      </w:r>
      <w:r w:rsidR="00615121" w:rsidRPr="00DB56B0">
        <w:rPr>
          <w:rFonts w:ascii="Arial" w:hAnsi="Arial" w:cs="Arial"/>
          <w:sz w:val="22"/>
          <w:szCs w:val="22"/>
        </w:rPr>
        <w:t xml:space="preserve">Klášter u </w:t>
      </w:r>
      <w:r w:rsidR="00651E56" w:rsidRPr="00DB56B0">
        <w:rPr>
          <w:rFonts w:ascii="Arial" w:hAnsi="Arial" w:cs="Arial"/>
          <w:sz w:val="22"/>
          <w:szCs w:val="22"/>
        </w:rPr>
        <w:t>Nepomuka</w:t>
      </w:r>
      <w:r w:rsidRPr="00DB56B0">
        <w:rPr>
          <w:rFonts w:ascii="Arial" w:hAnsi="Arial" w:cs="Arial"/>
          <w:sz w:val="22"/>
          <w:szCs w:val="22"/>
        </w:rPr>
        <w:t xml:space="preserve"> tak, aby byl lépe naplněn smysl a účel pozemkových úprav s tím, že objednatel o těchto zjištěních před zahájením původního výběrového řízení nevěděl.</w:t>
      </w:r>
    </w:p>
    <w:p w14:paraId="2171628C" w14:textId="7F940412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0FC8E9EA" w14:textId="0CDBDA96" w:rsidR="00921DC0" w:rsidRPr="00791DCE" w:rsidRDefault="00921DC0" w:rsidP="00921DC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1DCE">
        <w:rPr>
          <w:rFonts w:ascii="Arial" w:hAnsi="Arial" w:cs="Arial"/>
          <w:sz w:val="22"/>
          <w:szCs w:val="22"/>
        </w:rPr>
        <w:t xml:space="preserve">Předmětem Dodatku č. </w:t>
      </w:r>
      <w:r w:rsidR="009E25C4">
        <w:rPr>
          <w:rFonts w:ascii="Arial" w:hAnsi="Arial" w:cs="Arial"/>
          <w:sz w:val="22"/>
          <w:szCs w:val="22"/>
        </w:rPr>
        <w:t>4</w:t>
      </w:r>
      <w:r w:rsidRPr="00791DCE">
        <w:rPr>
          <w:rFonts w:ascii="Arial" w:hAnsi="Arial" w:cs="Arial"/>
          <w:sz w:val="22"/>
          <w:szCs w:val="22"/>
        </w:rPr>
        <w:t xml:space="preserve"> ke Smlouvě je také změna způsobu předávání digitálních částí Díla. Na Portálu 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Státního pozemkového úřadu („SPÚ“) bylo spuštěno </w:t>
      </w:r>
      <w:r w:rsidRPr="00791DCE">
        <w:rPr>
          <w:rFonts w:ascii="Arial" w:hAnsi="Arial" w:cs="Arial"/>
          <w:sz w:val="22"/>
          <w:szCs w:val="22"/>
        </w:rPr>
        <w:t>V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791DCE">
        <w:rPr>
          <w:rFonts w:ascii="Arial" w:hAnsi="Arial" w:cs="Arial"/>
          <w:sz w:val="22"/>
          <w:szCs w:val="22"/>
        </w:rPr>
        <w:t xml:space="preserve">Předávání dat mezi oběma Smluvními stranami bude od data podpisu tohoto Dodatku č. </w:t>
      </w:r>
      <w:r w:rsidR="002C0C5C">
        <w:rPr>
          <w:rFonts w:ascii="Arial" w:hAnsi="Arial" w:cs="Arial"/>
          <w:sz w:val="22"/>
          <w:szCs w:val="22"/>
        </w:rPr>
        <w:t>4</w:t>
      </w:r>
      <w:r w:rsidRPr="00791DCE">
        <w:rPr>
          <w:rFonts w:ascii="Arial" w:hAnsi="Arial" w:cs="Arial"/>
          <w:sz w:val="22"/>
          <w:szCs w:val="22"/>
        </w:rPr>
        <w:t xml:space="preserve"> prováděno výhradně cestou Výměnného úložiště SPÚ, které je iniciováno a zpřístupněno ze strany SPÚ. V důsledku této změny </w:t>
      </w:r>
      <w:r w:rsidRPr="00791DC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mění čl. </w:t>
      </w:r>
      <w:r w:rsidR="00161AA7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4</w:t>
      </w:r>
      <w:r w:rsidRPr="00791DCE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. </w:t>
      </w:r>
      <w:r w:rsidRPr="00791DCE">
        <w:rPr>
          <w:rFonts w:ascii="Arial" w:hAnsi="Arial" w:cs="Arial"/>
          <w:b/>
          <w:bCs/>
          <w:sz w:val="22"/>
          <w:szCs w:val="22"/>
        </w:rPr>
        <w:t>Technické požadavky na provedení díla</w:t>
      </w:r>
      <w:r w:rsidRPr="00791DCE">
        <w:rPr>
          <w:rFonts w:ascii="Arial" w:hAnsi="Arial" w:cs="Arial"/>
          <w:sz w:val="22"/>
          <w:szCs w:val="22"/>
        </w:rPr>
        <w:t>.</w:t>
      </w:r>
    </w:p>
    <w:p w14:paraId="545CB4DE" w14:textId="2DE5BA09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512DCF8D" w14:textId="2DA1DE17" w:rsidR="00532D94" w:rsidRPr="00047673" w:rsidRDefault="00BF33FF" w:rsidP="006E3A0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7673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C44378" w:rsidRPr="00047673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44378" w:rsidRPr="00047673">
        <w:rPr>
          <w:rFonts w:ascii="Arial" w:hAnsi="Arial" w:cs="Arial"/>
          <w:sz w:val="22"/>
          <w:szCs w:val="22"/>
        </w:rPr>
        <w:t>v počtu měrných jednotek</w:t>
      </w:r>
      <w:r w:rsidR="00173D44" w:rsidRPr="00047673">
        <w:rPr>
          <w:rFonts w:ascii="Arial" w:hAnsi="Arial" w:cs="Arial"/>
          <w:sz w:val="22"/>
          <w:szCs w:val="22"/>
        </w:rPr>
        <w:t xml:space="preserve"> </w:t>
      </w:r>
      <w:r w:rsidR="004E40B8" w:rsidRPr="00047673">
        <w:rPr>
          <w:rFonts w:ascii="Arial" w:hAnsi="Arial" w:cs="Arial"/>
          <w:sz w:val="22"/>
          <w:szCs w:val="22"/>
        </w:rPr>
        <w:t>etap</w:t>
      </w:r>
      <w:r w:rsidR="002D0FC9" w:rsidRPr="00047673">
        <w:rPr>
          <w:rFonts w:ascii="Arial" w:hAnsi="Arial" w:cs="Arial"/>
          <w:sz w:val="22"/>
          <w:szCs w:val="22"/>
        </w:rPr>
        <w:t>:</w:t>
      </w:r>
      <w:r w:rsidR="003C40DA" w:rsidRPr="00047673">
        <w:rPr>
          <w:rFonts w:ascii="Arial" w:hAnsi="Arial" w:cs="Arial"/>
          <w:sz w:val="22"/>
          <w:szCs w:val="22"/>
        </w:rPr>
        <w:t xml:space="preserve"> </w:t>
      </w:r>
      <w:r w:rsidR="003C40DA" w:rsidRPr="00047673">
        <w:rPr>
          <w:rFonts w:ascii="Arial" w:hAnsi="Arial" w:cs="Arial"/>
          <w:i/>
          <w:iCs/>
          <w:sz w:val="22"/>
          <w:szCs w:val="22"/>
        </w:rPr>
        <w:t>3.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>5</w:t>
      </w:r>
      <w:r w:rsidR="003C40DA" w:rsidRPr="00047673">
        <w:rPr>
          <w:rFonts w:ascii="Arial" w:hAnsi="Arial" w:cs="Arial"/>
          <w:i/>
          <w:iCs/>
          <w:sz w:val="22"/>
          <w:szCs w:val="22"/>
        </w:rPr>
        <w:t>.</w:t>
      </w:r>
      <w:r w:rsidR="00047673" w:rsidRPr="00047673">
        <w:rPr>
          <w:rFonts w:ascii="Arial" w:hAnsi="Arial" w:cs="Arial"/>
          <w:i/>
          <w:iCs/>
          <w:sz w:val="22"/>
          <w:szCs w:val="22"/>
        </w:rPr>
        <w:t>i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 xml:space="preserve"> a)</w:t>
      </w:r>
      <w:r w:rsidR="003C40DA" w:rsidRPr="00047673">
        <w:rPr>
          <w:rFonts w:ascii="Arial" w:hAnsi="Arial" w:cs="Arial"/>
          <w:i/>
          <w:iCs/>
          <w:sz w:val="22"/>
          <w:szCs w:val="22"/>
        </w:rPr>
        <w:t xml:space="preserve">. 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 xml:space="preserve">Výškopisné zaměření zájmového území v obvodu </w:t>
      </w:r>
      <w:proofErr w:type="spellStart"/>
      <w:r w:rsidR="00451CEF" w:rsidRPr="00047673">
        <w:rPr>
          <w:rFonts w:ascii="Arial" w:hAnsi="Arial" w:cs="Arial"/>
          <w:i/>
          <w:iCs/>
          <w:sz w:val="22"/>
          <w:szCs w:val="22"/>
        </w:rPr>
        <w:t>KoPÚ</w:t>
      </w:r>
      <w:proofErr w:type="spellEnd"/>
      <w:r w:rsidR="00451CEF" w:rsidRPr="00047673">
        <w:rPr>
          <w:rFonts w:ascii="Arial" w:hAnsi="Arial" w:cs="Arial"/>
          <w:i/>
          <w:iCs/>
          <w:sz w:val="22"/>
          <w:szCs w:val="22"/>
        </w:rPr>
        <w:t xml:space="preserve"> - RP v trvalých a mimo trvalé porosty, 3.5.</w:t>
      </w:r>
      <w:r w:rsidR="00047673" w:rsidRPr="00047673">
        <w:rPr>
          <w:rFonts w:ascii="Arial" w:hAnsi="Arial" w:cs="Arial"/>
          <w:i/>
          <w:iCs/>
          <w:sz w:val="22"/>
          <w:szCs w:val="22"/>
        </w:rPr>
        <w:t>i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>. b)</w:t>
      </w:r>
      <w:r w:rsidR="00451CEF" w:rsidRPr="00047673">
        <w:t xml:space="preserve"> 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>Potřebné podélné profily, příčné řezy a podrobné situace liniových staveb PSZ pro stanovení plochy záboru půdy stavbami a 3.5.</w:t>
      </w:r>
      <w:r w:rsidR="00047673" w:rsidRPr="00047673">
        <w:rPr>
          <w:rFonts w:ascii="Arial" w:hAnsi="Arial" w:cs="Arial"/>
          <w:i/>
          <w:iCs/>
          <w:sz w:val="22"/>
          <w:szCs w:val="22"/>
        </w:rPr>
        <w:t>i</w:t>
      </w:r>
      <w:r w:rsidR="00451CEF" w:rsidRPr="00047673">
        <w:rPr>
          <w:rFonts w:ascii="Arial" w:hAnsi="Arial" w:cs="Arial"/>
          <w:i/>
          <w:iCs/>
          <w:sz w:val="22"/>
          <w:szCs w:val="22"/>
        </w:rPr>
        <w:t xml:space="preserve"> </w:t>
      </w:r>
      <w:r w:rsidR="00047673" w:rsidRPr="00047673">
        <w:rPr>
          <w:rFonts w:ascii="Arial" w:hAnsi="Arial" w:cs="Arial"/>
          <w:i/>
          <w:iCs/>
          <w:sz w:val="22"/>
          <w:szCs w:val="22"/>
        </w:rPr>
        <w:t>c) Potřebné podélné profily, příčné řezy a podrobné situace vodohospodářských staveb PSZ pro stanovení plochy záboru půdy stavbami</w:t>
      </w:r>
      <w:r w:rsidR="003C40DA" w:rsidRPr="00047673">
        <w:rPr>
          <w:rFonts w:ascii="Arial" w:hAnsi="Arial" w:cs="Arial"/>
          <w:i/>
          <w:iCs/>
          <w:sz w:val="22"/>
          <w:szCs w:val="22"/>
        </w:rPr>
        <w:t xml:space="preserve">.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B051E6AD697541B69020A5D51FE5697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5537D686" w14:textId="1A8D51C1" w:rsidR="001B4358" w:rsidRPr="00A22C99" w:rsidRDefault="00047673" w:rsidP="001B4358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1B4358" w:rsidRPr="00A22C99" w14:paraId="27E0D8A4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DBF79" w14:textId="695F11F3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D7792A">
              <w:rPr>
                <w:rFonts w:ascii="Arial" w:hAnsi="Arial" w:cs="Arial"/>
                <w:sz w:val="22"/>
                <w:szCs w:val="22"/>
              </w:rPr>
              <w:t xml:space="preserve"> (dle Dodatku č. </w:t>
            </w:r>
            <w:r w:rsidR="004C6520">
              <w:rPr>
                <w:rFonts w:ascii="Arial" w:hAnsi="Arial" w:cs="Arial"/>
                <w:sz w:val="22"/>
                <w:szCs w:val="22"/>
              </w:rPr>
              <w:t>3</w:t>
            </w:r>
            <w:r w:rsidR="00D779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7B45" w14:textId="47B7FE6B" w:rsidR="001B4358" w:rsidRPr="00A22C99" w:rsidRDefault="00DF1B0B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1B0B">
              <w:rPr>
                <w:rFonts w:ascii="Arial" w:hAnsi="Arial" w:cs="Arial"/>
                <w:sz w:val="22"/>
                <w:szCs w:val="22"/>
              </w:rPr>
              <w:t>4 572 850,00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78CC7776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3C57F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82A2" w14:textId="3430420E" w:rsidR="001B4358" w:rsidRPr="00A22C99" w:rsidRDefault="005D5992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="00D552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45A9E0AE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FD863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4CF" w14:textId="3F3F2044" w:rsidR="001B4358" w:rsidRPr="00417D70" w:rsidRDefault="005520E1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343 000,00,-</w:t>
            </w:r>
            <w:r w:rsidR="001B4358" w:rsidRPr="00417D70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1994091F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D57FE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A82" w14:textId="558E5389" w:rsidR="001B4358" w:rsidRPr="00D552B2" w:rsidRDefault="005520E1" w:rsidP="0010172C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4 915 850,00,-</w:t>
            </w:r>
            <w:r w:rsidR="001B4358" w:rsidRPr="00D552B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1B4358" w:rsidRPr="00A22C99" w14:paraId="6E806845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EA288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50F" w14:textId="733915B3" w:rsidR="001B4358" w:rsidRPr="00A22C99" w:rsidRDefault="005520E1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1 032 328,50,-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1B4358" w:rsidRPr="00A22C99" w14:paraId="046182FE" w14:textId="77777777" w:rsidTr="0010172C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D0545" w14:textId="77777777" w:rsidR="001B4358" w:rsidRPr="00A22C99" w:rsidRDefault="001B4358" w:rsidP="0010172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89E" w14:textId="783C04C4" w:rsidR="001B4358" w:rsidRPr="00A22C99" w:rsidRDefault="005520E1" w:rsidP="0010172C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5 948 178,50,-</w:t>
            </w:r>
            <w:r w:rsidR="001B4358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2BEB0997" w14:textId="5BB571D9" w:rsidR="001B4358" w:rsidRDefault="001B4358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5ADD7316" w14:textId="7C950A59" w:rsidR="00473E68" w:rsidRDefault="00473E68" w:rsidP="001B4358">
      <w:pPr>
        <w:spacing w:before="120" w:after="120"/>
        <w:rPr>
          <w:rFonts w:ascii="Arial" w:hAnsi="Arial" w:cs="Arial"/>
          <w:sz w:val="22"/>
          <w:szCs w:val="22"/>
        </w:rPr>
      </w:pPr>
    </w:p>
    <w:p w14:paraId="7CBB0618" w14:textId="77777777" w:rsidR="00473E68" w:rsidRPr="00A22C99" w:rsidRDefault="00473E68" w:rsidP="001B4358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737"/>
        <w:gridCol w:w="709"/>
        <w:gridCol w:w="754"/>
        <w:gridCol w:w="1345"/>
        <w:gridCol w:w="1417"/>
        <w:gridCol w:w="1445"/>
        <w:gridCol w:w="1560"/>
      </w:tblGrid>
      <w:tr w:rsidR="00F82AEC" w:rsidRPr="00A22C99" w14:paraId="66171CC0" w14:textId="77777777" w:rsidTr="008546DD">
        <w:trPr>
          <w:trHeight w:val="615"/>
        </w:trPr>
        <w:tc>
          <w:tcPr>
            <w:tcW w:w="807" w:type="dxa"/>
            <w:shd w:val="clear" w:color="auto" w:fill="F2F2F2" w:themeFill="background1" w:themeFillShade="F2"/>
          </w:tcPr>
          <w:p w14:paraId="72DBABFC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noWrap/>
            <w:hideMark/>
          </w:tcPr>
          <w:p w14:paraId="7061E359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14:paraId="765BB076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754" w:type="dxa"/>
            <w:shd w:val="clear" w:color="auto" w:fill="F2F2F2" w:themeFill="background1" w:themeFillShade="F2"/>
            <w:vAlign w:val="center"/>
            <w:hideMark/>
          </w:tcPr>
          <w:p w14:paraId="368D84B2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6E2874C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2116025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  <w:hideMark/>
          </w:tcPr>
          <w:p w14:paraId="6465899E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65D5874" w14:textId="77777777" w:rsidR="001B4358" w:rsidRPr="00A22C99" w:rsidRDefault="001B4358" w:rsidP="0010172C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5D5992" w:rsidRPr="00A22C99" w14:paraId="4EFD3B84" w14:textId="77777777" w:rsidTr="008546DD">
        <w:trPr>
          <w:trHeight w:val="90"/>
        </w:trPr>
        <w:tc>
          <w:tcPr>
            <w:tcW w:w="10774" w:type="dxa"/>
            <w:gridSpan w:val="8"/>
            <w:shd w:val="clear" w:color="auto" w:fill="F2F2F2" w:themeFill="background1" w:themeFillShade="F2"/>
            <w:noWrap/>
            <w:vAlign w:val="center"/>
          </w:tcPr>
          <w:p w14:paraId="08655282" w14:textId="74595A9D" w:rsidR="005D5992" w:rsidRPr="00237F52" w:rsidRDefault="005D5992" w:rsidP="00F82A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9E25C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37F5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9E25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Návrhové práce</w:t>
            </w:r>
          </w:p>
          <w:p w14:paraId="172A5B4C" w14:textId="3A483ECE" w:rsidR="005D5992" w:rsidRPr="005D5992" w:rsidRDefault="005D5992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37576D63" w14:textId="77777777" w:rsidTr="008546DD">
        <w:trPr>
          <w:trHeight w:val="390"/>
        </w:trPr>
        <w:tc>
          <w:tcPr>
            <w:tcW w:w="807" w:type="dxa"/>
            <w:shd w:val="clear" w:color="auto" w:fill="F2F2F2" w:themeFill="background1" w:themeFillShade="F2"/>
            <w:noWrap/>
            <w:hideMark/>
          </w:tcPr>
          <w:p w14:paraId="63E106AD" w14:textId="32D13DE1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2AE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82A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37" w:type="dxa"/>
            <w:shd w:val="clear" w:color="auto" w:fill="F2F2F2" w:themeFill="background1" w:themeFillShade="F2"/>
            <w:hideMark/>
          </w:tcPr>
          <w:p w14:paraId="4AC9FEE0" w14:textId="35E20DBA" w:rsidR="00451CEF" w:rsidRPr="00F82AEC" w:rsidRDefault="00451CEF" w:rsidP="00C05DF3">
            <w:pPr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09" w:type="dxa"/>
            <w:noWrap/>
            <w:hideMark/>
          </w:tcPr>
          <w:p w14:paraId="3FE560CC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3C405" w14:textId="513633CC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  <w:hideMark/>
          </w:tcPr>
          <w:p w14:paraId="3CC3DC31" w14:textId="31394ABF" w:rsidR="00451CEF" w:rsidRPr="008546DD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345" w:type="dxa"/>
            <w:noWrap/>
          </w:tcPr>
          <w:p w14:paraId="26188733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E31E9D" w14:textId="1DB66832" w:rsidR="00451CEF" w:rsidRPr="00237F52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14:paraId="641A4C91" w14:textId="0130FB51" w:rsidR="00451CEF" w:rsidRPr="00A22C99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344 500,00</w:t>
            </w:r>
          </w:p>
        </w:tc>
        <w:tc>
          <w:tcPr>
            <w:tcW w:w="1445" w:type="dxa"/>
            <w:vMerge w:val="restart"/>
            <w:noWrap/>
            <w:vAlign w:val="center"/>
          </w:tcPr>
          <w:p w14:paraId="5FF84737" w14:textId="1EBE5F31" w:rsidR="00451CEF" w:rsidRPr="00A22C99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30. 08. 2022</w:t>
            </w:r>
          </w:p>
        </w:tc>
        <w:tc>
          <w:tcPr>
            <w:tcW w:w="1560" w:type="dxa"/>
            <w:vMerge w:val="restart"/>
            <w:vAlign w:val="center"/>
          </w:tcPr>
          <w:p w14:paraId="52D10270" w14:textId="39C803DD" w:rsidR="00451CEF" w:rsidRPr="005D5992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4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30.12.2024</w:t>
            </w:r>
          </w:p>
        </w:tc>
      </w:tr>
      <w:tr w:rsidR="00451CEF" w:rsidRPr="00A22C99" w14:paraId="04F26191" w14:textId="77777777" w:rsidTr="008546DD">
        <w:trPr>
          <w:trHeight w:val="570"/>
        </w:trPr>
        <w:tc>
          <w:tcPr>
            <w:tcW w:w="807" w:type="dxa"/>
            <w:vMerge w:val="restart"/>
            <w:shd w:val="clear" w:color="auto" w:fill="F2F2F2" w:themeFill="background1" w:themeFillShade="F2"/>
            <w:noWrap/>
          </w:tcPr>
          <w:p w14:paraId="08BEAA81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51D26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17780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0C3B9E" w14:textId="68C97926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047673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. a)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6057EF44" w14:textId="29A68EE9" w:rsidR="00451CEF" w:rsidRPr="00F82AEC" w:rsidRDefault="00451CEF" w:rsidP="008546DD">
            <w:pPr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sz w:val="16"/>
                <w:szCs w:val="16"/>
              </w:rPr>
              <w:t>Výškopisné zaměření zájmového území 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 xml:space="preserve">obvodu </w:t>
            </w:r>
            <w:proofErr w:type="spellStart"/>
            <w:r w:rsidRPr="008546D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546DD">
              <w:rPr>
                <w:rFonts w:ascii="Arial" w:hAnsi="Arial" w:cs="Arial"/>
                <w:sz w:val="16"/>
                <w:szCs w:val="16"/>
              </w:rPr>
              <w:t xml:space="preserve"> - RP v trvalých a mimo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trvalé porosty</w:t>
            </w:r>
          </w:p>
        </w:tc>
        <w:tc>
          <w:tcPr>
            <w:tcW w:w="709" w:type="dxa"/>
            <w:vMerge w:val="restart"/>
            <w:noWrap/>
          </w:tcPr>
          <w:p w14:paraId="18E64876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13A5D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8F805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2FFDC" w14:textId="484FC9EF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449E73F0" w14:textId="46F24BD3" w:rsidR="00451CEF" w:rsidRPr="00D77C28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5" w:type="dxa"/>
            <w:noWrap/>
          </w:tcPr>
          <w:p w14:paraId="28FD48A8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28FF0" w14:textId="3C925266" w:rsidR="00451CEF" w:rsidRPr="00237F52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  <w:tc>
          <w:tcPr>
            <w:tcW w:w="1417" w:type="dxa"/>
            <w:noWrap/>
            <w:vAlign w:val="center"/>
          </w:tcPr>
          <w:p w14:paraId="61E8A42E" w14:textId="0A27FD34" w:rsidR="00451CEF" w:rsidRPr="00A22C99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34EF692E" w14:textId="3B2968B7" w:rsidR="00451CEF" w:rsidRPr="00A22C99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FA2D5D6" w14:textId="494909F4" w:rsidR="00451CEF" w:rsidRPr="005D5992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00AD9E27" w14:textId="77777777" w:rsidTr="008546DD">
        <w:trPr>
          <w:trHeight w:val="570"/>
        </w:trPr>
        <w:tc>
          <w:tcPr>
            <w:tcW w:w="807" w:type="dxa"/>
            <w:vMerge/>
            <w:shd w:val="clear" w:color="auto" w:fill="F2F2F2" w:themeFill="background1" w:themeFillShade="F2"/>
            <w:noWrap/>
          </w:tcPr>
          <w:p w14:paraId="50C1FB7B" w14:textId="77777777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</w:tcPr>
          <w:p w14:paraId="3CD97E1E" w14:textId="1D9E6132" w:rsidR="00451CEF" w:rsidRPr="00C05DF3" w:rsidRDefault="00451CEF" w:rsidP="008546DD">
            <w:pPr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color w:val="FF0000"/>
                <w:sz w:val="16"/>
                <w:szCs w:val="16"/>
              </w:rPr>
              <w:t xml:space="preserve">Vícepráce z dodatku č.4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546DD">
              <w:rPr>
                <w:rFonts w:ascii="Arial" w:hAnsi="Arial" w:cs="Arial"/>
                <w:sz w:val="16"/>
                <w:szCs w:val="16"/>
              </w:rPr>
              <w:t>Výškopisné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zaměření zájmového území 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546DD">
              <w:rPr>
                <w:rFonts w:ascii="Arial" w:hAnsi="Arial" w:cs="Arial"/>
                <w:sz w:val="16"/>
                <w:szCs w:val="16"/>
              </w:rPr>
              <w:t>obvodu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46D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8546DD">
              <w:rPr>
                <w:rFonts w:ascii="Arial" w:hAnsi="Arial" w:cs="Arial"/>
                <w:sz w:val="16"/>
                <w:szCs w:val="16"/>
              </w:rPr>
              <w:t xml:space="preserve"> - RP v trvalých a mimo trvalé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porosty</w:t>
            </w:r>
          </w:p>
        </w:tc>
        <w:tc>
          <w:tcPr>
            <w:tcW w:w="709" w:type="dxa"/>
            <w:vMerge/>
            <w:noWrap/>
          </w:tcPr>
          <w:p w14:paraId="7EC815F8" w14:textId="5C4C9465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5CFFB976" w14:textId="5C0F48D9" w:rsidR="00451CEF" w:rsidRPr="008546DD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54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+ 21</w:t>
            </w:r>
          </w:p>
        </w:tc>
        <w:tc>
          <w:tcPr>
            <w:tcW w:w="1345" w:type="dxa"/>
            <w:noWrap/>
          </w:tcPr>
          <w:p w14:paraId="444D5748" w14:textId="77777777" w:rsidR="00451CEF" w:rsidRPr="008546DD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6713F83" w14:textId="77777777" w:rsidR="00451CEF" w:rsidRPr="008546DD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97AD322" w14:textId="661A3507" w:rsidR="00451CEF" w:rsidRPr="008546DD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54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3 000</w:t>
            </w:r>
          </w:p>
        </w:tc>
        <w:tc>
          <w:tcPr>
            <w:tcW w:w="1417" w:type="dxa"/>
            <w:noWrap/>
            <w:vAlign w:val="center"/>
          </w:tcPr>
          <w:p w14:paraId="5802B570" w14:textId="75233034" w:rsidR="00451CEF" w:rsidRPr="008546DD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63 000,00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7AF76DB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138F221" w14:textId="77777777" w:rsidR="00451CEF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66F72C2C" w14:textId="77777777" w:rsidTr="008546DD">
        <w:trPr>
          <w:trHeight w:val="570"/>
        </w:trPr>
        <w:tc>
          <w:tcPr>
            <w:tcW w:w="807" w:type="dxa"/>
            <w:vMerge w:val="restart"/>
            <w:shd w:val="clear" w:color="auto" w:fill="F2F2F2" w:themeFill="background1" w:themeFillShade="F2"/>
            <w:noWrap/>
          </w:tcPr>
          <w:p w14:paraId="69BB15A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2B3C8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EE5D1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E878D9" w14:textId="154AC899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047673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. b)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7B70C73D" w14:textId="4BEF949F" w:rsidR="00451CEF" w:rsidRPr="00C05DF3" w:rsidRDefault="00451CEF" w:rsidP="008546DD">
            <w:pPr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sz w:val="16"/>
                <w:szCs w:val="16"/>
              </w:rPr>
              <w:t>Potřebné podélné profily, příčné řezy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podrobné situace liniových staveb PSZ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pro stanovení plochy záboru půdy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stavbami</w:t>
            </w:r>
          </w:p>
        </w:tc>
        <w:tc>
          <w:tcPr>
            <w:tcW w:w="709" w:type="dxa"/>
            <w:vMerge w:val="restart"/>
            <w:noWrap/>
          </w:tcPr>
          <w:p w14:paraId="10B41D33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4898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654AAB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86805" w14:textId="132CC3EE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754" w:type="dxa"/>
            <w:noWrap/>
            <w:vAlign w:val="center"/>
          </w:tcPr>
          <w:p w14:paraId="61DB6134" w14:textId="638D905C" w:rsidR="00451CEF" w:rsidRPr="00D77C28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45" w:type="dxa"/>
            <w:noWrap/>
          </w:tcPr>
          <w:p w14:paraId="1B936D0A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CFC7B" w14:textId="01CAE9A2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417" w:type="dxa"/>
            <w:noWrap/>
            <w:vAlign w:val="center"/>
          </w:tcPr>
          <w:p w14:paraId="30DEC670" w14:textId="5E861DF0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6D6F82AA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9F494A3" w14:textId="77777777" w:rsidR="00451CEF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64DCD6E0" w14:textId="77777777" w:rsidTr="008546DD">
        <w:trPr>
          <w:trHeight w:val="570"/>
        </w:trPr>
        <w:tc>
          <w:tcPr>
            <w:tcW w:w="807" w:type="dxa"/>
            <w:vMerge/>
            <w:shd w:val="clear" w:color="auto" w:fill="F2F2F2" w:themeFill="background1" w:themeFillShade="F2"/>
            <w:noWrap/>
          </w:tcPr>
          <w:p w14:paraId="7FB49A87" w14:textId="77777777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</w:tcPr>
          <w:p w14:paraId="7DBAC451" w14:textId="77777777" w:rsidR="00451CEF" w:rsidRPr="008546DD" w:rsidRDefault="00451CEF" w:rsidP="008546DD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color w:val="FF0000"/>
                <w:sz w:val="16"/>
                <w:szCs w:val="16"/>
              </w:rPr>
              <w:t xml:space="preserve">Vícepráce z dodatku č.4 </w:t>
            </w:r>
            <w:r w:rsidRPr="008546DD">
              <w:rPr>
                <w:rFonts w:ascii="Arial" w:hAnsi="Arial" w:cs="Arial"/>
                <w:sz w:val="16"/>
                <w:szCs w:val="16"/>
              </w:rPr>
              <w:t>- Potřebné</w:t>
            </w:r>
          </w:p>
          <w:p w14:paraId="4E992A79" w14:textId="2FBDE261" w:rsidR="00451CEF" w:rsidRPr="00C05DF3" w:rsidRDefault="00451CEF" w:rsidP="008546DD">
            <w:pPr>
              <w:rPr>
                <w:rFonts w:ascii="Arial" w:hAnsi="Arial" w:cs="Arial"/>
                <w:sz w:val="16"/>
                <w:szCs w:val="16"/>
              </w:rPr>
            </w:pPr>
            <w:r w:rsidRPr="008546DD">
              <w:rPr>
                <w:rFonts w:ascii="Arial" w:hAnsi="Arial" w:cs="Arial"/>
                <w:sz w:val="16"/>
                <w:szCs w:val="16"/>
              </w:rPr>
              <w:t>podélné profily, příčné řezy a podrobné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situace liniových staveb PSZ pro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6DD">
              <w:rPr>
                <w:rFonts w:ascii="Arial" w:hAnsi="Arial" w:cs="Arial"/>
                <w:sz w:val="16"/>
                <w:szCs w:val="16"/>
              </w:rPr>
              <w:t>stanovení plochy záboru půdy stavbami</w:t>
            </w:r>
          </w:p>
        </w:tc>
        <w:tc>
          <w:tcPr>
            <w:tcW w:w="709" w:type="dxa"/>
            <w:vMerge/>
            <w:noWrap/>
          </w:tcPr>
          <w:p w14:paraId="64FF407E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2F5A0820" w14:textId="140D24F5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+ 5</w:t>
            </w:r>
          </w:p>
        </w:tc>
        <w:tc>
          <w:tcPr>
            <w:tcW w:w="1345" w:type="dxa"/>
            <w:noWrap/>
          </w:tcPr>
          <w:p w14:paraId="2265E752" w14:textId="77777777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076FCAB" w14:textId="77777777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BF6921C" w14:textId="1E9B8743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2 000</w:t>
            </w:r>
          </w:p>
        </w:tc>
        <w:tc>
          <w:tcPr>
            <w:tcW w:w="1417" w:type="dxa"/>
            <w:noWrap/>
            <w:vAlign w:val="center"/>
          </w:tcPr>
          <w:p w14:paraId="2D5017E3" w14:textId="29C23F4B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74B11F8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A13637F" w14:textId="77777777" w:rsidR="00451CEF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25C1B4C6" w14:textId="77777777" w:rsidTr="008546DD">
        <w:trPr>
          <w:trHeight w:val="570"/>
        </w:trPr>
        <w:tc>
          <w:tcPr>
            <w:tcW w:w="807" w:type="dxa"/>
            <w:vMerge w:val="restart"/>
            <w:shd w:val="clear" w:color="auto" w:fill="F2F2F2" w:themeFill="background1" w:themeFillShade="F2"/>
            <w:noWrap/>
          </w:tcPr>
          <w:p w14:paraId="76A64C7F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D9BD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63CB67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C82B0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1BD22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5A332" w14:textId="77AC0012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EC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5.i. c)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0F92954D" w14:textId="557556DF" w:rsidR="00451CEF" w:rsidRPr="00C05DF3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Potřebné podélné profily, příčné řezy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 xml:space="preserve">podrobné situace 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451CEF">
              <w:rPr>
                <w:rFonts w:ascii="Arial" w:hAnsi="Arial" w:cs="Arial"/>
                <w:sz w:val="16"/>
                <w:szCs w:val="16"/>
              </w:rPr>
              <w:t>odohospodářských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staveb PSZ pro stanovení plochy záboru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půdy stavbami</w:t>
            </w:r>
          </w:p>
        </w:tc>
        <w:tc>
          <w:tcPr>
            <w:tcW w:w="709" w:type="dxa"/>
            <w:vMerge w:val="restart"/>
            <w:noWrap/>
          </w:tcPr>
          <w:p w14:paraId="50120362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AD6246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FE373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44C0A1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6602D" w14:textId="6A158964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754" w:type="dxa"/>
            <w:noWrap/>
            <w:vAlign w:val="center"/>
          </w:tcPr>
          <w:p w14:paraId="2954507A" w14:textId="7EDCF1F7" w:rsidR="00451CEF" w:rsidRPr="00D77C28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345" w:type="dxa"/>
            <w:noWrap/>
          </w:tcPr>
          <w:p w14:paraId="6EC9EE4C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A4C9F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01FA7" w14:textId="7F52B43C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417" w:type="dxa"/>
            <w:noWrap/>
            <w:vAlign w:val="center"/>
          </w:tcPr>
          <w:p w14:paraId="73EB2082" w14:textId="18966871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1E4B0913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FA7DC78" w14:textId="77777777" w:rsidR="00451CEF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1CEF" w:rsidRPr="00A22C99" w14:paraId="4D2E7D20" w14:textId="77777777" w:rsidTr="008546DD">
        <w:trPr>
          <w:trHeight w:val="570"/>
        </w:trPr>
        <w:tc>
          <w:tcPr>
            <w:tcW w:w="807" w:type="dxa"/>
            <w:vMerge/>
            <w:shd w:val="clear" w:color="auto" w:fill="F2F2F2" w:themeFill="background1" w:themeFillShade="F2"/>
            <w:noWrap/>
          </w:tcPr>
          <w:p w14:paraId="16819367" w14:textId="77777777" w:rsidR="00451CEF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</w:tcPr>
          <w:p w14:paraId="5F8EF788" w14:textId="77777777" w:rsidR="00451CEF" w:rsidRPr="00451CEF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color w:val="FF0000"/>
                <w:sz w:val="16"/>
                <w:szCs w:val="16"/>
              </w:rPr>
              <w:t xml:space="preserve">Vícepráce z dodatku č.4 </w:t>
            </w:r>
            <w:r w:rsidRPr="00451CEF">
              <w:rPr>
                <w:rFonts w:ascii="Arial" w:hAnsi="Arial" w:cs="Arial"/>
                <w:sz w:val="16"/>
                <w:szCs w:val="16"/>
              </w:rPr>
              <w:t>- Potřebné</w:t>
            </w:r>
          </w:p>
          <w:p w14:paraId="45039857" w14:textId="3A2B1B62" w:rsidR="00451CEF" w:rsidRPr="00451CEF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podélné profily, příčné řezy a podrobné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 xml:space="preserve">situace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451CEF">
              <w:rPr>
                <w:rFonts w:ascii="Arial" w:hAnsi="Arial" w:cs="Arial"/>
                <w:sz w:val="16"/>
                <w:szCs w:val="16"/>
              </w:rPr>
              <w:t>odohospodářských staveb PSZ</w:t>
            </w:r>
          </w:p>
          <w:p w14:paraId="35F80B56" w14:textId="77777777" w:rsidR="00451CEF" w:rsidRPr="00451CEF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pro stanovení plochy záboru půdy</w:t>
            </w:r>
          </w:p>
          <w:p w14:paraId="0400A638" w14:textId="07D7B1E5" w:rsidR="00451CEF" w:rsidRPr="00C05DF3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stavbami</w:t>
            </w:r>
          </w:p>
        </w:tc>
        <w:tc>
          <w:tcPr>
            <w:tcW w:w="709" w:type="dxa"/>
            <w:vMerge/>
            <w:noWrap/>
          </w:tcPr>
          <w:p w14:paraId="27F576FB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noWrap/>
            <w:vAlign w:val="center"/>
          </w:tcPr>
          <w:p w14:paraId="0EE23D59" w14:textId="32C68F8F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+ 27</w:t>
            </w:r>
          </w:p>
        </w:tc>
        <w:tc>
          <w:tcPr>
            <w:tcW w:w="1345" w:type="dxa"/>
            <w:noWrap/>
          </w:tcPr>
          <w:p w14:paraId="0DCC731E" w14:textId="77777777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F36E071" w14:textId="77777777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185841B9" w14:textId="7344B749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10 000, 00</w:t>
            </w:r>
          </w:p>
        </w:tc>
        <w:tc>
          <w:tcPr>
            <w:tcW w:w="1417" w:type="dxa"/>
            <w:noWrap/>
            <w:vAlign w:val="center"/>
          </w:tcPr>
          <w:p w14:paraId="0CDE0723" w14:textId="3EE140BC" w:rsidR="00451CEF" w:rsidRPr="00451CEF" w:rsidRDefault="00451CEF" w:rsidP="00237F5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270 000,00</w:t>
            </w:r>
          </w:p>
        </w:tc>
        <w:tc>
          <w:tcPr>
            <w:tcW w:w="1445" w:type="dxa"/>
            <w:vMerge/>
            <w:noWrap/>
            <w:vAlign w:val="center"/>
          </w:tcPr>
          <w:p w14:paraId="3CC494A5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C8749FE" w14:textId="77777777" w:rsidR="00451CEF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46DD" w:rsidRPr="00A22C99" w14:paraId="3CBC7342" w14:textId="77777777" w:rsidTr="008546DD">
        <w:trPr>
          <w:trHeight w:val="570"/>
        </w:trPr>
        <w:tc>
          <w:tcPr>
            <w:tcW w:w="807" w:type="dxa"/>
            <w:shd w:val="clear" w:color="auto" w:fill="F2F2F2" w:themeFill="background1" w:themeFillShade="F2"/>
            <w:noWrap/>
          </w:tcPr>
          <w:p w14:paraId="0DD5DCB5" w14:textId="777777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92D97A" w14:textId="65ABE0A4" w:rsidR="008546DD" w:rsidRPr="00F82AEC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14:paraId="7FADEEB0" w14:textId="4FD29B41" w:rsidR="008546DD" w:rsidRPr="00C05DF3" w:rsidRDefault="00451CEF" w:rsidP="00451CEF">
            <w:pPr>
              <w:rPr>
                <w:rFonts w:ascii="Arial" w:hAnsi="Arial" w:cs="Arial"/>
                <w:sz w:val="16"/>
                <w:szCs w:val="16"/>
              </w:rPr>
            </w:pPr>
            <w:r w:rsidRPr="00451CEF">
              <w:rPr>
                <w:rFonts w:ascii="Arial" w:hAnsi="Arial" w:cs="Arial"/>
                <w:sz w:val="16"/>
                <w:szCs w:val="16"/>
              </w:rPr>
              <w:t>Vypracování návrhu nového uspořádání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pozemků k vystavení dle § 11 odst.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CEF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709" w:type="dxa"/>
            <w:noWrap/>
          </w:tcPr>
          <w:p w14:paraId="1D704052" w14:textId="77777777" w:rsidR="008546DD" w:rsidRDefault="008546D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AE02E" w14:textId="1D510F09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noWrap/>
            <w:vAlign w:val="center"/>
          </w:tcPr>
          <w:p w14:paraId="0C672380" w14:textId="3265BC2B" w:rsidR="008546DD" w:rsidRPr="00D77C28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345" w:type="dxa"/>
            <w:noWrap/>
          </w:tcPr>
          <w:p w14:paraId="3C1567E6" w14:textId="77777777" w:rsidR="008546DD" w:rsidRDefault="008546DD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9905B" w14:textId="7CEFE077" w:rsidR="00451CEF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noWrap/>
            <w:vAlign w:val="center"/>
          </w:tcPr>
          <w:p w14:paraId="2EB3EF5E" w14:textId="264A62F4" w:rsidR="008546DD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413 400,00</w:t>
            </w:r>
          </w:p>
        </w:tc>
        <w:tc>
          <w:tcPr>
            <w:tcW w:w="1445" w:type="dxa"/>
            <w:noWrap/>
            <w:vAlign w:val="center"/>
          </w:tcPr>
          <w:p w14:paraId="47F2A9D0" w14:textId="369217CE" w:rsidR="008546DD" w:rsidRDefault="00451CEF" w:rsidP="0023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15. 8. 2023</w:t>
            </w:r>
          </w:p>
        </w:tc>
        <w:tc>
          <w:tcPr>
            <w:tcW w:w="1560" w:type="dxa"/>
            <w:vAlign w:val="center"/>
          </w:tcPr>
          <w:p w14:paraId="43696109" w14:textId="0F12B330" w:rsidR="008546DD" w:rsidRDefault="00451CEF" w:rsidP="00237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30. 12. 2025</w:t>
            </w:r>
          </w:p>
        </w:tc>
      </w:tr>
      <w:tr w:rsidR="001B4358" w:rsidRPr="00A22C99" w14:paraId="1B55DC6A" w14:textId="77777777" w:rsidTr="008546DD">
        <w:trPr>
          <w:trHeight w:val="214"/>
        </w:trPr>
        <w:tc>
          <w:tcPr>
            <w:tcW w:w="6352" w:type="dxa"/>
            <w:gridSpan w:val="5"/>
            <w:shd w:val="clear" w:color="auto" w:fill="F2F2F2" w:themeFill="background1" w:themeFillShade="F2"/>
            <w:noWrap/>
            <w:vAlign w:val="center"/>
          </w:tcPr>
          <w:p w14:paraId="5960EDF4" w14:textId="5665F192" w:rsidR="001B4358" w:rsidRPr="00C93D78" w:rsidRDefault="00C93D78" w:rsidP="00C93D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8546DD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celkem (3.</w:t>
            </w:r>
            <w:r w:rsidR="00451CE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321D2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451CE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.-3.</w:t>
            </w:r>
            <w:r w:rsidR="00451CE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451CE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>.) bez DPH v Kč</w:t>
            </w:r>
            <w:r w:rsidRPr="00C93D7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17" w:type="dxa"/>
            <w:noWrap/>
            <w:vAlign w:val="center"/>
          </w:tcPr>
          <w:p w14:paraId="76959216" w14:textId="3DB100A2" w:rsidR="001B4358" w:rsidRPr="00824EA0" w:rsidRDefault="00D77C28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+ </w:t>
            </w:r>
            <w:r w:rsidR="00451CEF" w:rsidRPr="00451CE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343 000,00</w:t>
            </w:r>
          </w:p>
        </w:tc>
        <w:tc>
          <w:tcPr>
            <w:tcW w:w="1445" w:type="dxa"/>
            <w:vAlign w:val="center"/>
          </w:tcPr>
          <w:p w14:paraId="63125E23" w14:textId="78D2604A" w:rsidR="001B4358" w:rsidRPr="00A22C99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 w14:paraId="52B24034" w14:textId="39C4E806" w:rsidR="001B4358" w:rsidRPr="005D5992" w:rsidRDefault="00620700" w:rsidP="00F82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99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15CF1B5F" w14:textId="77777777" w:rsidR="001B4358" w:rsidRDefault="001B4358" w:rsidP="001B435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CD52AF9" w14:textId="41338D01" w:rsidR="004005CA" w:rsidRPr="00BF554C" w:rsidRDefault="004005CA" w:rsidP="004005CA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161AA7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 xml:space="preserve">.1 se mění druhá věta takto: </w:t>
      </w:r>
    </w:p>
    <w:p w14:paraId="68DE5883" w14:textId="77777777" w:rsidR="004005CA" w:rsidRDefault="004005CA" w:rsidP="004005CA">
      <w:pPr>
        <w:spacing w:after="240"/>
        <w:jc w:val="both"/>
        <w:rPr>
          <w:rFonts w:ascii="Arial" w:hAnsi="Arial" w:cs="Arial"/>
          <w:kern w:val="20"/>
          <w:sz w:val="22"/>
          <w:szCs w:val="22"/>
        </w:rPr>
      </w:pPr>
      <w:r w:rsidRPr="005C7FFE">
        <w:rPr>
          <w:rFonts w:ascii="Arial" w:hAnsi="Arial" w:cs="Arial"/>
          <w:kern w:val="20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5C7FFE">
        <w:rPr>
          <w:rFonts w:ascii="Arial" w:hAnsi="Arial" w:cs="Arial"/>
          <w:kern w:val="20"/>
          <w:sz w:val="22"/>
          <w:szCs w:val="22"/>
        </w:rPr>
        <w:t>xls</w:t>
      </w:r>
      <w:proofErr w:type="spellEnd"/>
      <w:r w:rsidRPr="005C7FFE">
        <w:rPr>
          <w:rFonts w:ascii="Arial" w:hAnsi="Arial" w:cs="Arial"/>
          <w:kern w:val="20"/>
          <w:sz w:val="22"/>
          <w:szCs w:val="22"/>
        </w:rPr>
        <w:t>(x) nebo jiném formátu kompatibilním s programem Microsoft Excel.</w:t>
      </w:r>
    </w:p>
    <w:p w14:paraId="34F6936D" w14:textId="5023F447" w:rsidR="004005CA" w:rsidRPr="00BF554C" w:rsidRDefault="004005CA" w:rsidP="004005CA">
      <w:pPr>
        <w:pStyle w:val="Level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161AA7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72827D68" w14:textId="394D4669" w:rsidR="004005CA" w:rsidRPr="00BF554C" w:rsidRDefault="004005CA" w:rsidP="004005CA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161AA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  <w:r w:rsidR="007C329F">
        <w:rPr>
          <w:rFonts w:ascii="Arial" w:hAnsi="Arial" w:cs="Arial"/>
          <w:szCs w:val="22"/>
        </w:rPr>
        <w:t>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0A84F319" w14:textId="77777777" w:rsidR="000F68F1" w:rsidRPr="00E132CD" w:rsidRDefault="000F68F1" w:rsidP="00325D83">
      <w:pPr>
        <w:pStyle w:val="Level3"/>
        <w:numPr>
          <w:ilvl w:val="2"/>
          <w:numId w:val="8"/>
        </w:numPr>
        <w:ind w:left="1134" w:hanging="850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t xml:space="preserve">Vypracování PSZ - 3x papírové zpracování (1x 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bjednatel, 1x obec, 1x obec s rozšířenou působností) a digitální vyhotovení určené Objednateli. Po zapracování případných změn vzniklých v průběhu zpracování návrhu nového uspořádání pozemků - 3x aktualizované papírové zpracování (1x 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bjednatel, 1x obec, 1x obec s rozšířenou působností)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>.</w:t>
      </w:r>
    </w:p>
    <w:p w14:paraId="296EC8EB" w14:textId="77777777" w:rsidR="000F68F1" w:rsidRPr="00E132CD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t>Výškopisné zaměření zájmového území - 1x papírové zpracování (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 xml:space="preserve">. </w:t>
      </w:r>
    </w:p>
    <w:p w14:paraId="1A1EBA1D" w14:textId="77777777" w:rsidR="000F68F1" w:rsidRPr="00E132CD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t>Potřebné podélné a příčné profily společných zařízení - 1x papírové zpracování (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>.</w:t>
      </w:r>
    </w:p>
    <w:p w14:paraId="27D69CBD" w14:textId="230AC399" w:rsidR="000F68F1" w:rsidRPr="00E132CD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t xml:space="preserve">Vypracování návrhu nového uspořádání pozemků k vystavení - </w:t>
      </w:r>
      <w:r>
        <w:rPr>
          <w:rFonts w:ascii="Arial" w:hAnsi="Arial" w:cs="Arial"/>
        </w:rPr>
        <w:t>2</w:t>
      </w:r>
      <w:r w:rsidRPr="00E132CD">
        <w:rPr>
          <w:rFonts w:ascii="Arial" w:hAnsi="Arial" w:cs="Arial"/>
        </w:rPr>
        <w:t xml:space="preserve">x papírové zpracování (1x 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bjednatel, 1x obec k vystavení)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>.</w:t>
      </w:r>
    </w:p>
    <w:p w14:paraId="6F47CCF5" w14:textId="77777777" w:rsidR="000F68F1" w:rsidRPr="00E132CD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lastRenderedPageBreak/>
        <w:t xml:space="preserve">Předložení aktuální dokumentace návrhu nového uspořádání pozemků - 2x papírové zpracování (1x 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>bjednatel (</w:t>
      </w:r>
      <w:proofErr w:type="spellStart"/>
      <w:r w:rsidRPr="00E132CD">
        <w:rPr>
          <w:rFonts w:ascii="Arial" w:hAnsi="Arial" w:cs="Arial"/>
        </w:rPr>
        <w:t>paré</w:t>
      </w:r>
      <w:proofErr w:type="spellEnd"/>
      <w:r w:rsidRPr="00E132CD">
        <w:rPr>
          <w:rFonts w:ascii="Arial" w:hAnsi="Arial" w:cs="Arial"/>
        </w:rPr>
        <w:t xml:space="preserve"> č. 1), 1x obec k uložení)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 xml:space="preserve"> + 3x přílohy k rozhodnutí o schválení návrhu (1x 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>bjednatel, 1x katastrální úřad, 1x účastník řízení).</w:t>
      </w:r>
    </w:p>
    <w:p w14:paraId="308ECC17" w14:textId="77777777" w:rsidR="000F68F1" w:rsidRPr="00E132CD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</w:rPr>
      </w:pPr>
      <w:r w:rsidRPr="00E132CD">
        <w:rPr>
          <w:rFonts w:ascii="Arial" w:hAnsi="Arial" w:cs="Arial"/>
        </w:rPr>
        <w:t>Zpracování mapového díla - 1x papírové zpracování (</w:t>
      </w:r>
      <w:r>
        <w:rPr>
          <w:rFonts w:ascii="Arial" w:hAnsi="Arial" w:cs="Arial"/>
        </w:rPr>
        <w:t>O</w:t>
      </w:r>
      <w:r w:rsidRPr="00E132CD">
        <w:rPr>
          <w:rFonts w:ascii="Arial" w:hAnsi="Arial" w:cs="Arial"/>
        </w:rPr>
        <w:t xml:space="preserve">bjednatel)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</w:rPr>
        <w:t xml:space="preserve">. </w:t>
      </w:r>
    </w:p>
    <w:p w14:paraId="71385636" w14:textId="01233D5E" w:rsidR="000F68F1" w:rsidRPr="00D52D41" w:rsidRDefault="000F68F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Calibri" w:hAnsi="Calibri" w:cs="Calibri"/>
          <w:szCs w:val="22"/>
        </w:rPr>
      </w:pPr>
      <w:r w:rsidRPr="00E132CD">
        <w:rPr>
          <w:rFonts w:ascii="Arial" w:hAnsi="Arial" w:cs="Arial"/>
        </w:rPr>
        <w:t>Vypracování písemných příloh k rozhodnutí o výměně nebo přechodu vlastnických práv, určení výše</w:t>
      </w:r>
      <w:r w:rsidRPr="00E132CD">
        <w:rPr>
          <w:rFonts w:ascii="Arial" w:hAnsi="Arial" w:cs="Arial"/>
          <w:szCs w:val="20"/>
        </w:rPr>
        <w:t xml:space="preserve"> úhrady a lhůty podle § 10 odst. 2 zákona a o zřízení nebo zrušení věcného břemene - 4x papírové zpracování (1x </w:t>
      </w:r>
      <w:r>
        <w:rPr>
          <w:rFonts w:ascii="Arial" w:hAnsi="Arial" w:cs="Arial"/>
          <w:szCs w:val="20"/>
        </w:rPr>
        <w:t>O</w:t>
      </w:r>
      <w:r w:rsidRPr="00E132CD">
        <w:rPr>
          <w:rFonts w:ascii="Arial" w:hAnsi="Arial" w:cs="Arial"/>
          <w:szCs w:val="20"/>
        </w:rPr>
        <w:t xml:space="preserve">bjednatel, 1x katastrální úřad, 1x k rozeslání účastníkům řízení, 1x obec k veřejnému nahlédnutí) a </w:t>
      </w:r>
      <w:r w:rsidRPr="00BF554C">
        <w:rPr>
          <w:rFonts w:ascii="Arial" w:hAnsi="Arial" w:cs="Arial"/>
        </w:rPr>
        <w:t>digitální vyhotovení určené Objednateli</w:t>
      </w:r>
      <w:r w:rsidRPr="00E132CD">
        <w:rPr>
          <w:rFonts w:ascii="Arial" w:hAnsi="Arial" w:cs="Arial"/>
          <w:szCs w:val="20"/>
        </w:rPr>
        <w:t>.</w:t>
      </w:r>
    </w:p>
    <w:p w14:paraId="3FF5E463" w14:textId="11B7A962" w:rsidR="00D52D41" w:rsidRPr="00DB56B0" w:rsidRDefault="00D52D41" w:rsidP="000F68F1">
      <w:pPr>
        <w:pStyle w:val="Level3"/>
        <w:numPr>
          <w:ilvl w:val="2"/>
          <w:numId w:val="8"/>
        </w:numPr>
        <w:ind w:left="1134" w:hanging="786"/>
        <w:jc w:val="both"/>
        <w:rPr>
          <w:rFonts w:ascii="Arial" w:hAnsi="Arial" w:cs="Arial"/>
          <w:szCs w:val="22"/>
        </w:rPr>
      </w:pPr>
      <w:r w:rsidRPr="00DB56B0">
        <w:rPr>
          <w:rFonts w:ascii="Arial" w:hAnsi="Arial" w:cs="Arial"/>
          <w:szCs w:val="22"/>
        </w:rPr>
        <w:t xml:space="preserve">Vypracování stejnopisu dokumentace o vytyčení hranic pozemků - 1x papírové zpracování (1x objednatel) a </w:t>
      </w:r>
      <w:r w:rsidR="00DB56B0" w:rsidRPr="00DB56B0">
        <w:rPr>
          <w:rFonts w:ascii="Arial" w:hAnsi="Arial" w:cs="Arial"/>
          <w:szCs w:val="22"/>
        </w:rPr>
        <w:t xml:space="preserve">digitální vyhotovení určené </w:t>
      </w:r>
      <w:r w:rsidR="00DB56B0">
        <w:rPr>
          <w:rFonts w:ascii="Arial" w:hAnsi="Arial" w:cs="Arial"/>
          <w:szCs w:val="22"/>
        </w:rPr>
        <w:t>O</w:t>
      </w:r>
      <w:r w:rsidR="00DB56B0" w:rsidRPr="00DB56B0">
        <w:rPr>
          <w:rFonts w:ascii="Arial" w:hAnsi="Arial" w:cs="Arial"/>
          <w:szCs w:val="22"/>
        </w:rPr>
        <w:t xml:space="preserve">bjednateli </w:t>
      </w:r>
      <w:r w:rsidRPr="00DB56B0">
        <w:rPr>
          <w:rFonts w:ascii="Arial" w:hAnsi="Arial" w:cs="Arial"/>
          <w:szCs w:val="22"/>
        </w:rPr>
        <w:t>podle § 90 katastrální vyhlášky.</w:t>
      </w:r>
    </w:p>
    <w:p w14:paraId="5FA96165" w14:textId="4B57C078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458CBFFD" w14:textId="302A5312" w:rsidR="00964C96" w:rsidRPr="00964C96" w:rsidRDefault="00AF455B" w:rsidP="00964C96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4C96">
        <w:rPr>
          <w:rFonts w:ascii="Arial" w:hAnsi="Arial" w:cs="Arial"/>
          <w:sz w:val="22"/>
          <w:szCs w:val="22"/>
        </w:rPr>
        <w:t xml:space="preserve">Ostatní ustanovení smlouvy </w:t>
      </w:r>
      <w:r w:rsidR="00964C96" w:rsidRPr="00964C96">
        <w:rPr>
          <w:rFonts w:ascii="Arial" w:hAnsi="Arial" w:cs="Arial"/>
          <w:sz w:val="22"/>
          <w:szCs w:val="22"/>
        </w:rPr>
        <w:t>ve znění dodatk</w:t>
      </w:r>
      <w:r w:rsidR="00964C96">
        <w:rPr>
          <w:rFonts w:ascii="Arial" w:hAnsi="Arial" w:cs="Arial"/>
          <w:sz w:val="22"/>
          <w:szCs w:val="22"/>
        </w:rPr>
        <w:t>ů</w:t>
      </w:r>
      <w:r w:rsidR="00964C96" w:rsidRPr="00964C96">
        <w:rPr>
          <w:rFonts w:ascii="Arial" w:hAnsi="Arial" w:cs="Arial"/>
          <w:sz w:val="22"/>
          <w:szCs w:val="22"/>
        </w:rPr>
        <w:t xml:space="preserve"> č. 1</w:t>
      </w:r>
      <w:r w:rsidR="00964C96">
        <w:rPr>
          <w:rFonts w:ascii="Arial" w:hAnsi="Arial" w:cs="Arial"/>
          <w:sz w:val="22"/>
          <w:szCs w:val="22"/>
        </w:rPr>
        <w:t xml:space="preserve"> - </w:t>
      </w:r>
      <w:r w:rsidR="00DD26B7">
        <w:rPr>
          <w:rFonts w:ascii="Arial" w:hAnsi="Arial" w:cs="Arial"/>
          <w:sz w:val="22"/>
          <w:szCs w:val="22"/>
        </w:rPr>
        <w:t>3</w:t>
      </w:r>
      <w:r w:rsidR="00964C96">
        <w:rPr>
          <w:rFonts w:ascii="Arial" w:hAnsi="Arial" w:cs="Arial"/>
          <w:sz w:val="22"/>
          <w:szCs w:val="22"/>
        </w:rPr>
        <w:t xml:space="preserve"> </w:t>
      </w:r>
      <w:r w:rsidR="00964C96" w:rsidRPr="00964C96">
        <w:rPr>
          <w:rFonts w:ascii="Arial" w:hAnsi="Arial" w:cs="Arial"/>
          <w:sz w:val="22"/>
          <w:szCs w:val="22"/>
        </w:rPr>
        <w:t>zůstávají v 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C4108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4E40B8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62FF32F" w14:textId="77777777" w:rsidR="000F765C" w:rsidRPr="00426B5B" w:rsidRDefault="000F765C" w:rsidP="000F765C">
      <w:pPr>
        <w:spacing w:before="120" w:after="120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7890FCC8" w14:textId="7727A158" w:rsidR="000F765C" w:rsidRDefault="000F765C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426B5B">
        <w:rPr>
          <w:rFonts w:ascii="Arial" w:hAnsi="Arial" w:cs="Arial"/>
          <w:sz w:val="22"/>
          <w:szCs w:val="22"/>
        </w:rPr>
        <w:t>Příloha</w:t>
      </w:r>
      <w:r w:rsidRPr="00426B5B">
        <w:rPr>
          <w:rFonts w:ascii="Arial" w:hAnsi="Arial" w:cs="Arial"/>
          <w:bCs/>
          <w:sz w:val="22"/>
          <w:szCs w:val="22"/>
        </w:rPr>
        <w:t xml:space="preserve"> č. 1 –</w:t>
      </w:r>
      <w:r>
        <w:rPr>
          <w:rFonts w:ascii="Arial" w:hAnsi="Arial" w:cs="Arial"/>
          <w:bCs/>
          <w:sz w:val="22"/>
          <w:szCs w:val="22"/>
        </w:rPr>
        <w:t xml:space="preserve"> Aktualizované</w:t>
      </w:r>
      <w:r w:rsidRPr="00426B5B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Pr="00426B5B">
        <w:rPr>
          <w:rFonts w:ascii="Arial" w:hAnsi="Arial" w:cs="Arial"/>
          <w:sz w:val="22"/>
          <w:szCs w:val="22"/>
        </w:rPr>
        <w:t>– Položkový výkaz činností</w:t>
      </w:r>
    </w:p>
    <w:p w14:paraId="4665A7B4" w14:textId="44DF6C3F" w:rsidR="00503503" w:rsidRDefault="00503503" w:rsidP="000F765C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997C8AD" w14:textId="6E9F17A1" w:rsidR="004560E7" w:rsidRPr="00E12E69" w:rsidRDefault="004560E7" w:rsidP="004560E7">
      <w:pPr>
        <w:tabs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E12E69">
        <w:rPr>
          <w:rFonts w:ascii="Arial" w:hAnsi="Arial" w:cs="Arial"/>
          <w:sz w:val="22"/>
          <w:szCs w:val="22"/>
        </w:rPr>
        <w:t xml:space="preserve">V Plzni dne </w:t>
      </w:r>
      <w:r w:rsidR="007E3A76">
        <w:rPr>
          <w:rFonts w:ascii="Arial" w:hAnsi="Arial" w:cs="Arial"/>
          <w:i/>
          <w:iCs/>
          <w:sz w:val="20"/>
          <w:szCs w:val="20"/>
        </w:rPr>
        <w:t>19. 02. 2024</w:t>
      </w:r>
      <w:r w:rsidRPr="00E12E69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E40B8">
        <w:rPr>
          <w:rFonts w:ascii="Arial" w:hAnsi="Arial" w:cs="Arial"/>
          <w:sz w:val="22"/>
          <w:szCs w:val="22"/>
        </w:rPr>
        <w:t xml:space="preserve">   </w:t>
      </w:r>
      <w:r w:rsidR="007E3A76">
        <w:rPr>
          <w:rFonts w:ascii="Arial" w:hAnsi="Arial" w:cs="Arial"/>
          <w:sz w:val="22"/>
          <w:szCs w:val="22"/>
        </w:rPr>
        <w:t xml:space="preserve">             </w:t>
      </w:r>
      <w:r w:rsidRPr="00E12E69">
        <w:rPr>
          <w:rFonts w:ascii="Arial" w:hAnsi="Arial" w:cs="Arial"/>
          <w:sz w:val="22"/>
          <w:szCs w:val="22"/>
        </w:rPr>
        <w:t xml:space="preserve">V Plzni dne </w:t>
      </w:r>
      <w:r w:rsidR="00920576">
        <w:rPr>
          <w:rFonts w:ascii="Arial" w:hAnsi="Arial" w:cs="Arial"/>
          <w:sz w:val="22"/>
          <w:szCs w:val="22"/>
        </w:rPr>
        <w:t>19. 02. 2024</w:t>
      </w:r>
    </w:p>
    <w:p w14:paraId="5EFA60C0" w14:textId="77777777" w:rsidR="004560E7" w:rsidRPr="00E12E69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5E7FAA" w14:textId="7EB2A420" w:rsidR="004560E7" w:rsidRPr="00E12E69" w:rsidRDefault="004560E7" w:rsidP="004560E7">
      <w:pPr>
        <w:tabs>
          <w:tab w:val="decimal" w:pos="-326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12E69">
        <w:rPr>
          <w:rFonts w:ascii="Arial" w:hAnsi="Arial" w:cs="Arial"/>
          <w:b/>
          <w:sz w:val="22"/>
          <w:szCs w:val="22"/>
        </w:rPr>
        <w:t>Za objednatele:</w:t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 w:rsidRPr="00E12E6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Pr="00E12E69">
        <w:rPr>
          <w:rFonts w:ascii="Arial" w:hAnsi="Arial" w:cs="Arial"/>
          <w:b/>
          <w:sz w:val="22"/>
          <w:szCs w:val="22"/>
        </w:rPr>
        <w:t>Za zhotovitele:</w:t>
      </w:r>
    </w:p>
    <w:p w14:paraId="32547566" w14:textId="77777777" w:rsidR="004560E7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7501C0" w14:textId="5159ADB0" w:rsidR="004560E7" w:rsidRPr="00DE1A5F" w:rsidRDefault="00DE1A5F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E1A5F">
        <w:rPr>
          <w:rFonts w:ascii="Arial" w:hAnsi="Arial" w:cs="Arial"/>
          <w:i/>
          <w:iCs/>
          <w:sz w:val="20"/>
          <w:szCs w:val="20"/>
        </w:rPr>
        <w:t xml:space="preserve">elektronicky podepsáno </w:t>
      </w:r>
    </w:p>
    <w:p w14:paraId="11EC3AEC" w14:textId="77777777" w:rsidR="004560E7" w:rsidRPr="00790E85" w:rsidRDefault="004560E7" w:rsidP="004560E7">
      <w:pPr>
        <w:tabs>
          <w:tab w:val="decimal" w:pos="5040"/>
          <w:tab w:val="decimal" w:pos="64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9D278F" w14:textId="77777777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E85">
        <w:rPr>
          <w:rFonts w:ascii="Arial" w:hAnsi="Arial" w:cs="Arial"/>
          <w:sz w:val="22"/>
          <w:szCs w:val="22"/>
        </w:rPr>
        <w:tab/>
      </w:r>
      <w:bookmarkStart w:id="3" w:name="_Hlk40942839"/>
      <w:r w:rsidRPr="00790E85">
        <w:rPr>
          <w:rFonts w:ascii="Arial" w:hAnsi="Arial" w:cs="Arial"/>
          <w:sz w:val="22"/>
          <w:szCs w:val="22"/>
        </w:rPr>
        <w:t>……………………………………….</w:t>
      </w:r>
      <w:bookmarkEnd w:id="3"/>
      <w:r w:rsidRPr="00790E85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5E0358C9" w14:textId="709F57A1" w:rsidR="004560E7" w:rsidRPr="00790E85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0E85">
        <w:rPr>
          <w:rFonts w:ascii="Arial" w:hAnsi="Arial" w:cs="Arial"/>
          <w:b/>
          <w:bCs/>
          <w:sz w:val="22"/>
          <w:szCs w:val="22"/>
        </w:rPr>
        <w:tab/>
        <w:t xml:space="preserve">Ing. </w:t>
      </w:r>
      <w:r w:rsidR="009E25C4">
        <w:rPr>
          <w:rFonts w:ascii="Arial" w:hAnsi="Arial" w:cs="Arial"/>
          <w:b/>
          <w:bCs/>
          <w:sz w:val="22"/>
          <w:szCs w:val="22"/>
        </w:rPr>
        <w:t>Jiří Papež</w:t>
      </w:r>
      <w:r w:rsidRPr="00790E85">
        <w:rPr>
          <w:rFonts w:ascii="Arial" w:hAnsi="Arial" w:cs="Arial"/>
          <w:b/>
          <w:bCs/>
          <w:sz w:val="22"/>
          <w:szCs w:val="22"/>
        </w:rPr>
        <w:tab/>
      </w:r>
      <w:r w:rsidR="004E40B8">
        <w:rPr>
          <w:rFonts w:ascii="Arial-BoldMT" w:hAnsi="Arial-BoldMT" w:cs="Arial-BoldMT"/>
          <w:b/>
          <w:bCs/>
          <w:sz w:val="22"/>
          <w:szCs w:val="22"/>
        </w:rPr>
        <w:t>Ing. Zdeněk Hrubý</w:t>
      </w:r>
    </w:p>
    <w:p w14:paraId="41720DEE" w14:textId="11968CF7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25C4">
        <w:rPr>
          <w:rFonts w:ascii="Arial" w:hAnsi="Arial" w:cs="Arial"/>
          <w:sz w:val="22"/>
          <w:szCs w:val="22"/>
        </w:rPr>
        <w:t>ředitel KPÚ pro Plzeňský kraj</w:t>
      </w:r>
      <w:r w:rsidRPr="00790E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14:paraId="4F8D476A" w14:textId="0E04746D" w:rsidR="004560E7" w:rsidRDefault="004560E7" w:rsidP="004560E7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Státní pozemkový úřad </w:t>
      </w:r>
      <w:r>
        <w:rPr>
          <w:rFonts w:ascii="Arial" w:hAnsi="Arial" w:cs="Arial"/>
          <w:sz w:val="22"/>
          <w:szCs w:val="22"/>
        </w:rPr>
        <w:tab/>
      </w:r>
      <w:r w:rsidR="004E40B8">
        <w:rPr>
          <w:rFonts w:ascii="ArialMT" w:hAnsi="ArialMT" w:cs="ArialMT"/>
          <w:sz w:val="22"/>
          <w:szCs w:val="22"/>
        </w:rPr>
        <w:t>GEO Hrubý spol. s r.o.</w:t>
      </w:r>
    </w:p>
    <w:p w14:paraId="17BA489D" w14:textId="77777777" w:rsidR="008519B9" w:rsidRDefault="008519B9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95337A" w14:textId="77777777" w:rsidR="008519B9" w:rsidRDefault="008519B9" w:rsidP="00B65FE8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0524F0" w14:textId="1B17EA56" w:rsidR="000F765C" w:rsidRPr="00161AA7" w:rsidRDefault="00446480" w:rsidP="00446480">
      <w:pPr>
        <w:tabs>
          <w:tab w:val="center" w:pos="1843"/>
          <w:tab w:val="center" w:pos="7371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4711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0FD4">
        <w:rPr>
          <w:rFonts w:ascii="Arial" w:hAnsi="Arial" w:cs="Arial"/>
          <w:sz w:val="18"/>
          <w:szCs w:val="18"/>
        </w:rPr>
        <w:t>xxxxx</w:t>
      </w:r>
      <w:proofErr w:type="spellEnd"/>
    </w:p>
    <w:sectPr w:rsidR="000F765C" w:rsidRPr="00161AA7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B280" w14:textId="77777777" w:rsidR="00760732" w:rsidRDefault="00760732" w:rsidP="002472CD">
      <w:r>
        <w:separator/>
      </w:r>
    </w:p>
  </w:endnote>
  <w:endnote w:type="continuationSeparator" w:id="0">
    <w:p w14:paraId="30F07CF2" w14:textId="77777777" w:rsidR="00760732" w:rsidRDefault="00760732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EF55" w14:textId="77777777" w:rsidR="00760732" w:rsidRDefault="00760732" w:rsidP="002472CD">
      <w:r>
        <w:separator/>
      </w:r>
    </w:p>
  </w:footnote>
  <w:footnote w:type="continuationSeparator" w:id="0">
    <w:p w14:paraId="00C64408" w14:textId="77777777" w:rsidR="00760732" w:rsidRDefault="00760732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AD32D36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E54B9C"/>
    <w:multiLevelType w:val="hybridMultilevel"/>
    <w:tmpl w:val="DF0EAB0C"/>
    <w:lvl w:ilvl="0" w:tplc="279A9CFC">
      <w:start w:val="10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746788"/>
    <w:multiLevelType w:val="multilevel"/>
    <w:tmpl w:val="D9FC524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7E2CD4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2234965">
    <w:abstractNumId w:val="0"/>
  </w:num>
  <w:num w:numId="2" w16cid:durableId="436408010">
    <w:abstractNumId w:val="3"/>
  </w:num>
  <w:num w:numId="3" w16cid:durableId="371152308">
    <w:abstractNumId w:val="2"/>
  </w:num>
  <w:num w:numId="4" w16cid:durableId="846867052">
    <w:abstractNumId w:val="1"/>
  </w:num>
  <w:num w:numId="5" w16cid:durableId="1345982336">
    <w:abstractNumId w:val="6"/>
  </w:num>
  <w:num w:numId="6" w16cid:durableId="1343120513">
    <w:abstractNumId w:val="7"/>
  </w:num>
  <w:num w:numId="7" w16cid:durableId="2112387452">
    <w:abstractNumId w:val="4"/>
  </w:num>
  <w:num w:numId="8" w16cid:durableId="15832950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23BD"/>
    <w:rsid w:val="00003DF2"/>
    <w:rsid w:val="00005F3C"/>
    <w:rsid w:val="00006C3A"/>
    <w:rsid w:val="00011A9F"/>
    <w:rsid w:val="00013B37"/>
    <w:rsid w:val="00017EC6"/>
    <w:rsid w:val="00023458"/>
    <w:rsid w:val="0002433A"/>
    <w:rsid w:val="00024537"/>
    <w:rsid w:val="00037C79"/>
    <w:rsid w:val="000421CC"/>
    <w:rsid w:val="000421D3"/>
    <w:rsid w:val="00043F1A"/>
    <w:rsid w:val="00044C2D"/>
    <w:rsid w:val="00045AAB"/>
    <w:rsid w:val="00047471"/>
    <w:rsid w:val="00047673"/>
    <w:rsid w:val="00054504"/>
    <w:rsid w:val="00057681"/>
    <w:rsid w:val="0006151A"/>
    <w:rsid w:val="00067EBA"/>
    <w:rsid w:val="0007335B"/>
    <w:rsid w:val="00076247"/>
    <w:rsid w:val="000813F3"/>
    <w:rsid w:val="00083D89"/>
    <w:rsid w:val="00085E45"/>
    <w:rsid w:val="0009787C"/>
    <w:rsid w:val="000A0809"/>
    <w:rsid w:val="000A26C4"/>
    <w:rsid w:val="000A3CE6"/>
    <w:rsid w:val="000B3E5F"/>
    <w:rsid w:val="000D0550"/>
    <w:rsid w:val="000D2EB4"/>
    <w:rsid w:val="000D2EC0"/>
    <w:rsid w:val="000D39AF"/>
    <w:rsid w:val="000D3AF2"/>
    <w:rsid w:val="000D56B8"/>
    <w:rsid w:val="000D6BEA"/>
    <w:rsid w:val="000E13FE"/>
    <w:rsid w:val="000E1C48"/>
    <w:rsid w:val="000F1305"/>
    <w:rsid w:val="000F2FD7"/>
    <w:rsid w:val="000F4CA6"/>
    <w:rsid w:val="000F5DB4"/>
    <w:rsid w:val="000F68F1"/>
    <w:rsid w:val="000F765C"/>
    <w:rsid w:val="00102511"/>
    <w:rsid w:val="001075CE"/>
    <w:rsid w:val="001115F0"/>
    <w:rsid w:val="00114040"/>
    <w:rsid w:val="00123268"/>
    <w:rsid w:val="001239FB"/>
    <w:rsid w:val="00123F51"/>
    <w:rsid w:val="001256B6"/>
    <w:rsid w:val="00134398"/>
    <w:rsid w:val="00136EE8"/>
    <w:rsid w:val="00142227"/>
    <w:rsid w:val="001522A6"/>
    <w:rsid w:val="0015575D"/>
    <w:rsid w:val="00156D79"/>
    <w:rsid w:val="00161AA7"/>
    <w:rsid w:val="00165027"/>
    <w:rsid w:val="001679AD"/>
    <w:rsid w:val="001679E6"/>
    <w:rsid w:val="00170B3D"/>
    <w:rsid w:val="00173D44"/>
    <w:rsid w:val="001746F1"/>
    <w:rsid w:val="00175461"/>
    <w:rsid w:val="001819E8"/>
    <w:rsid w:val="00181AD9"/>
    <w:rsid w:val="00183EB7"/>
    <w:rsid w:val="00185ADC"/>
    <w:rsid w:val="00185BF7"/>
    <w:rsid w:val="00191E97"/>
    <w:rsid w:val="0019328A"/>
    <w:rsid w:val="0019672D"/>
    <w:rsid w:val="00197498"/>
    <w:rsid w:val="001B1BD9"/>
    <w:rsid w:val="001B1D96"/>
    <w:rsid w:val="001B4358"/>
    <w:rsid w:val="001B4D98"/>
    <w:rsid w:val="001C317D"/>
    <w:rsid w:val="001C3319"/>
    <w:rsid w:val="001C36FC"/>
    <w:rsid w:val="001C6B4A"/>
    <w:rsid w:val="001C7557"/>
    <w:rsid w:val="001C76F3"/>
    <w:rsid w:val="001D00D2"/>
    <w:rsid w:val="001D1E92"/>
    <w:rsid w:val="001D3FCB"/>
    <w:rsid w:val="001D5C0C"/>
    <w:rsid w:val="001E5D16"/>
    <w:rsid w:val="001E6EDC"/>
    <w:rsid w:val="001E7C30"/>
    <w:rsid w:val="001F0FF6"/>
    <w:rsid w:val="001F25E8"/>
    <w:rsid w:val="001F3680"/>
    <w:rsid w:val="001F484A"/>
    <w:rsid w:val="001F6D92"/>
    <w:rsid w:val="001F799A"/>
    <w:rsid w:val="00202250"/>
    <w:rsid w:val="002048A6"/>
    <w:rsid w:val="002124BB"/>
    <w:rsid w:val="002124C1"/>
    <w:rsid w:val="00220893"/>
    <w:rsid w:val="00220AA2"/>
    <w:rsid w:val="00220E98"/>
    <w:rsid w:val="00221E2E"/>
    <w:rsid w:val="00222B72"/>
    <w:rsid w:val="002249D4"/>
    <w:rsid w:val="00225EAC"/>
    <w:rsid w:val="00226071"/>
    <w:rsid w:val="002301CA"/>
    <w:rsid w:val="00237F52"/>
    <w:rsid w:val="002437D3"/>
    <w:rsid w:val="00244219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44CC"/>
    <w:rsid w:val="00286233"/>
    <w:rsid w:val="0028693D"/>
    <w:rsid w:val="00290D18"/>
    <w:rsid w:val="002921C5"/>
    <w:rsid w:val="00295729"/>
    <w:rsid w:val="002A00B6"/>
    <w:rsid w:val="002A3885"/>
    <w:rsid w:val="002A3AFD"/>
    <w:rsid w:val="002A475E"/>
    <w:rsid w:val="002A55A3"/>
    <w:rsid w:val="002A644B"/>
    <w:rsid w:val="002B083C"/>
    <w:rsid w:val="002B1799"/>
    <w:rsid w:val="002B20B5"/>
    <w:rsid w:val="002C0C5C"/>
    <w:rsid w:val="002C3EE0"/>
    <w:rsid w:val="002C4575"/>
    <w:rsid w:val="002C6F04"/>
    <w:rsid w:val="002D0FC9"/>
    <w:rsid w:val="002D5476"/>
    <w:rsid w:val="002D679F"/>
    <w:rsid w:val="002D6F22"/>
    <w:rsid w:val="002D7FA1"/>
    <w:rsid w:val="002E1742"/>
    <w:rsid w:val="002E19A5"/>
    <w:rsid w:val="002E2818"/>
    <w:rsid w:val="002F30CA"/>
    <w:rsid w:val="003017FC"/>
    <w:rsid w:val="00314028"/>
    <w:rsid w:val="003144FB"/>
    <w:rsid w:val="00315580"/>
    <w:rsid w:val="00317C8C"/>
    <w:rsid w:val="00321D21"/>
    <w:rsid w:val="003254AB"/>
    <w:rsid w:val="0032560E"/>
    <w:rsid w:val="00325D83"/>
    <w:rsid w:val="00337112"/>
    <w:rsid w:val="0033722E"/>
    <w:rsid w:val="00341986"/>
    <w:rsid w:val="00347F61"/>
    <w:rsid w:val="00352886"/>
    <w:rsid w:val="003529D0"/>
    <w:rsid w:val="00352AE9"/>
    <w:rsid w:val="003540AA"/>
    <w:rsid w:val="00354118"/>
    <w:rsid w:val="00355708"/>
    <w:rsid w:val="00355B29"/>
    <w:rsid w:val="0036248B"/>
    <w:rsid w:val="0036321A"/>
    <w:rsid w:val="0036681D"/>
    <w:rsid w:val="003758A2"/>
    <w:rsid w:val="00376F47"/>
    <w:rsid w:val="003818AB"/>
    <w:rsid w:val="003830FC"/>
    <w:rsid w:val="003839CD"/>
    <w:rsid w:val="00384FE9"/>
    <w:rsid w:val="00387344"/>
    <w:rsid w:val="00390744"/>
    <w:rsid w:val="00390BCB"/>
    <w:rsid w:val="003917BB"/>
    <w:rsid w:val="00392848"/>
    <w:rsid w:val="00395097"/>
    <w:rsid w:val="003963F7"/>
    <w:rsid w:val="00396EB8"/>
    <w:rsid w:val="003976B4"/>
    <w:rsid w:val="003A5C23"/>
    <w:rsid w:val="003A6865"/>
    <w:rsid w:val="003A7CE9"/>
    <w:rsid w:val="003B527B"/>
    <w:rsid w:val="003C1221"/>
    <w:rsid w:val="003C24E8"/>
    <w:rsid w:val="003C40DA"/>
    <w:rsid w:val="003D022A"/>
    <w:rsid w:val="003D2366"/>
    <w:rsid w:val="003D2842"/>
    <w:rsid w:val="003D30C0"/>
    <w:rsid w:val="003D433C"/>
    <w:rsid w:val="003D7327"/>
    <w:rsid w:val="003E388B"/>
    <w:rsid w:val="003F0E27"/>
    <w:rsid w:val="003F2E6A"/>
    <w:rsid w:val="003F52C1"/>
    <w:rsid w:val="003F5A9A"/>
    <w:rsid w:val="003F5CE3"/>
    <w:rsid w:val="004005CA"/>
    <w:rsid w:val="00400ECC"/>
    <w:rsid w:val="0040336A"/>
    <w:rsid w:val="00412090"/>
    <w:rsid w:val="004129FD"/>
    <w:rsid w:val="0041433C"/>
    <w:rsid w:val="00415207"/>
    <w:rsid w:val="0041587E"/>
    <w:rsid w:val="0041771A"/>
    <w:rsid w:val="00417D70"/>
    <w:rsid w:val="00417E6D"/>
    <w:rsid w:val="00424736"/>
    <w:rsid w:val="00426B5B"/>
    <w:rsid w:val="00430D95"/>
    <w:rsid w:val="00431282"/>
    <w:rsid w:val="0043206D"/>
    <w:rsid w:val="00445C4E"/>
    <w:rsid w:val="00446480"/>
    <w:rsid w:val="00451CEF"/>
    <w:rsid w:val="004531DE"/>
    <w:rsid w:val="00454FF6"/>
    <w:rsid w:val="004560E7"/>
    <w:rsid w:val="0045626F"/>
    <w:rsid w:val="0046268A"/>
    <w:rsid w:val="0046349A"/>
    <w:rsid w:val="0046420E"/>
    <w:rsid w:val="00464FC7"/>
    <w:rsid w:val="00465631"/>
    <w:rsid w:val="00467F15"/>
    <w:rsid w:val="00471123"/>
    <w:rsid w:val="0047119F"/>
    <w:rsid w:val="0047147E"/>
    <w:rsid w:val="00472786"/>
    <w:rsid w:val="00473E68"/>
    <w:rsid w:val="0047514D"/>
    <w:rsid w:val="00480000"/>
    <w:rsid w:val="00484F2B"/>
    <w:rsid w:val="00492917"/>
    <w:rsid w:val="004A227A"/>
    <w:rsid w:val="004A5338"/>
    <w:rsid w:val="004A6946"/>
    <w:rsid w:val="004A6BC6"/>
    <w:rsid w:val="004A7077"/>
    <w:rsid w:val="004B22BC"/>
    <w:rsid w:val="004B409A"/>
    <w:rsid w:val="004B44E6"/>
    <w:rsid w:val="004B7D86"/>
    <w:rsid w:val="004C6520"/>
    <w:rsid w:val="004D324B"/>
    <w:rsid w:val="004D3ED7"/>
    <w:rsid w:val="004E40B8"/>
    <w:rsid w:val="004E71CB"/>
    <w:rsid w:val="004E7919"/>
    <w:rsid w:val="004F287C"/>
    <w:rsid w:val="004F5561"/>
    <w:rsid w:val="004F7F07"/>
    <w:rsid w:val="005020BC"/>
    <w:rsid w:val="00502324"/>
    <w:rsid w:val="00503503"/>
    <w:rsid w:val="00505749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2D94"/>
    <w:rsid w:val="00534ACA"/>
    <w:rsid w:val="00544141"/>
    <w:rsid w:val="00551137"/>
    <w:rsid w:val="005520E1"/>
    <w:rsid w:val="0055267E"/>
    <w:rsid w:val="00557477"/>
    <w:rsid w:val="0056032C"/>
    <w:rsid w:val="00562E07"/>
    <w:rsid w:val="0056328D"/>
    <w:rsid w:val="00563D18"/>
    <w:rsid w:val="00563D65"/>
    <w:rsid w:val="005669B0"/>
    <w:rsid w:val="00567110"/>
    <w:rsid w:val="005724AF"/>
    <w:rsid w:val="005725DF"/>
    <w:rsid w:val="00573DA8"/>
    <w:rsid w:val="005755CF"/>
    <w:rsid w:val="0057751F"/>
    <w:rsid w:val="0058045D"/>
    <w:rsid w:val="00580A30"/>
    <w:rsid w:val="00581D49"/>
    <w:rsid w:val="00584E13"/>
    <w:rsid w:val="00585987"/>
    <w:rsid w:val="0058763B"/>
    <w:rsid w:val="0058783B"/>
    <w:rsid w:val="00590247"/>
    <w:rsid w:val="00595829"/>
    <w:rsid w:val="00595C46"/>
    <w:rsid w:val="0059710D"/>
    <w:rsid w:val="005972C3"/>
    <w:rsid w:val="005A11BE"/>
    <w:rsid w:val="005A1513"/>
    <w:rsid w:val="005A2282"/>
    <w:rsid w:val="005B5D18"/>
    <w:rsid w:val="005B682C"/>
    <w:rsid w:val="005C028B"/>
    <w:rsid w:val="005C38E3"/>
    <w:rsid w:val="005D1305"/>
    <w:rsid w:val="005D5992"/>
    <w:rsid w:val="005E047B"/>
    <w:rsid w:val="005E0D1E"/>
    <w:rsid w:val="005E0DC1"/>
    <w:rsid w:val="005E100E"/>
    <w:rsid w:val="005E313A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01B7"/>
    <w:rsid w:val="00612086"/>
    <w:rsid w:val="0061301E"/>
    <w:rsid w:val="0061494A"/>
    <w:rsid w:val="00615121"/>
    <w:rsid w:val="00616114"/>
    <w:rsid w:val="00620700"/>
    <w:rsid w:val="006250AC"/>
    <w:rsid w:val="006252B4"/>
    <w:rsid w:val="00625592"/>
    <w:rsid w:val="00626AE8"/>
    <w:rsid w:val="00637921"/>
    <w:rsid w:val="006444D2"/>
    <w:rsid w:val="006449AC"/>
    <w:rsid w:val="00651415"/>
    <w:rsid w:val="00651E56"/>
    <w:rsid w:val="00652ADA"/>
    <w:rsid w:val="00661A34"/>
    <w:rsid w:val="00665D2F"/>
    <w:rsid w:val="00670353"/>
    <w:rsid w:val="006708D3"/>
    <w:rsid w:val="00671505"/>
    <w:rsid w:val="00671F3C"/>
    <w:rsid w:val="00680E2D"/>
    <w:rsid w:val="00681503"/>
    <w:rsid w:val="00682030"/>
    <w:rsid w:val="00684AE3"/>
    <w:rsid w:val="006874C5"/>
    <w:rsid w:val="006918A1"/>
    <w:rsid w:val="00694C1C"/>
    <w:rsid w:val="006A60A4"/>
    <w:rsid w:val="006B3FEA"/>
    <w:rsid w:val="006C16FE"/>
    <w:rsid w:val="006C5315"/>
    <w:rsid w:val="006D0EAC"/>
    <w:rsid w:val="006D1DF3"/>
    <w:rsid w:val="006D24C5"/>
    <w:rsid w:val="006D5C87"/>
    <w:rsid w:val="006E628B"/>
    <w:rsid w:val="006E7BC8"/>
    <w:rsid w:val="006F079A"/>
    <w:rsid w:val="006F2438"/>
    <w:rsid w:val="006F2CDC"/>
    <w:rsid w:val="006F4BF0"/>
    <w:rsid w:val="007023BA"/>
    <w:rsid w:val="00703798"/>
    <w:rsid w:val="0070428E"/>
    <w:rsid w:val="00704B1A"/>
    <w:rsid w:val="00704BC5"/>
    <w:rsid w:val="00712AAF"/>
    <w:rsid w:val="007132A5"/>
    <w:rsid w:val="00715892"/>
    <w:rsid w:val="007210F9"/>
    <w:rsid w:val="00724239"/>
    <w:rsid w:val="00726857"/>
    <w:rsid w:val="007335F4"/>
    <w:rsid w:val="0073442B"/>
    <w:rsid w:val="00740D88"/>
    <w:rsid w:val="00744E3C"/>
    <w:rsid w:val="00745E38"/>
    <w:rsid w:val="00746E25"/>
    <w:rsid w:val="00753DB0"/>
    <w:rsid w:val="00756E5D"/>
    <w:rsid w:val="00756FC9"/>
    <w:rsid w:val="00760732"/>
    <w:rsid w:val="00765D28"/>
    <w:rsid w:val="00775428"/>
    <w:rsid w:val="0078430B"/>
    <w:rsid w:val="00784D60"/>
    <w:rsid w:val="00785D24"/>
    <w:rsid w:val="00790194"/>
    <w:rsid w:val="007913F0"/>
    <w:rsid w:val="007927E8"/>
    <w:rsid w:val="0079495E"/>
    <w:rsid w:val="007969C6"/>
    <w:rsid w:val="007A0EFA"/>
    <w:rsid w:val="007A512F"/>
    <w:rsid w:val="007A6512"/>
    <w:rsid w:val="007B577C"/>
    <w:rsid w:val="007B60CD"/>
    <w:rsid w:val="007B6AC2"/>
    <w:rsid w:val="007B6DFC"/>
    <w:rsid w:val="007C234F"/>
    <w:rsid w:val="007C329F"/>
    <w:rsid w:val="007C6E78"/>
    <w:rsid w:val="007C7F69"/>
    <w:rsid w:val="007D0ECE"/>
    <w:rsid w:val="007D590A"/>
    <w:rsid w:val="007D6C7A"/>
    <w:rsid w:val="007D7A7A"/>
    <w:rsid w:val="007E0E57"/>
    <w:rsid w:val="007E252A"/>
    <w:rsid w:val="007E3A76"/>
    <w:rsid w:val="007E6BF4"/>
    <w:rsid w:val="007E6CAE"/>
    <w:rsid w:val="007E74BA"/>
    <w:rsid w:val="007F2DC8"/>
    <w:rsid w:val="007F4090"/>
    <w:rsid w:val="007F4DB9"/>
    <w:rsid w:val="007F51B0"/>
    <w:rsid w:val="008002B2"/>
    <w:rsid w:val="00801F9A"/>
    <w:rsid w:val="0080212F"/>
    <w:rsid w:val="00805B83"/>
    <w:rsid w:val="00805EA6"/>
    <w:rsid w:val="00806CCB"/>
    <w:rsid w:val="008105C3"/>
    <w:rsid w:val="00812B30"/>
    <w:rsid w:val="008174F9"/>
    <w:rsid w:val="0082030D"/>
    <w:rsid w:val="00822E34"/>
    <w:rsid w:val="00824EA0"/>
    <w:rsid w:val="00825163"/>
    <w:rsid w:val="00830D70"/>
    <w:rsid w:val="008310C0"/>
    <w:rsid w:val="008416E2"/>
    <w:rsid w:val="008519B9"/>
    <w:rsid w:val="008546DD"/>
    <w:rsid w:val="00870AF4"/>
    <w:rsid w:val="008838F0"/>
    <w:rsid w:val="008840F9"/>
    <w:rsid w:val="00895FA1"/>
    <w:rsid w:val="00897544"/>
    <w:rsid w:val="00897F7B"/>
    <w:rsid w:val="008A25CC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3EFC"/>
    <w:rsid w:val="008D603F"/>
    <w:rsid w:val="008D7731"/>
    <w:rsid w:val="008E01A9"/>
    <w:rsid w:val="008E2963"/>
    <w:rsid w:val="008E31B8"/>
    <w:rsid w:val="008E47D5"/>
    <w:rsid w:val="008E6F00"/>
    <w:rsid w:val="008E77F3"/>
    <w:rsid w:val="008E79EF"/>
    <w:rsid w:val="008F0E25"/>
    <w:rsid w:val="008F7949"/>
    <w:rsid w:val="0090716D"/>
    <w:rsid w:val="00911504"/>
    <w:rsid w:val="009140D8"/>
    <w:rsid w:val="0091518C"/>
    <w:rsid w:val="0091661A"/>
    <w:rsid w:val="00917DAD"/>
    <w:rsid w:val="009200C7"/>
    <w:rsid w:val="00920576"/>
    <w:rsid w:val="00921DC0"/>
    <w:rsid w:val="00924E10"/>
    <w:rsid w:val="009255C3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1191"/>
    <w:rsid w:val="009517C0"/>
    <w:rsid w:val="009539CC"/>
    <w:rsid w:val="0095424C"/>
    <w:rsid w:val="00954F13"/>
    <w:rsid w:val="00955760"/>
    <w:rsid w:val="009603FE"/>
    <w:rsid w:val="00961634"/>
    <w:rsid w:val="00964C96"/>
    <w:rsid w:val="009651C3"/>
    <w:rsid w:val="00967F65"/>
    <w:rsid w:val="009721C0"/>
    <w:rsid w:val="00972754"/>
    <w:rsid w:val="00973A06"/>
    <w:rsid w:val="00974504"/>
    <w:rsid w:val="0097680E"/>
    <w:rsid w:val="00977BD9"/>
    <w:rsid w:val="0098091E"/>
    <w:rsid w:val="00980A3C"/>
    <w:rsid w:val="00987495"/>
    <w:rsid w:val="00990C53"/>
    <w:rsid w:val="00990FD4"/>
    <w:rsid w:val="00992A91"/>
    <w:rsid w:val="00992F30"/>
    <w:rsid w:val="00994EC7"/>
    <w:rsid w:val="00995009"/>
    <w:rsid w:val="00996796"/>
    <w:rsid w:val="00996904"/>
    <w:rsid w:val="0099794C"/>
    <w:rsid w:val="009A1C42"/>
    <w:rsid w:val="009A3415"/>
    <w:rsid w:val="009A4C79"/>
    <w:rsid w:val="009A5C7F"/>
    <w:rsid w:val="009B2750"/>
    <w:rsid w:val="009B401B"/>
    <w:rsid w:val="009B62BE"/>
    <w:rsid w:val="009C0A99"/>
    <w:rsid w:val="009C22E2"/>
    <w:rsid w:val="009C3068"/>
    <w:rsid w:val="009C6E01"/>
    <w:rsid w:val="009D035A"/>
    <w:rsid w:val="009D0A16"/>
    <w:rsid w:val="009D1895"/>
    <w:rsid w:val="009D7B5C"/>
    <w:rsid w:val="009E25C4"/>
    <w:rsid w:val="009E2B0D"/>
    <w:rsid w:val="009E56C7"/>
    <w:rsid w:val="009E669A"/>
    <w:rsid w:val="009E7301"/>
    <w:rsid w:val="009F0B30"/>
    <w:rsid w:val="009F45BB"/>
    <w:rsid w:val="009F4A3E"/>
    <w:rsid w:val="009F72A5"/>
    <w:rsid w:val="00A041EE"/>
    <w:rsid w:val="00A07189"/>
    <w:rsid w:val="00A07D35"/>
    <w:rsid w:val="00A1315D"/>
    <w:rsid w:val="00A13D19"/>
    <w:rsid w:val="00A15FCF"/>
    <w:rsid w:val="00A16C71"/>
    <w:rsid w:val="00A200F1"/>
    <w:rsid w:val="00A22C99"/>
    <w:rsid w:val="00A23228"/>
    <w:rsid w:val="00A30630"/>
    <w:rsid w:val="00A30DE6"/>
    <w:rsid w:val="00A349A0"/>
    <w:rsid w:val="00A46507"/>
    <w:rsid w:val="00A50307"/>
    <w:rsid w:val="00A51EC4"/>
    <w:rsid w:val="00A52035"/>
    <w:rsid w:val="00A54E58"/>
    <w:rsid w:val="00A6493F"/>
    <w:rsid w:val="00A67902"/>
    <w:rsid w:val="00A7269D"/>
    <w:rsid w:val="00A74E57"/>
    <w:rsid w:val="00A75BDB"/>
    <w:rsid w:val="00A76504"/>
    <w:rsid w:val="00A80791"/>
    <w:rsid w:val="00A80A94"/>
    <w:rsid w:val="00A81D83"/>
    <w:rsid w:val="00A83B84"/>
    <w:rsid w:val="00A910B5"/>
    <w:rsid w:val="00AA66FC"/>
    <w:rsid w:val="00AB0382"/>
    <w:rsid w:val="00AB19AC"/>
    <w:rsid w:val="00AB1ED5"/>
    <w:rsid w:val="00AB52BA"/>
    <w:rsid w:val="00AC463C"/>
    <w:rsid w:val="00AC6FB8"/>
    <w:rsid w:val="00AD0E25"/>
    <w:rsid w:val="00AD204B"/>
    <w:rsid w:val="00AD283C"/>
    <w:rsid w:val="00AD53B8"/>
    <w:rsid w:val="00AE451E"/>
    <w:rsid w:val="00AE6AFA"/>
    <w:rsid w:val="00AE7FDF"/>
    <w:rsid w:val="00AF1707"/>
    <w:rsid w:val="00AF27C7"/>
    <w:rsid w:val="00AF455B"/>
    <w:rsid w:val="00AF495F"/>
    <w:rsid w:val="00AF57E0"/>
    <w:rsid w:val="00B079CF"/>
    <w:rsid w:val="00B1155D"/>
    <w:rsid w:val="00B1195A"/>
    <w:rsid w:val="00B1561D"/>
    <w:rsid w:val="00B20FD2"/>
    <w:rsid w:val="00B25B9F"/>
    <w:rsid w:val="00B26B16"/>
    <w:rsid w:val="00B279F4"/>
    <w:rsid w:val="00B30525"/>
    <w:rsid w:val="00B32A5B"/>
    <w:rsid w:val="00B404C6"/>
    <w:rsid w:val="00B45673"/>
    <w:rsid w:val="00B456F3"/>
    <w:rsid w:val="00B46C05"/>
    <w:rsid w:val="00B47446"/>
    <w:rsid w:val="00B505F9"/>
    <w:rsid w:val="00B51280"/>
    <w:rsid w:val="00B51BA8"/>
    <w:rsid w:val="00B52155"/>
    <w:rsid w:val="00B56590"/>
    <w:rsid w:val="00B60568"/>
    <w:rsid w:val="00B62886"/>
    <w:rsid w:val="00B64C72"/>
    <w:rsid w:val="00B65FE8"/>
    <w:rsid w:val="00B66BA7"/>
    <w:rsid w:val="00B70124"/>
    <w:rsid w:val="00B71133"/>
    <w:rsid w:val="00B72F90"/>
    <w:rsid w:val="00B770C0"/>
    <w:rsid w:val="00B87A49"/>
    <w:rsid w:val="00B9429B"/>
    <w:rsid w:val="00B963D4"/>
    <w:rsid w:val="00BA1D87"/>
    <w:rsid w:val="00BA6333"/>
    <w:rsid w:val="00BA681C"/>
    <w:rsid w:val="00BB52DA"/>
    <w:rsid w:val="00BB58DE"/>
    <w:rsid w:val="00BB5FD4"/>
    <w:rsid w:val="00BB604A"/>
    <w:rsid w:val="00BB70A5"/>
    <w:rsid w:val="00BC4880"/>
    <w:rsid w:val="00BC6895"/>
    <w:rsid w:val="00BC7584"/>
    <w:rsid w:val="00BD0D51"/>
    <w:rsid w:val="00BD2023"/>
    <w:rsid w:val="00BD275A"/>
    <w:rsid w:val="00BD6B44"/>
    <w:rsid w:val="00BE78B1"/>
    <w:rsid w:val="00BF12D7"/>
    <w:rsid w:val="00BF33FF"/>
    <w:rsid w:val="00BF45A5"/>
    <w:rsid w:val="00C050D4"/>
    <w:rsid w:val="00C0566C"/>
    <w:rsid w:val="00C05C41"/>
    <w:rsid w:val="00C05DF3"/>
    <w:rsid w:val="00C07BE2"/>
    <w:rsid w:val="00C10382"/>
    <w:rsid w:val="00C22EB5"/>
    <w:rsid w:val="00C250D9"/>
    <w:rsid w:val="00C309F5"/>
    <w:rsid w:val="00C3305B"/>
    <w:rsid w:val="00C3696C"/>
    <w:rsid w:val="00C44378"/>
    <w:rsid w:val="00C44403"/>
    <w:rsid w:val="00C446ED"/>
    <w:rsid w:val="00C4494B"/>
    <w:rsid w:val="00C44A36"/>
    <w:rsid w:val="00C45AFA"/>
    <w:rsid w:val="00C5176D"/>
    <w:rsid w:val="00C571AC"/>
    <w:rsid w:val="00C65393"/>
    <w:rsid w:val="00C711C1"/>
    <w:rsid w:val="00C71234"/>
    <w:rsid w:val="00C71F2E"/>
    <w:rsid w:val="00C73251"/>
    <w:rsid w:val="00C77120"/>
    <w:rsid w:val="00C80E9B"/>
    <w:rsid w:val="00C84F24"/>
    <w:rsid w:val="00C858E6"/>
    <w:rsid w:val="00C9174E"/>
    <w:rsid w:val="00C926FE"/>
    <w:rsid w:val="00C92F4C"/>
    <w:rsid w:val="00C93D78"/>
    <w:rsid w:val="00C96297"/>
    <w:rsid w:val="00CA1ED9"/>
    <w:rsid w:val="00CA2F8B"/>
    <w:rsid w:val="00CA4113"/>
    <w:rsid w:val="00CA4638"/>
    <w:rsid w:val="00CA6B81"/>
    <w:rsid w:val="00CB3887"/>
    <w:rsid w:val="00CB454F"/>
    <w:rsid w:val="00CB5C03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23438"/>
    <w:rsid w:val="00D277A4"/>
    <w:rsid w:val="00D41ECF"/>
    <w:rsid w:val="00D434BC"/>
    <w:rsid w:val="00D43CFC"/>
    <w:rsid w:val="00D50827"/>
    <w:rsid w:val="00D51C9E"/>
    <w:rsid w:val="00D52037"/>
    <w:rsid w:val="00D52D41"/>
    <w:rsid w:val="00D53028"/>
    <w:rsid w:val="00D5478F"/>
    <w:rsid w:val="00D552B2"/>
    <w:rsid w:val="00D55797"/>
    <w:rsid w:val="00D56237"/>
    <w:rsid w:val="00D57A72"/>
    <w:rsid w:val="00D60297"/>
    <w:rsid w:val="00D608AF"/>
    <w:rsid w:val="00D62777"/>
    <w:rsid w:val="00D631F4"/>
    <w:rsid w:val="00D638BE"/>
    <w:rsid w:val="00D6435C"/>
    <w:rsid w:val="00D648E9"/>
    <w:rsid w:val="00D72655"/>
    <w:rsid w:val="00D73FB7"/>
    <w:rsid w:val="00D74208"/>
    <w:rsid w:val="00D7792A"/>
    <w:rsid w:val="00D77C28"/>
    <w:rsid w:val="00D91ED5"/>
    <w:rsid w:val="00DA0DC1"/>
    <w:rsid w:val="00DA1DC9"/>
    <w:rsid w:val="00DA28EE"/>
    <w:rsid w:val="00DA3E31"/>
    <w:rsid w:val="00DA4319"/>
    <w:rsid w:val="00DA4AD3"/>
    <w:rsid w:val="00DA50EB"/>
    <w:rsid w:val="00DA5301"/>
    <w:rsid w:val="00DA55BF"/>
    <w:rsid w:val="00DB0FB2"/>
    <w:rsid w:val="00DB2A8C"/>
    <w:rsid w:val="00DB56B0"/>
    <w:rsid w:val="00DB7FCD"/>
    <w:rsid w:val="00DC0867"/>
    <w:rsid w:val="00DC4D03"/>
    <w:rsid w:val="00DD26B7"/>
    <w:rsid w:val="00DD555F"/>
    <w:rsid w:val="00DD6A1C"/>
    <w:rsid w:val="00DE1A5F"/>
    <w:rsid w:val="00DE212E"/>
    <w:rsid w:val="00DE2701"/>
    <w:rsid w:val="00DE2F83"/>
    <w:rsid w:val="00DE3009"/>
    <w:rsid w:val="00DE6695"/>
    <w:rsid w:val="00DE67B9"/>
    <w:rsid w:val="00DF1B0B"/>
    <w:rsid w:val="00DF2885"/>
    <w:rsid w:val="00DF2AD7"/>
    <w:rsid w:val="00DF53D9"/>
    <w:rsid w:val="00DF706B"/>
    <w:rsid w:val="00DF73DF"/>
    <w:rsid w:val="00E002ED"/>
    <w:rsid w:val="00E02922"/>
    <w:rsid w:val="00E06F61"/>
    <w:rsid w:val="00E10D36"/>
    <w:rsid w:val="00E130E2"/>
    <w:rsid w:val="00E2033D"/>
    <w:rsid w:val="00E21A92"/>
    <w:rsid w:val="00E27B2F"/>
    <w:rsid w:val="00E337F7"/>
    <w:rsid w:val="00E34EC0"/>
    <w:rsid w:val="00E364AF"/>
    <w:rsid w:val="00E3657C"/>
    <w:rsid w:val="00E407DB"/>
    <w:rsid w:val="00E435F2"/>
    <w:rsid w:val="00E47010"/>
    <w:rsid w:val="00E5486F"/>
    <w:rsid w:val="00E54A56"/>
    <w:rsid w:val="00E5670C"/>
    <w:rsid w:val="00E6172C"/>
    <w:rsid w:val="00E61DDD"/>
    <w:rsid w:val="00E71E98"/>
    <w:rsid w:val="00E7288E"/>
    <w:rsid w:val="00E72911"/>
    <w:rsid w:val="00E741A0"/>
    <w:rsid w:val="00E77632"/>
    <w:rsid w:val="00E875B4"/>
    <w:rsid w:val="00E87B6D"/>
    <w:rsid w:val="00E90C98"/>
    <w:rsid w:val="00E9144C"/>
    <w:rsid w:val="00E9500C"/>
    <w:rsid w:val="00EA2B0C"/>
    <w:rsid w:val="00EA622B"/>
    <w:rsid w:val="00EB3C59"/>
    <w:rsid w:val="00EB64E2"/>
    <w:rsid w:val="00EC364D"/>
    <w:rsid w:val="00EC5131"/>
    <w:rsid w:val="00ED1D5C"/>
    <w:rsid w:val="00ED2C90"/>
    <w:rsid w:val="00ED42FC"/>
    <w:rsid w:val="00EE03BE"/>
    <w:rsid w:val="00EE04C1"/>
    <w:rsid w:val="00EE294F"/>
    <w:rsid w:val="00EE74E7"/>
    <w:rsid w:val="00EF13E1"/>
    <w:rsid w:val="00EF48D4"/>
    <w:rsid w:val="00EF6434"/>
    <w:rsid w:val="00EF6877"/>
    <w:rsid w:val="00F01EF0"/>
    <w:rsid w:val="00F02D78"/>
    <w:rsid w:val="00F046AC"/>
    <w:rsid w:val="00F04D70"/>
    <w:rsid w:val="00F05E22"/>
    <w:rsid w:val="00F0609E"/>
    <w:rsid w:val="00F11D3A"/>
    <w:rsid w:val="00F12C0A"/>
    <w:rsid w:val="00F13C23"/>
    <w:rsid w:val="00F2442B"/>
    <w:rsid w:val="00F24CF1"/>
    <w:rsid w:val="00F31444"/>
    <w:rsid w:val="00F31948"/>
    <w:rsid w:val="00F31E39"/>
    <w:rsid w:val="00F326D7"/>
    <w:rsid w:val="00F341C4"/>
    <w:rsid w:val="00F36364"/>
    <w:rsid w:val="00F41291"/>
    <w:rsid w:val="00F45180"/>
    <w:rsid w:val="00F454B7"/>
    <w:rsid w:val="00F45F18"/>
    <w:rsid w:val="00F46BF3"/>
    <w:rsid w:val="00F46D63"/>
    <w:rsid w:val="00F4721F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073E"/>
    <w:rsid w:val="00F82301"/>
    <w:rsid w:val="00F82A93"/>
    <w:rsid w:val="00F82AEC"/>
    <w:rsid w:val="00F83F4E"/>
    <w:rsid w:val="00F872DE"/>
    <w:rsid w:val="00F9233C"/>
    <w:rsid w:val="00F93E8F"/>
    <w:rsid w:val="00FA0A15"/>
    <w:rsid w:val="00FA2AE1"/>
    <w:rsid w:val="00FA2CFB"/>
    <w:rsid w:val="00FA2D44"/>
    <w:rsid w:val="00FA3D2E"/>
    <w:rsid w:val="00FA45D7"/>
    <w:rsid w:val="00FA5288"/>
    <w:rsid w:val="00FA5A07"/>
    <w:rsid w:val="00FB25CF"/>
    <w:rsid w:val="00FB7A07"/>
    <w:rsid w:val="00FC222E"/>
    <w:rsid w:val="00FC4D6F"/>
    <w:rsid w:val="00FC5700"/>
    <w:rsid w:val="00FC6545"/>
    <w:rsid w:val="00FD1228"/>
    <w:rsid w:val="00FD25CB"/>
    <w:rsid w:val="00FD31A9"/>
    <w:rsid w:val="00FD3862"/>
    <w:rsid w:val="00FD38F7"/>
    <w:rsid w:val="00FD5C65"/>
    <w:rsid w:val="00FD6D30"/>
    <w:rsid w:val="00FE0014"/>
    <w:rsid w:val="00FE219A"/>
    <w:rsid w:val="00FE67B3"/>
    <w:rsid w:val="00FE7294"/>
    <w:rsid w:val="00FE7A27"/>
    <w:rsid w:val="00FF0E3D"/>
    <w:rsid w:val="00FF36F0"/>
    <w:rsid w:val="00FF39EB"/>
    <w:rsid w:val="00FF54C7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customStyle="1" w:styleId="NzevChar">
    <w:name w:val="Název Char"/>
    <w:basedOn w:val="Standardnpsmoodstavce"/>
    <w:link w:val="Nzev"/>
    <w:rsid w:val="006E628B"/>
    <w:rPr>
      <w:b/>
      <w:sz w:val="32"/>
      <w:szCs w:val="24"/>
    </w:rPr>
  </w:style>
  <w:style w:type="paragraph" w:customStyle="1" w:styleId="Level1">
    <w:name w:val="Level 1"/>
    <w:basedOn w:val="Normln"/>
    <w:next w:val="Normln"/>
    <w:qFormat/>
    <w:rsid w:val="004005CA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005CA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005CA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005CA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4005CA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4005CA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4005CA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4005CA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4005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4005C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051E6AD697541B69020A5D51FE56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2B244-0B1C-4DEE-8574-B0D5FD18F15A}"/>
      </w:docPartPr>
      <w:docPartBody>
        <w:p w:rsidR="009E0DC8" w:rsidRDefault="008624AF" w:rsidP="008624AF">
          <w:pPr>
            <w:pStyle w:val="B051E6AD697541B69020A5D51FE56978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047D1"/>
    <w:rsid w:val="000C7495"/>
    <w:rsid w:val="00115890"/>
    <w:rsid w:val="001B6D6D"/>
    <w:rsid w:val="0033014B"/>
    <w:rsid w:val="003A754F"/>
    <w:rsid w:val="0055155D"/>
    <w:rsid w:val="005C5B5F"/>
    <w:rsid w:val="00666049"/>
    <w:rsid w:val="00731A31"/>
    <w:rsid w:val="008624AF"/>
    <w:rsid w:val="008D7585"/>
    <w:rsid w:val="009C3492"/>
    <w:rsid w:val="009E0DC8"/>
    <w:rsid w:val="00A81EDD"/>
    <w:rsid w:val="00AE7FA2"/>
    <w:rsid w:val="00B36B81"/>
    <w:rsid w:val="00BB06E7"/>
    <w:rsid w:val="00BD40BA"/>
    <w:rsid w:val="00BE0D54"/>
    <w:rsid w:val="00CE1DDB"/>
    <w:rsid w:val="00D67085"/>
    <w:rsid w:val="00DC51DC"/>
    <w:rsid w:val="00DD58F1"/>
    <w:rsid w:val="00F540A3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24AF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E6AD697541B69020A5D51FE56978">
    <w:name w:val="B051E6AD697541B69020A5D51FE56978"/>
    <w:rsid w:val="00862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Miko Lucie Ing.</cp:lastModifiedBy>
  <cp:revision>14</cp:revision>
  <cp:lastPrinted>2024-01-22T09:58:00Z</cp:lastPrinted>
  <dcterms:created xsi:type="dcterms:W3CDTF">2024-01-19T09:05:00Z</dcterms:created>
  <dcterms:modified xsi:type="dcterms:W3CDTF">2024-02-21T09:57:00Z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