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16" w:rsidRPr="007044B2" w:rsidRDefault="00152D16" w:rsidP="00152D16">
      <w:pPr>
        <w:jc w:val="center"/>
        <w:rPr>
          <w:rFonts w:ascii="Times New Roman" w:hAnsi="Times New Roman" w:cs="Times New Roman"/>
          <w:b/>
        </w:rPr>
      </w:pPr>
      <w:r w:rsidRPr="007044B2">
        <w:rPr>
          <w:rFonts w:ascii="Times New Roman" w:hAnsi="Times New Roman" w:cs="Times New Roman"/>
          <w:b/>
        </w:rPr>
        <w:t>DODATEK č. 1</w:t>
      </w:r>
    </w:p>
    <w:p w:rsidR="00152D16" w:rsidRPr="007044B2" w:rsidRDefault="00152D16" w:rsidP="00152D16">
      <w:pPr>
        <w:jc w:val="center"/>
        <w:rPr>
          <w:rFonts w:ascii="Times New Roman" w:hAnsi="Times New Roman" w:cs="Times New Roman"/>
          <w:b/>
        </w:rPr>
      </w:pPr>
      <w:r w:rsidRPr="007044B2">
        <w:rPr>
          <w:rFonts w:ascii="Times New Roman" w:hAnsi="Times New Roman" w:cs="Times New Roman"/>
          <w:b/>
        </w:rPr>
        <w:t>ke Smlouvě o sdružených službách dodávky elektřiny</w:t>
      </w:r>
    </w:p>
    <w:p w:rsidR="00152D16" w:rsidRPr="007044B2" w:rsidRDefault="00152D16" w:rsidP="00152D16">
      <w:pPr>
        <w:pStyle w:val="Nzev"/>
        <w:tabs>
          <w:tab w:val="left" w:pos="426"/>
        </w:tabs>
        <w:rPr>
          <w:b/>
          <w:sz w:val="24"/>
          <w:szCs w:val="24"/>
        </w:rPr>
      </w:pPr>
      <w:r w:rsidRPr="007044B2">
        <w:rPr>
          <w:b/>
          <w:sz w:val="24"/>
          <w:szCs w:val="24"/>
        </w:rPr>
        <w:t>(kategorie velkoodběratel ze sítí vysokého a velmi vysokého napětí)</w:t>
      </w:r>
    </w:p>
    <w:p w:rsidR="00152D16" w:rsidRPr="007044B2" w:rsidRDefault="00152D16" w:rsidP="00152D16">
      <w:pPr>
        <w:jc w:val="both"/>
        <w:rPr>
          <w:rFonts w:ascii="Times New Roman" w:hAnsi="Times New Roman" w:cs="Times New Roman"/>
        </w:rPr>
      </w:pPr>
    </w:p>
    <w:p w:rsidR="00152D16" w:rsidRPr="007044B2" w:rsidRDefault="00152D16" w:rsidP="00152D16">
      <w:pPr>
        <w:pStyle w:val="Nzev"/>
        <w:jc w:val="left"/>
        <w:rPr>
          <w:b/>
          <w:sz w:val="24"/>
          <w:szCs w:val="24"/>
        </w:rPr>
      </w:pPr>
      <w:r w:rsidRPr="007044B2">
        <w:rPr>
          <w:b/>
          <w:sz w:val="24"/>
          <w:szCs w:val="24"/>
        </w:rPr>
        <w:t>Pražská plynárenská, a.s.</w:t>
      </w:r>
    </w:p>
    <w:p w:rsidR="00152D16" w:rsidRPr="007044B2" w:rsidRDefault="00152D16" w:rsidP="00152D16">
      <w:pPr>
        <w:pStyle w:val="Nzev"/>
        <w:jc w:val="left"/>
        <w:rPr>
          <w:sz w:val="24"/>
          <w:szCs w:val="24"/>
        </w:rPr>
      </w:pPr>
      <w:r w:rsidRPr="007044B2">
        <w:rPr>
          <w:sz w:val="24"/>
          <w:szCs w:val="24"/>
        </w:rPr>
        <w:t xml:space="preserve">Se sídlem: Praha 1 – Nové Město, Národní 37, PSČ 110 00 </w:t>
      </w:r>
    </w:p>
    <w:p w:rsidR="00152D16" w:rsidRPr="007044B2" w:rsidRDefault="00152D16" w:rsidP="00152D16">
      <w:pPr>
        <w:pStyle w:val="Nzev"/>
        <w:jc w:val="left"/>
        <w:rPr>
          <w:sz w:val="24"/>
          <w:szCs w:val="24"/>
        </w:rPr>
      </w:pPr>
      <w:r w:rsidRPr="007044B2">
        <w:rPr>
          <w:sz w:val="24"/>
          <w:szCs w:val="24"/>
        </w:rPr>
        <w:t>IČO: 60193492, DIČ: CZ60193492</w:t>
      </w:r>
    </w:p>
    <w:p w:rsidR="00152D16" w:rsidRPr="007044B2" w:rsidRDefault="00152D16" w:rsidP="00152D16">
      <w:pPr>
        <w:rPr>
          <w:rFonts w:ascii="Times New Roman" w:hAnsi="Times New Roman" w:cs="Times New Roman"/>
        </w:rPr>
      </w:pPr>
      <w:r w:rsidRPr="007044B2">
        <w:rPr>
          <w:rFonts w:ascii="Times New Roman" w:hAnsi="Times New Roman" w:cs="Times New Roman"/>
        </w:rPr>
        <w:t>Zastoupená: Ladislava Smolíková, vedoucí oddělení podpory prodeje podnikatelům</w:t>
      </w:r>
    </w:p>
    <w:p w:rsidR="00152D16" w:rsidRPr="007044B2" w:rsidRDefault="00152D16" w:rsidP="00152D16">
      <w:pPr>
        <w:rPr>
          <w:rFonts w:ascii="Times New Roman" w:hAnsi="Times New Roman" w:cs="Times New Roman"/>
        </w:rPr>
      </w:pPr>
      <w:r w:rsidRPr="007044B2">
        <w:rPr>
          <w:rFonts w:ascii="Times New Roman" w:hAnsi="Times New Roman" w:cs="Times New Roman"/>
        </w:rPr>
        <w:t>Zapsána v obchodním rejstříku, vedeném Městským soudem v Praze, oddíl B, vložka 2337</w:t>
      </w:r>
    </w:p>
    <w:p w:rsidR="00152D16" w:rsidRPr="007044B2" w:rsidRDefault="00152D16" w:rsidP="00152D16">
      <w:pPr>
        <w:rPr>
          <w:rFonts w:ascii="Times New Roman" w:hAnsi="Times New Roman" w:cs="Times New Roman"/>
        </w:rPr>
      </w:pPr>
      <w:r w:rsidRPr="007044B2">
        <w:rPr>
          <w:rFonts w:ascii="Times New Roman" w:hAnsi="Times New Roman" w:cs="Times New Roman"/>
          <w:color w:val="000000" w:themeColor="text1"/>
        </w:rPr>
        <w:t xml:space="preserve">Bankovní spojení: Komerční banka, </w:t>
      </w:r>
      <w:proofErr w:type="spellStart"/>
      <w:r w:rsidRPr="007044B2">
        <w:rPr>
          <w:rFonts w:ascii="Times New Roman" w:hAnsi="Times New Roman" w:cs="Times New Roman"/>
          <w:color w:val="000000" w:themeColor="text1"/>
        </w:rPr>
        <w:t>a.s</w:t>
      </w:r>
      <w:proofErr w:type="spellEnd"/>
    </w:p>
    <w:p w:rsidR="00152D16" w:rsidRPr="007044B2" w:rsidRDefault="00300CBB" w:rsidP="00152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lang w:eastAsia="en-US"/>
        </w:rPr>
        <w:t>Číslo účtu/</w:t>
      </w:r>
      <w:r w:rsidR="00152D16" w:rsidRPr="007044B2">
        <w:rPr>
          <w:rFonts w:ascii="Times New Roman" w:hAnsi="Times New Roman" w:cs="Times New Roman"/>
          <w:color w:val="000000" w:themeColor="text1"/>
          <w:lang w:eastAsia="en-US"/>
        </w:rPr>
        <w:t xml:space="preserve">kód banky: </w:t>
      </w:r>
    </w:p>
    <w:p w:rsidR="00152D16" w:rsidRPr="007044B2" w:rsidRDefault="00152D16" w:rsidP="00300CBB">
      <w:pPr>
        <w:ind w:left="1701" w:hanging="1701"/>
        <w:rPr>
          <w:rFonts w:ascii="Times New Roman" w:hAnsi="Times New Roman" w:cs="Times New Roman"/>
          <w:color w:val="000000"/>
        </w:rPr>
      </w:pPr>
      <w:r w:rsidRPr="007044B2">
        <w:rPr>
          <w:rFonts w:ascii="Times New Roman" w:hAnsi="Times New Roman" w:cs="Times New Roman"/>
          <w:color w:val="000000"/>
        </w:rPr>
        <w:t xml:space="preserve">Kontaktní osoba: </w:t>
      </w:r>
      <w:r w:rsidRPr="007044B2">
        <w:rPr>
          <w:rFonts w:ascii="Times New Roman" w:hAnsi="Times New Roman" w:cs="Times New Roman"/>
        </w:rPr>
        <w:t>Ing. David Hrůza, manažer prodeje,</w:t>
      </w:r>
      <w:r w:rsidRPr="007044B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044B2">
        <w:rPr>
          <w:rFonts w:ascii="Times New Roman" w:hAnsi="Times New Roman" w:cs="Times New Roman"/>
          <w:color w:val="000000"/>
        </w:rPr>
        <w:t xml:space="preserve">tel.:, </w:t>
      </w:r>
      <w:r w:rsidR="00300CBB">
        <w:rPr>
          <w:rFonts w:ascii="Times New Roman" w:hAnsi="Times New Roman" w:cs="Times New Roman"/>
          <w:color w:val="000000"/>
        </w:rPr>
        <w:br/>
      </w:r>
      <w:r w:rsidRPr="007044B2">
        <w:rPr>
          <w:rFonts w:ascii="Times New Roman" w:hAnsi="Times New Roman" w:cs="Times New Roman"/>
          <w:color w:val="000000"/>
        </w:rPr>
        <w:t>email</w:t>
      </w:r>
      <w:proofErr w:type="gramEnd"/>
      <w:r w:rsidRPr="007044B2">
        <w:rPr>
          <w:rFonts w:ascii="Times New Roman" w:hAnsi="Times New Roman" w:cs="Times New Roman"/>
          <w:color w:val="000000"/>
        </w:rPr>
        <w:t xml:space="preserve">: </w:t>
      </w:r>
    </w:p>
    <w:p w:rsidR="00152D16" w:rsidRPr="007044B2" w:rsidRDefault="00152D16" w:rsidP="00152D16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7044B2">
        <w:rPr>
          <w:rFonts w:ascii="Times New Roman" w:hAnsi="Times New Roman" w:cs="Times New Roman"/>
          <w:color w:val="000000" w:themeColor="text1"/>
          <w:lang w:eastAsia="en-US"/>
        </w:rPr>
        <w:t xml:space="preserve">licence ERÚ obchod s elektřinou číslo </w:t>
      </w:r>
      <w:r w:rsidR="00BC4663">
        <w:rPr>
          <w:rFonts w:ascii="Times New Roman" w:hAnsi="Times New Roman" w:cs="Times New Roman"/>
          <w:color w:val="000000" w:themeColor="text1"/>
          <w:lang w:eastAsia="en-US"/>
        </w:rPr>
        <w:t>141015380</w:t>
      </w:r>
    </w:p>
    <w:p w:rsidR="00152D16" w:rsidRPr="007044B2" w:rsidRDefault="00152D16" w:rsidP="00152D16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7044B2">
        <w:rPr>
          <w:rFonts w:ascii="Times New Roman" w:hAnsi="Times New Roman" w:cs="Times New Roman"/>
          <w:color w:val="000000" w:themeColor="text1"/>
          <w:lang w:eastAsia="en-US"/>
        </w:rPr>
        <w:t xml:space="preserve">licence ERÚ obchod s plynem číslo </w:t>
      </w:r>
      <w:r w:rsidR="00BC4663">
        <w:rPr>
          <w:rFonts w:ascii="Times New Roman" w:hAnsi="Times New Roman" w:cs="Times New Roman"/>
          <w:color w:val="000000" w:themeColor="text1"/>
          <w:lang w:eastAsia="en-US"/>
        </w:rPr>
        <w:t>241218964</w:t>
      </w:r>
    </w:p>
    <w:p w:rsidR="00152D16" w:rsidRPr="007044B2" w:rsidRDefault="00152D16" w:rsidP="00152D16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7044B2">
        <w:rPr>
          <w:rFonts w:ascii="Times New Roman" w:hAnsi="Times New Roman" w:cs="Times New Roman"/>
          <w:color w:val="000000" w:themeColor="text1"/>
          <w:lang w:eastAsia="en-US"/>
        </w:rPr>
        <w:t>EAN: 8591824360200</w:t>
      </w:r>
    </w:p>
    <w:p w:rsidR="00152D16" w:rsidRPr="007044B2" w:rsidRDefault="00152D16" w:rsidP="00152D16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7044B2">
        <w:rPr>
          <w:rFonts w:ascii="Times New Roman" w:hAnsi="Times New Roman" w:cs="Times New Roman"/>
          <w:color w:val="000000" w:themeColor="text1"/>
          <w:lang w:eastAsia="en-US"/>
        </w:rPr>
        <w:t>ID RÚT: 3602</w:t>
      </w:r>
    </w:p>
    <w:p w:rsidR="00152D16" w:rsidRPr="007044B2" w:rsidRDefault="00152D16" w:rsidP="00152D16">
      <w:pPr>
        <w:rPr>
          <w:rFonts w:ascii="Times New Roman" w:hAnsi="Times New Roman" w:cs="Times New Roman"/>
          <w:b/>
          <w:bCs/>
        </w:rPr>
      </w:pPr>
      <w:r w:rsidRPr="007044B2">
        <w:rPr>
          <w:rFonts w:ascii="Times New Roman" w:hAnsi="Times New Roman" w:cs="Times New Roman"/>
          <w:bCs/>
        </w:rPr>
        <w:t>(dále jen</w:t>
      </w:r>
      <w:r w:rsidRPr="007044B2">
        <w:rPr>
          <w:rFonts w:ascii="Times New Roman" w:hAnsi="Times New Roman" w:cs="Times New Roman"/>
          <w:b/>
          <w:bCs/>
        </w:rPr>
        <w:t xml:space="preserve"> „Obchodník“ nebo „Dodavatel“</w:t>
      </w:r>
      <w:r w:rsidRPr="007044B2">
        <w:rPr>
          <w:rFonts w:ascii="Times New Roman" w:hAnsi="Times New Roman" w:cs="Times New Roman"/>
          <w:bCs/>
        </w:rPr>
        <w:t>)</w:t>
      </w:r>
    </w:p>
    <w:p w:rsidR="00152D16" w:rsidRPr="007044B2" w:rsidRDefault="00152D16" w:rsidP="00152D16">
      <w:pPr>
        <w:rPr>
          <w:rFonts w:ascii="Times New Roman" w:hAnsi="Times New Roman" w:cs="Times New Roman"/>
          <w:b/>
          <w:bCs/>
          <w:color w:val="0000FF"/>
        </w:rPr>
      </w:pPr>
    </w:p>
    <w:p w:rsidR="00152D16" w:rsidRPr="007044B2" w:rsidRDefault="00152D16" w:rsidP="00152D16">
      <w:pPr>
        <w:jc w:val="center"/>
        <w:rPr>
          <w:rFonts w:ascii="Times New Roman" w:hAnsi="Times New Roman" w:cs="Times New Roman"/>
          <w:bCs/>
        </w:rPr>
      </w:pPr>
      <w:r w:rsidRPr="007044B2">
        <w:rPr>
          <w:rFonts w:ascii="Times New Roman" w:hAnsi="Times New Roman" w:cs="Times New Roman"/>
          <w:bCs/>
        </w:rPr>
        <w:t>a</w:t>
      </w:r>
    </w:p>
    <w:p w:rsidR="00152D16" w:rsidRPr="007044B2" w:rsidRDefault="00152D16" w:rsidP="00152D16">
      <w:pPr>
        <w:rPr>
          <w:rFonts w:ascii="Times New Roman" w:hAnsi="Times New Roman" w:cs="Times New Roman"/>
          <w:b/>
          <w:highlight w:val="yellow"/>
        </w:rPr>
      </w:pPr>
    </w:p>
    <w:p w:rsidR="00152D16" w:rsidRPr="007044B2" w:rsidRDefault="00152D16" w:rsidP="00152D16">
      <w:pPr>
        <w:rPr>
          <w:rFonts w:ascii="Times New Roman" w:hAnsi="Times New Roman" w:cs="Times New Roman"/>
          <w:b/>
        </w:rPr>
      </w:pPr>
      <w:r w:rsidRPr="007044B2">
        <w:rPr>
          <w:rFonts w:ascii="Times New Roman" w:hAnsi="Times New Roman" w:cs="Times New Roman"/>
          <w:b/>
        </w:rPr>
        <w:t>Česká průmyslová zdravotní pojišťovna</w:t>
      </w:r>
    </w:p>
    <w:p w:rsidR="00152D16" w:rsidRPr="007044B2" w:rsidRDefault="00152D16" w:rsidP="00152D16">
      <w:pPr>
        <w:pStyle w:val="Default"/>
        <w:rPr>
          <w:rFonts w:ascii="Times New Roman" w:hAnsi="Times New Roman" w:cs="Times New Roman"/>
          <w:lang w:eastAsia="cs-CZ"/>
        </w:rPr>
      </w:pPr>
      <w:r w:rsidRPr="007044B2">
        <w:rPr>
          <w:rFonts w:ascii="Times New Roman" w:hAnsi="Times New Roman" w:cs="Times New Roman"/>
        </w:rPr>
        <w:t>Se sídlem: Jeremenkova 161/11, Vítkovice, 703 00 Ostrava</w:t>
      </w:r>
    </w:p>
    <w:p w:rsidR="00152D16" w:rsidRPr="007044B2" w:rsidRDefault="00152D16" w:rsidP="00152D16">
      <w:pPr>
        <w:rPr>
          <w:rFonts w:ascii="Times New Roman" w:hAnsi="Times New Roman" w:cs="Times New Roman"/>
        </w:rPr>
      </w:pPr>
      <w:r w:rsidRPr="007044B2">
        <w:rPr>
          <w:rFonts w:ascii="Times New Roman" w:hAnsi="Times New Roman" w:cs="Times New Roman"/>
          <w:color w:val="000000"/>
        </w:rPr>
        <w:t>IČO: </w:t>
      </w:r>
      <w:r w:rsidRPr="007044B2">
        <w:rPr>
          <w:rFonts w:ascii="Times New Roman" w:hAnsi="Times New Roman" w:cs="Times New Roman"/>
        </w:rPr>
        <w:t>47672234, D</w:t>
      </w:r>
      <w:r w:rsidRPr="007044B2">
        <w:rPr>
          <w:rFonts w:ascii="Times New Roman" w:hAnsi="Times New Roman" w:cs="Times New Roman"/>
          <w:color w:val="000000"/>
        </w:rPr>
        <w:t>IČ: není plátcem DPH</w:t>
      </w:r>
    </w:p>
    <w:p w:rsidR="00152D16" w:rsidRPr="007044B2" w:rsidRDefault="00152D16" w:rsidP="00152D16">
      <w:pPr>
        <w:rPr>
          <w:rFonts w:ascii="Times New Roman" w:hAnsi="Times New Roman" w:cs="Times New Roman"/>
          <w:color w:val="000000"/>
        </w:rPr>
      </w:pPr>
      <w:r w:rsidRPr="007044B2">
        <w:rPr>
          <w:rFonts w:ascii="Times New Roman" w:hAnsi="Times New Roman" w:cs="Times New Roman"/>
          <w:color w:val="000000"/>
        </w:rPr>
        <w:t>Zastoupená:  JUDr. Petr Vaněk, Ph.D., generální ředitel</w:t>
      </w:r>
    </w:p>
    <w:p w:rsidR="00152D16" w:rsidRPr="007044B2" w:rsidRDefault="00152D16" w:rsidP="00152D16">
      <w:pPr>
        <w:pStyle w:val="Nzev"/>
        <w:jc w:val="left"/>
        <w:rPr>
          <w:color w:val="000000"/>
          <w:sz w:val="24"/>
          <w:szCs w:val="24"/>
        </w:rPr>
      </w:pPr>
      <w:r w:rsidRPr="007044B2">
        <w:rPr>
          <w:sz w:val="24"/>
          <w:szCs w:val="24"/>
        </w:rPr>
        <w:t>Zapsána ve veřejném rejstříku, vedeném Krajským soudem v Ostravě, oddíl AXIV, vložka 545</w:t>
      </w:r>
      <w:r w:rsidRPr="007044B2">
        <w:rPr>
          <w:color w:val="000000"/>
          <w:sz w:val="24"/>
          <w:szCs w:val="24"/>
        </w:rPr>
        <w:t xml:space="preserve"> </w:t>
      </w:r>
    </w:p>
    <w:p w:rsidR="00152D16" w:rsidRPr="007044B2" w:rsidRDefault="00152D16" w:rsidP="00152D16">
      <w:pPr>
        <w:pStyle w:val="Nzev"/>
        <w:jc w:val="left"/>
        <w:rPr>
          <w:sz w:val="24"/>
          <w:szCs w:val="24"/>
        </w:rPr>
      </w:pPr>
      <w:r w:rsidRPr="007044B2">
        <w:rPr>
          <w:color w:val="000000"/>
          <w:sz w:val="24"/>
          <w:szCs w:val="24"/>
        </w:rPr>
        <w:t>Bankovní spojení: ČNB</w:t>
      </w:r>
    </w:p>
    <w:p w:rsidR="00152D16" w:rsidRPr="007044B2" w:rsidRDefault="00152D16" w:rsidP="00152D16">
      <w:pPr>
        <w:rPr>
          <w:rFonts w:ascii="Times New Roman" w:hAnsi="Times New Roman" w:cs="Times New Roman"/>
        </w:rPr>
      </w:pPr>
      <w:r w:rsidRPr="007044B2">
        <w:rPr>
          <w:rFonts w:ascii="Times New Roman" w:hAnsi="Times New Roman" w:cs="Times New Roman"/>
          <w:color w:val="000000" w:themeColor="text1"/>
          <w:lang w:eastAsia="en-US"/>
        </w:rPr>
        <w:t>Číslo účtu / kód banky:</w:t>
      </w:r>
      <w:r w:rsidRPr="007044B2">
        <w:rPr>
          <w:rFonts w:ascii="Times New Roman" w:hAnsi="Times New Roman" w:cs="Times New Roman"/>
          <w:color w:val="000000" w:themeColor="text1"/>
          <w:lang w:eastAsia="en-US"/>
        </w:rPr>
        <w:tab/>
      </w:r>
    </w:p>
    <w:p w:rsidR="00152D16" w:rsidRDefault="00152D16" w:rsidP="00152D16">
      <w:pPr>
        <w:rPr>
          <w:rFonts w:ascii="Times New Roman" w:hAnsi="Times New Roman" w:cs="Times New Roman"/>
        </w:rPr>
      </w:pPr>
      <w:r w:rsidRPr="007044B2">
        <w:rPr>
          <w:rFonts w:ascii="Times New Roman" w:hAnsi="Times New Roman" w:cs="Times New Roman"/>
          <w:color w:val="000000"/>
        </w:rPr>
        <w:t xml:space="preserve">Adresa k zasílání fakturace Zákazníkovi: </w:t>
      </w:r>
      <w:r w:rsidRPr="007044B2">
        <w:rPr>
          <w:rFonts w:ascii="Times New Roman" w:hAnsi="Times New Roman" w:cs="Times New Roman"/>
        </w:rPr>
        <w:t xml:space="preserve">Jeremenkova 161/11, 703 00 Ostrava – Vítkovice, </w:t>
      </w:r>
      <w:r w:rsidR="00634A48">
        <w:rPr>
          <w:rFonts w:ascii="Times New Roman" w:hAnsi="Times New Roman" w:cs="Times New Roman"/>
        </w:rPr>
        <w:br/>
      </w:r>
      <w:r w:rsidRPr="007044B2">
        <w:rPr>
          <w:rFonts w:ascii="Times New Roman" w:hAnsi="Times New Roman" w:cs="Times New Roman"/>
        </w:rPr>
        <w:t xml:space="preserve">e-mail: </w:t>
      </w:r>
    </w:p>
    <w:p w:rsidR="00026235" w:rsidRDefault="00026235" w:rsidP="0002623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Kontaktní osoba: </w:t>
      </w:r>
      <w:r>
        <w:rPr>
          <w:rFonts w:ascii="Times New Roman" w:hAnsi="Times New Roman" w:cs="Times New Roman"/>
          <w:color w:val="000000"/>
        </w:rPr>
        <w:t xml:space="preserve">Ing. Josef Kaleta, email: tel.: </w:t>
      </w:r>
    </w:p>
    <w:p w:rsidR="00026235" w:rsidRDefault="00026235" w:rsidP="00026235">
      <w:pPr>
        <w:ind w:left="1416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Ing. Jiří Noga, </w:t>
      </w:r>
      <w:proofErr w:type="gramStart"/>
      <w:r>
        <w:rPr>
          <w:rFonts w:ascii="Times New Roman" w:hAnsi="Times New Roman" w:cs="Times New Roman"/>
          <w:color w:val="000000"/>
        </w:rPr>
        <w:t>email:, tel.</w:t>
      </w:r>
      <w:proofErr w:type="gramEnd"/>
      <w:r>
        <w:rPr>
          <w:rFonts w:ascii="Times New Roman" w:hAnsi="Times New Roman" w:cs="Times New Roman"/>
          <w:color w:val="000000"/>
        </w:rPr>
        <w:t xml:space="preserve">: </w:t>
      </w:r>
    </w:p>
    <w:p w:rsidR="00152D16" w:rsidRPr="007044B2" w:rsidRDefault="00152D16" w:rsidP="00152D16">
      <w:pPr>
        <w:rPr>
          <w:rFonts w:ascii="Times New Roman" w:hAnsi="Times New Roman" w:cs="Times New Roman"/>
        </w:rPr>
      </w:pPr>
      <w:r w:rsidRPr="007044B2">
        <w:rPr>
          <w:rFonts w:ascii="Times New Roman" w:hAnsi="Times New Roman" w:cs="Times New Roman"/>
        </w:rPr>
        <w:t>(dále jen</w:t>
      </w:r>
      <w:r w:rsidRPr="007044B2">
        <w:rPr>
          <w:rFonts w:ascii="Times New Roman" w:hAnsi="Times New Roman" w:cs="Times New Roman"/>
          <w:b/>
        </w:rPr>
        <w:t xml:space="preserve"> „Zákazník“ nebo „Objednatel“</w:t>
      </w:r>
      <w:r w:rsidRPr="007044B2">
        <w:rPr>
          <w:rFonts w:ascii="Times New Roman" w:hAnsi="Times New Roman" w:cs="Times New Roman"/>
        </w:rPr>
        <w:t>)</w:t>
      </w:r>
    </w:p>
    <w:p w:rsidR="00152D16" w:rsidRPr="007044B2" w:rsidRDefault="00152D16" w:rsidP="00152D16">
      <w:pPr>
        <w:rPr>
          <w:rFonts w:ascii="Times New Roman" w:hAnsi="Times New Roman" w:cs="Times New Roman"/>
        </w:rPr>
      </w:pPr>
    </w:p>
    <w:p w:rsidR="00152D16" w:rsidRPr="007044B2" w:rsidRDefault="00152D16" w:rsidP="00152D16">
      <w:pPr>
        <w:rPr>
          <w:rFonts w:ascii="Times New Roman" w:hAnsi="Times New Roman" w:cs="Times New Roman"/>
        </w:rPr>
      </w:pPr>
      <w:r w:rsidRPr="007044B2">
        <w:rPr>
          <w:rFonts w:ascii="Times New Roman" w:hAnsi="Times New Roman" w:cs="Times New Roman"/>
        </w:rPr>
        <w:t>(Obchodník a Zákazník společně dále jen „</w:t>
      </w:r>
      <w:r w:rsidRPr="007044B2">
        <w:rPr>
          <w:rFonts w:ascii="Times New Roman" w:hAnsi="Times New Roman" w:cs="Times New Roman"/>
          <w:b/>
        </w:rPr>
        <w:t>Smluvní strany</w:t>
      </w:r>
      <w:r w:rsidRPr="007044B2">
        <w:rPr>
          <w:rFonts w:ascii="Times New Roman" w:hAnsi="Times New Roman" w:cs="Times New Roman"/>
        </w:rPr>
        <w:t>“)</w:t>
      </w:r>
    </w:p>
    <w:p w:rsidR="00152D16" w:rsidRPr="007044B2" w:rsidRDefault="00152D16" w:rsidP="00152D16">
      <w:pPr>
        <w:jc w:val="center"/>
        <w:rPr>
          <w:rFonts w:ascii="Times New Roman" w:hAnsi="Times New Roman" w:cs="Times New Roman"/>
          <w:b/>
        </w:rPr>
      </w:pPr>
    </w:p>
    <w:p w:rsidR="00152D16" w:rsidRDefault="00152D16" w:rsidP="00152D16">
      <w:pPr>
        <w:jc w:val="center"/>
        <w:rPr>
          <w:rFonts w:ascii="Times New Roman" w:hAnsi="Times New Roman" w:cs="Times New Roman"/>
          <w:b/>
        </w:rPr>
      </w:pPr>
      <w:r w:rsidRPr="007044B2">
        <w:rPr>
          <w:rFonts w:ascii="Times New Roman" w:hAnsi="Times New Roman" w:cs="Times New Roman"/>
          <w:b/>
        </w:rPr>
        <w:t>Preambule</w:t>
      </w:r>
    </w:p>
    <w:p w:rsidR="00BC4663" w:rsidRPr="007044B2" w:rsidRDefault="00BC4663" w:rsidP="00152D16">
      <w:pPr>
        <w:jc w:val="center"/>
        <w:rPr>
          <w:rFonts w:ascii="Times New Roman" w:hAnsi="Times New Roman" w:cs="Times New Roman"/>
          <w:b/>
        </w:rPr>
      </w:pPr>
    </w:p>
    <w:p w:rsidR="00152D16" w:rsidRPr="007044B2" w:rsidRDefault="00152D16" w:rsidP="00152D16">
      <w:pPr>
        <w:jc w:val="both"/>
        <w:rPr>
          <w:rFonts w:ascii="Times New Roman" w:hAnsi="Times New Roman" w:cs="Times New Roman"/>
        </w:rPr>
      </w:pPr>
      <w:r w:rsidRPr="007044B2">
        <w:rPr>
          <w:rFonts w:ascii="Times New Roman" w:hAnsi="Times New Roman" w:cs="Times New Roman"/>
        </w:rPr>
        <w:t xml:space="preserve">Smluvní strany dne </w:t>
      </w:r>
      <w:proofErr w:type="gramStart"/>
      <w:r w:rsidR="00DC4AF9">
        <w:rPr>
          <w:rFonts w:ascii="Times New Roman" w:hAnsi="Times New Roman" w:cs="Times New Roman"/>
        </w:rPr>
        <w:t>18.1.2017</w:t>
      </w:r>
      <w:proofErr w:type="gramEnd"/>
      <w:r w:rsidRPr="007044B2">
        <w:rPr>
          <w:rFonts w:ascii="Times New Roman" w:hAnsi="Times New Roman" w:cs="Times New Roman"/>
        </w:rPr>
        <w:t xml:space="preserve"> </w:t>
      </w:r>
      <w:r w:rsidR="00BB6DBE">
        <w:rPr>
          <w:rFonts w:ascii="Times New Roman" w:hAnsi="Times New Roman" w:cs="Times New Roman"/>
        </w:rPr>
        <w:t>u</w:t>
      </w:r>
      <w:r w:rsidRPr="007044B2">
        <w:rPr>
          <w:rFonts w:ascii="Times New Roman" w:hAnsi="Times New Roman" w:cs="Times New Roman"/>
        </w:rPr>
        <w:t>zavřely Smlouvě o sdružených službách dodávky elektřiny</w:t>
      </w:r>
      <w:r w:rsidR="004516F9">
        <w:rPr>
          <w:rFonts w:ascii="Times New Roman" w:hAnsi="Times New Roman" w:cs="Times New Roman"/>
        </w:rPr>
        <w:t xml:space="preserve"> </w:t>
      </w:r>
      <w:r w:rsidRPr="007044B2">
        <w:rPr>
          <w:rFonts w:ascii="Times New Roman" w:hAnsi="Times New Roman" w:cs="Times New Roman"/>
        </w:rPr>
        <w:t>(kategorie velkoodběratel ze sítí vysokého a velmi vysokého napětí)</w:t>
      </w:r>
      <w:r w:rsidR="00F86AAE" w:rsidRPr="007044B2">
        <w:rPr>
          <w:rFonts w:ascii="Times New Roman" w:hAnsi="Times New Roman" w:cs="Times New Roman"/>
        </w:rPr>
        <w:t xml:space="preserve"> (dále jen „Smlouva“)</w:t>
      </w:r>
      <w:r w:rsidR="00934EC6" w:rsidRPr="007044B2">
        <w:rPr>
          <w:rFonts w:ascii="Times New Roman" w:hAnsi="Times New Roman" w:cs="Times New Roman"/>
        </w:rPr>
        <w:t>.</w:t>
      </w:r>
    </w:p>
    <w:p w:rsidR="00152D16" w:rsidRPr="007044B2" w:rsidRDefault="00152D16" w:rsidP="00152D16">
      <w:pPr>
        <w:jc w:val="both"/>
        <w:rPr>
          <w:rFonts w:ascii="Times New Roman" w:hAnsi="Times New Roman" w:cs="Times New Roman"/>
        </w:rPr>
      </w:pPr>
    </w:p>
    <w:p w:rsidR="00934EC6" w:rsidRPr="007044B2" w:rsidRDefault="00F86AAE" w:rsidP="00F86AAE">
      <w:pPr>
        <w:jc w:val="center"/>
        <w:rPr>
          <w:rFonts w:ascii="Times New Roman" w:hAnsi="Times New Roman" w:cs="Times New Roman"/>
          <w:b/>
        </w:rPr>
      </w:pPr>
      <w:r w:rsidRPr="007044B2">
        <w:rPr>
          <w:rFonts w:ascii="Times New Roman" w:hAnsi="Times New Roman" w:cs="Times New Roman"/>
          <w:b/>
        </w:rPr>
        <w:t>I.</w:t>
      </w:r>
    </w:p>
    <w:p w:rsidR="00F86AAE" w:rsidRPr="007044B2" w:rsidRDefault="00F86AAE" w:rsidP="00F86AAE">
      <w:pPr>
        <w:jc w:val="center"/>
        <w:rPr>
          <w:rFonts w:ascii="Times New Roman" w:hAnsi="Times New Roman" w:cs="Times New Roman"/>
          <w:b/>
        </w:rPr>
      </w:pPr>
    </w:p>
    <w:p w:rsidR="00152D16" w:rsidRPr="007044B2" w:rsidRDefault="00152D16" w:rsidP="00152D16">
      <w:pPr>
        <w:jc w:val="both"/>
        <w:rPr>
          <w:rFonts w:ascii="Times New Roman" w:hAnsi="Times New Roman" w:cs="Times New Roman"/>
        </w:rPr>
      </w:pPr>
      <w:r w:rsidRPr="007044B2">
        <w:rPr>
          <w:rFonts w:ascii="Times New Roman" w:hAnsi="Times New Roman" w:cs="Times New Roman"/>
        </w:rPr>
        <w:t xml:space="preserve">Smluvní strany se dohodly na změně smlouvy </w:t>
      </w:r>
      <w:r w:rsidR="00934EC6" w:rsidRPr="007044B2">
        <w:rPr>
          <w:rFonts w:ascii="Times New Roman" w:hAnsi="Times New Roman" w:cs="Times New Roman"/>
        </w:rPr>
        <w:t>následovně</w:t>
      </w:r>
      <w:r w:rsidRPr="007044B2">
        <w:rPr>
          <w:rFonts w:ascii="Times New Roman" w:hAnsi="Times New Roman" w:cs="Times New Roman"/>
        </w:rPr>
        <w:t xml:space="preserve">: </w:t>
      </w:r>
    </w:p>
    <w:p w:rsidR="00152D16" w:rsidRPr="007044B2" w:rsidRDefault="00152D16" w:rsidP="00152D16">
      <w:pPr>
        <w:jc w:val="both"/>
        <w:rPr>
          <w:rFonts w:ascii="Times New Roman" w:hAnsi="Times New Roman" w:cs="Times New Roman"/>
        </w:rPr>
      </w:pPr>
    </w:p>
    <w:p w:rsidR="00152D16" w:rsidRPr="007044B2" w:rsidRDefault="002E6944" w:rsidP="002E6944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7044B2">
        <w:rPr>
          <w:rFonts w:ascii="Times New Roman" w:hAnsi="Times New Roman" w:cs="Times New Roman"/>
          <w:b/>
          <w:bCs/>
        </w:rPr>
        <w:t>Výběrový list</w:t>
      </w:r>
      <w:r w:rsidR="00152D16" w:rsidRPr="007044B2">
        <w:rPr>
          <w:rFonts w:ascii="Times New Roman" w:hAnsi="Times New Roman" w:cs="Times New Roman"/>
          <w:b/>
          <w:bCs/>
        </w:rPr>
        <w:t>:</w:t>
      </w:r>
    </w:p>
    <w:p w:rsidR="0040407B" w:rsidRPr="007044B2" w:rsidRDefault="00DC4AF9" w:rsidP="00152D16">
      <w:pPr>
        <w:jc w:val="both"/>
        <w:rPr>
          <w:rFonts w:ascii="Times New Roman" w:hAnsi="Times New Roman" w:cs="Times New Roman"/>
        </w:rPr>
      </w:pPr>
    </w:p>
    <w:p w:rsidR="003263D4" w:rsidRDefault="003263D4" w:rsidP="003263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3263D4">
        <w:rPr>
          <w:rFonts w:ascii="Times New Roman" w:hAnsi="Times New Roman" w:cs="Times New Roman"/>
        </w:rPr>
        <w:lastRenderedPageBreak/>
        <w:t xml:space="preserve">Text: </w:t>
      </w:r>
      <w:r w:rsidR="0028512A">
        <w:rPr>
          <w:rFonts w:ascii="Times New Roman" w:hAnsi="Times New Roman" w:cs="Times New Roman"/>
        </w:rPr>
        <w:t>„</w:t>
      </w:r>
      <w:r w:rsidRPr="003263D4">
        <w:rPr>
          <w:rFonts w:ascii="Times New Roman" w:hAnsi="Times New Roman" w:cs="Times New Roman"/>
        </w:rPr>
        <w:t xml:space="preserve">Zákazník souhlasí se zasíláním a doručováním faktur, předpisů záloh v elektronické podobě </w:t>
      </w:r>
      <w:r w:rsidRPr="003263D4">
        <w:rPr>
          <w:rFonts w:ascii="Times New Roman" w:hAnsi="Times New Roman" w:cs="Times New Roman"/>
          <w:color w:val="000000"/>
        </w:rPr>
        <w:t>na adresu uvedenou v záhlaví Výběrového listu</w:t>
      </w:r>
      <w:r w:rsidR="0028512A">
        <w:rPr>
          <w:rFonts w:ascii="Times New Roman" w:hAnsi="Times New Roman" w:cs="Times New Roman"/>
          <w:color w:val="000000"/>
        </w:rPr>
        <w:t>“</w:t>
      </w:r>
      <w:r w:rsidRPr="003263D4">
        <w:rPr>
          <w:rFonts w:ascii="Times New Roman" w:hAnsi="Times New Roman" w:cs="Times New Roman"/>
          <w:color w:val="000000"/>
        </w:rPr>
        <w:t xml:space="preserve"> s</w:t>
      </w:r>
      <w:r w:rsidRPr="003263D4">
        <w:rPr>
          <w:rFonts w:ascii="Times New Roman" w:hAnsi="Times New Roman" w:cs="Times New Roman"/>
        </w:rPr>
        <w:t xml:space="preserve">e nahrazuje textem: </w:t>
      </w:r>
      <w:r w:rsidR="0028512A">
        <w:rPr>
          <w:rFonts w:ascii="Times New Roman" w:hAnsi="Times New Roman" w:cs="Times New Roman"/>
        </w:rPr>
        <w:t>„</w:t>
      </w:r>
      <w:r w:rsidRPr="0028512A">
        <w:rPr>
          <w:rFonts w:ascii="Times New Roman" w:hAnsi="Times New Roman" w:cs="Times New Roman"/>
          <w:b/>
        </w:rPr>
        <w:t xml:space="preserve">Zákazník souhlasí se zasíláním a doručováním faktur, předpisů záloh v elektronické podobě </w:t>
      </w:r>
      <w:r w:rsidRPr="0028512A">
        <w:rPr>
          <w:rFonts w:ascii="Times New Roman" w:hAnsi="Times New Roman" w:cs="Times New Roman"/>
          <w:b/>
          <w:color w:val="000000"/>
        </w:rPr>
        <w:t xml:space="preserve">na </w:t>
      </w:r>
      <w:hyperlink r:id="rId5" w:history="1">
        <w:r w:rsidRPr="0028512A">
          <w:rPr>
            <w:rStyle w:val="Hypertextovodkaz"/>
            <w:b/>
          </w:rPr>
          <w:t>f</w:t>
        </w:r>
      </w:hyperlink>
      <w:r w:rsidRPr="0028512A">
        <w:rPr>
          <w:rFonts w:ascii="Times New Roman" w:hAnsi="Times New Roman" w:cs="Times New Roman"/>
          <w:b/>
          <w:color w:val="000000"/>
        </w:rPr>
        <w:t>.</w:t>
      </w:r>
      <w:r w:rsidR="0028512A" w:rsidRPr="0028512A">
        <w:rPr>
          <w:rFonts w:ascii="Times New Roman" w:hAnsi="Times New Roman" w:cs="Times New Roman"/>
          <w:b/>
          <w:color w:val="000000"/>
        </w:rPr>
        <w:t>“</w:t>
      </w:r>
    </w:p>
    <w:p w:rsidR="004516F9" w:rsidRPr="003263D4" w:rsidRDefault="004516F9" w:rsidP="003263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92942" w:rsidRPr="007044B2" w:rsidRDefault="00792942" w:rsidP="002E6944">
      <w:pPr>
        <w:pStyle w:val="Odstavecseseznamem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b/>
          <w:bCs/>
        </w:rPr>
      </w:pPr>
      <w:r w:rsidRPr="007044B2">
        <w:rPr>
          <w:rFonts w:ascii="Times New Roman" w:hAnsi="Times New Roman" w:cs="Times New Roman"/>
          <w:b/>
          <w:bCs/>
        </w:rPr>
        <w:t>Článek XI Přílohy:</w:t>
      </w:r>
    </w:p>
    <w:p w:rsidR="00685878" w:rsidRDefault="00685878" w:rsidP="00685878">
      <w:pPr>
        <w:pStyle w:val="Zkladntext2"/>
        <w:spacing w:before="120" w:after="120" w:line="276" w:lineRule="auto"/>
        <w:ind w:left="426" w:hanging="436"/>
        <w:rPr>
          <w:sz w:val="24"/>
          <w:szCs w:val="24"/>
        </w:rPr>
      </w:pPr>
      <w:r>
        <w:rPr>
          <w:sz w:val="24"/>
          <w:szCs w:val="24"/>
        </w:rPr>
        <w:t>Text</w:t>
      </w:r>
      <w:r w:rsidR="0028512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685878" w:rsidRPr="00896F22" w:rsidRDefault="00685878" w:rsidP="00685878">
      <w:pPr>
        <w:pStyle w:val="Zkladntext2"/>
        <w:spacing w:before="120" w:after="120" w:line="276" w:lineRule="auto"/>
        <w:ind w:left="426" w:hanging="436"/>
        <w:rPr>
          <w:rFonts w:ascii="Gill Sans MT" w:hAnsi="Gill Sans MT" w:cs="TimesNewRomanPSMT"/>
          <w:sz w:val="22"/>
          <w:szCs w:val="22"/>
        </w:rPr>
      </w:pPr>
      <w:r w:rsidRPr="00896F22">
        <w:rPr>
          <w:rFonts w:ascii="Gill Sans MT" w:hAnsi="Gill Sans MT" w:cs="TimesNewRomanPSMT"/>
          <w:sz w:val="22"/>
          <w:szCs w:val="22"/>
        </w:rPr>
        <w:t xml:space="preserve">Nedílnou součástí Smlouvy jsou následující přílohy: </w:t>
      </w:r>
    </w:p>
    <w:p w:rsidR="00685878" w:rsidRPr="00896F22" w:rsidRDefault="00685878" w:rsidP="00685878">
      <w:pPr>
        <w:pStyle w:val="Zkladntext2"/>
        <w:spacing w:line="276" w:lineRule="auto"/>
        <w:ind w:left="426" w:hanging="436"/>
        <w:jc w:val="both"/>
        <w:rPr>
          <w:rFonts w:ascii="Gill Sans MT" w:hAnsi="Gill Sans MT" w:cs="TimesNewRomanPSMT"/>
          <w:sz w:val="22"/>
          <w:szCs w:val="22"/>
        </w:rPr>
      </w:pPr>
      <w:r w:rsidRPr="00896F22">
        <w:rPr>
          <w:rFonts w:ascii="Gill Sans MT" w:hAnsi="Gill Sans MT" w:cs="TimesNewRomanPSMT"/>
          <w:sz w:val="22"/>
          <w:szCs w:val="22"/>
        </w:rPr>
        <w:t xml:space="preserve">(1) </w:t>
      </w:r>
      <w:r w:rsidRPr="00896F22">
        <w:rPr>
          <w:rFonts w:ascii="Gill Sans MT" w:hAnsi="Gill Sans MT"/>
          <w:sz w:val="22"/>
          <w:szCs w:val="22"/>
        </w:rPr>
        <w:t xml:space="preserve">Příloha A – </w:t>
      </w:r>
      <w:r w:rsidRPr="00896F22">
        <w:rPr>
          <w:rFonts w:ascii="Gill Sans MT" w:hAnsi="Gill Sans MT"/>
          <w:sz w:val="22"/>
          <w:szCs w:val="22"/>
        </w:rPr>
        <w:tab/>
        <w:t xml:space="preserve">Množství a časový průběh odběru elektřiny </w:t>
      </w:r>
    </w:p>
    <w:p w:rsidR="00685878" w:rsidRPr="00896F22" w:rsidRDefault="00685878" w:rsidP="00685878">
      <w:pPr>
        <w:pStyle w:val="Zkladntext2"/>
        <w:spacing w:line="276" w:lineRule="auto"/>
        <w:ind w:left="426" w:hanging="436"/>
        <w:rPr>
          <w:rFonts w:ascii="Gill Sans MT" w:hAnsi="Gill Sans MT"/>
          <w:sz w:val="22"/>
          <w:szCs w:val="22"/>
        </w:rPr>
      </w:pPr>
      <w:r w:rsidRPr="00896F22">
        <w:rPr>
          <w:rFonts w:ascii="Gill Sans MT" w:hAnsi="Gill Sans MT" w:cs="TimesNewRomanPSMT"/>
          <w:sz w:val="22"/>
          <w:szCs w:val="22"/>
        </w:rPr>
        <w:t xml:space="preserve">(2) </w:t>
      </w:r>
      <w:r w:rsidRPr="00896F22">
        <w:rPr>
          <w:rFonts w:ascii="Gill Sans MT" w:hAnsi="Gill Sans MT"/>
          <w:sz w:val="22"/>
          <w:szCs w:val="22"/>
        </w:rPr>
        <w:t xml:space="preserve">Příloha </w:t>
      </w:r>
      <w:r>
        <w:rPr>
          <w:rFonts w:ascii="Gill Sans MT" w:hAnsi="Gill Sans MT"/>
          <w:sz w:val="22"/>
          <w:szCs w:val="22"/>
        </w:rPr>
        <w:t xml:space="preserve">B </w:t>
      </w:r>
      <w:r w:rsidRPr="00896F22">
        <w:rPr>
          <w:rFonts w:ascii="Gill Sans MT" w:hAnsi="Gill Sans MT"/>
          <w:sz w:val="22"/>
          <w:szCs w:val="22"/>
        </w:rPr>
        <w:t xml:space="preserve">– </w:t>
      </w:r>
      <w:r w:rsidRPr="00896F22">
        <w:rPr>
          <w:rFonts w:ascii="Gill Sans MT" w:hAnsi="Gill Sans MT"/>
          <w:sz w:val="22"/>
          <w:szCs w:val="22"/>
        </w:rPr>
        <w:tab/>
        <w:t>Cena dodávky elektřiny</w:t>
      </w:r>
    </w:p>
    <w:p w:rsidR="00685878" w:rsidRDefault="00685878" w:rsidP="00792942">
      <w:pPr>
        <w:pStyle w:val="Zkladntext2"/>
        <w:spacing w:before="120" w:after="120" w:line="276" w:lineRule="auto"/>
        <w:ind w:left="426" w:hanging="436"/>
        <w:rPr>
          <w:sz w:val="24"/>
          <w:szCs w:val="24"/>
        </w:rPr>
      </w:pPr>
      <w:r>
        <w:rPr>
          <w:sz w:val="24"/>
          <w:szCs w:val="24"/>
        </w:rPr>
        <w:t>Se nahrazuje textem:</w:t>
      </w:r>
    </w:p>
    <w:p w:rsidR="00792942" w:rsidRPr="0028512A" w:rsidRDefault="00792942" w:rsidP="00792942">
      <w:pPr>
        <w:pStyle w:val="Zkladntext2"/>
        <w:spacing w:before="120" w:after="120" w:line="276" w:lineRule="auto"/>
        <w:ind w:left="426" w:hanging="436"/>
        <w:rPr>
          <w:b/>
          <w:sz w:val="24"/>
          <w:szCs w:val="24"/>
        </w:rPr>
      </w:pPr>
      <w:r w:rsidRPr="0028512A">
        <w:rPr>
          <w:b/>
          <w:sz w:val="24"/>
          <w:szCs w:val="24"/>
        </w:rPr>
        <w:t xml:space="preserve">Nedílnou součástí Smlouvy jsou následující přílohy: </w:t>
      </w:r>
    </w:p>
    <w:p w:rsidR="00792942" w:rsidRPr="0028512A" w:rsidRDefault="00792942" w:rsidP="00792942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28512A">
        <w:rPr>
          <w:rFonts w:ascii="Times New Roman" w:hAnsi="Times New Roman" w:cs="Times New Roman"/>
          <w:b/>
        </w:rPr>
        <w:t>Výběrový list</w:t>
      </w:r>
    </w:p>
    <w:p w:rsidR="00792942" w:rsidRPr="0028512A" w:rsidRDefault="00792942" w:rsidP="00792942">
      <w:pPr>
        <w:pStyle w:val="Odstavecseseznamem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</w:rPr>
      </w:pPr>
      <w:r w:rsidRPr="0028512A">
        <w:rPr>
          <w:rFonts w:ascii="Times New Roman" w:hAnsi="Times New Roman" w:cs="Times New Roman"/>
          <w:b/>
        </w:rPr>
        <w:t>Obecné znění Smlouvy</w:t>
      </w:r>
    </w:p>
    <w:p w:rsidR="00792942" w:rsidRPr="0028512A" w:rsidRDefault="00792942" w:rsidP="00792942">
      <w:pPr>
        <w:pStyle w:val="Odstavecseseznamem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</w:rPr>
      </w:pPr>
      <w:r w:rsidRPr="0028512A">
        <w:rPr>
          <w:rFonts w:ascii="Times New Roman" w:hAnsi="Times New Roman" w:cs="Times New Roman"/>
          <w:b/>
        </w:rPr>
        <w:t>Příloha A Smlouvy – Množství a časový průběh odběru elektřiny</w:t>
      </w:r>
    </w:p>
    <w:p w:rsidR="00792942" w:rsidRPr="0028512A" w:rsidRDefault="00792942" w:rsidP="00792942">
      <w:pPr>
        <w:pStyle w:val="Zkladntext2"/>
        <w:numPr>
          <w:ilvl w:val="0"/>
          <w:numId w:val="3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28512A">
        <w:rPr>
          <w:b/>
          <w:sz w:val="24"/>
          <w:szCs w:val="24"/>
        </w:rPr>
        <w:t>Příloha B Smlouvy – Cena dodávky elektřiny</w:t>
      </w:r>
    </w:p>
    <w:p w:rsidR="00792942" w:rsidRPr="0028512A" w:rsidRDefault="00792942" w:rsidP="00792942">
      <w:pPr>
        <w:pStyle w:val="Zkladntext2"/>
        <w:numPr>
          <w:ilvl w:val="0"/>
          <w:numId w:val="3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28512A">
        <w:rPr>
          <w:b/>
          <w:sz w:val="24"/>
          <w:szCs w:val="24"/>
        </w:rPr>
        <w:t>Příloha C Smlouvy – Obchodní podmínky Zákazníka, vč. příloh</w:t>
      </w:r>
    </w:p>
    <w:p w:rsidR="00792942" w:rsidRPr="007044B2" w:rsidRDefault="00792942" w:rsidP="00792942">
      <w:pPr>
        <w:pStyle w:val="Odstavecseseznamem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:rsidR="00934EC6" w:rsidRPr="007044B2" w:rsidRDefault="002E6944" w:rsidP="002E6944">
      <w:pPr>
        <w:pStyle w:val="Odstavecseseznamem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bCs/>
        </w:rPr>
      </w:pPr>
      <w:r w:rsidRPr="007044B2">
        <w:rPr>
          <w:rFonts w:ascii="Times New Roman" w:hAnsi="Times New Roman" w:cs="Times New Roman"/>
          <w:b/>
        </w:rPr>
        <w:t>Článek XII</w:t>
      </w:r>
      <w:r w:rsidR="00792942" w:rsidRPr="007044B2">
        <w:rPr>
          <w:rFonts w:ascii="Times New Roman" w:hAnsi="Times New Roman" w:cs="Times New Roman"/>
          <w:b/>
        </w:rPr>
        <w:t xml:space="preserve"> Závěrečná ustanovení</w:t>
      </w:r>
      <w:r w:rsidRPr="007044B2">
        <w:rPr>
          <w:rFonts w:ascii="Times New Roman" w:hAnsi="Times New Roman" w:cs="Times New Roman"/>
          <w:b/>
        </w:rPr>
        <w:t>:</w:t>
      </w:r>
    </w:p>
    <w:p w:rsidR="00685878" w:rsidRPr="00685878" w:rsidRDefault="00685878" w:rsidP="00685878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685878">
        <w:rPr>
          <w:rFonts w:ascii="Times New Roman" w:hAnsi="Times New Roman" w:cs="Times New Roman"/>
        </w:rPr>
        <w:t>Text odst. 1.</w:t>
      </w:r>
      <w:r w:rsidR="0028512A">
        <w:rPr>
          <w:rFonts w:ascii="Times New Roman" w:hAnsi="Times New Roman" w:cs="Times New Roman"/>
        </w:rPr>
        <w:t>:</w:t>
      </w:r>
      <w:r w:rsidRPr="00685878">
        <w:rPr>
          <w:rFonts w:ascii="Times New Roman" w:hAnsi="Times New Roman" w:cs="Times New Roman"/>
        </w:rPr>
        <w:t xml:space="preserve"> </w:t>
      </w:r>
      <w:r w:rsidRPr="0028512A">
        <w:rPr>
          <w:rFonts w:ascii="Times New Roman" w:hAnsi="Times New Roman" w:cs="Times New Roman"/>
          <w:b/>
        </w:rPr>
        <w:t>„</w:t>
      </w:r>
      <w:r w:rsidR="00934EC6" w:rsidRPr="0028512A">
        <w:rPr>
          <w:rFonts w:ascii="Times New Roman" w:hAnsi="Times New Roman" w:cs="Times New Roman"/>
          <w:b/>
        </w:rPr>
        <w:t>Nestanoví-li dohoda Smluvních stran jinak, Smlouva nabývá platnosti dnem podpisu</w:t>
      </w:r>
      <w:r w:rsidRPr="0028512A">
        <w:rPr>
          <w:rFonts w:ascii="Times New Roman" w:hAnsi="Times New Roman" w:cs="Times New Roman"/>
          <w:b/>
        </w:rPr>
        <w:t>“ se nahrazuje textem: „Nestanoví-li dohoda Smluvních stran jinak, Smlouva nabývá platnosti dnem podpisu oběma Smluvními stranami a účinnosti zveřejněním v Registru smluv.</w:t>
      </w:r>
      <w:r w:rsidR="003E7031" w:rsidRPr="0028512A">
        <w:rPr>
          <w:rFonts w:ascii="Times New Roman" w:hAnsi="Times New Roman" w:cs="Times New Roman"/>
          <w:b/>
        </w:rPr>
        <w:t>“</w:t>
      </w:r>
    </w:p>
    <w:p w:rsidR="00F86AAE" w:rsidRPr="007044B2" w:rsidRDefault="00F86AAE" w:rsidP="00F86AAE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</w:p>
    <w:p w:rsidR="00F86AAE" w:rsidRPr="007044B2" w:rsidRDefault="003E7031" w:rsidP="003E70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3E7031">
        <w:rPr>
          <w:rFonts w:ascii="Times New Roman" w:hAnsi="Times New Roman" w:cs="Times New Roman"/>
        </w:rPr>
        <w:t>Text odst. 9.</w:t>
      </w:r>
      <w:r w:rsidR="0028512A">
        <w:rPr>
          <w:rFonts w:ascii="Times New Roman" w:hAnsi="Times New Roman" w:cs="Times New Roman"/>
        </w:rPr>
        <w:t>:</w:t>
      </w:r>
      <w:r w:rsidRPr="003E7031">
        <w:rPr>
          <w:rFonts w:ascii="Times New Roman" w:hAnsi="Times New Roman" w:cs="Times New Roman"/>
        </w:rPr>
        <w:t xml:space="preserve"> </w:t>
      </w:r>
      <w:r w:rsidRPr="0028512A">
        <w:rPr>
          <w:rFonts w:ascii="Times New Roman" w:hAnsi="Times New Roman" w:cs="Times New Roman"/>
          <w:b/>
        </w:rPr>
        <w:t>„Smluvní strany se zavazují jakoukoliv změnu Smlouvy provádět pouze formou písemných vzestupně číslovaných dodatků ke Smlouvě. Smlouva je sepsána ve dvou vyhotoveních s platností originálu, přičemž každá ze Smluvních stran obdrží jedno vyhotovení“ se nahrazuje textem „</w:t>
      </w:r>
      <w:r w:rsidR="00F86AAE" w:rsidRPr="0028512A">
        <w:rPr>
          <w:rFonts w:ascii="Times New Roman" w:hAnsi="Times New Roman" w:cs="Times New Roman"/>
          <w:b/>
        </w:rPr>
        <w:t>Smluvní strany se zavazují jakoukoliv změnu Smlouvy provádět pouze formou písemných vzestupně číslovaných dodatků ke Smlouvě. Smlouva je sepsána ve třech vyhotoveních s platností originálu, přičemž dvě vyhotovení obdrží Zákazník, jedno vyhotovení obdrží Obchodník</w:t>
      </w:r>
      <w:r w:rsidRPr="0028512A">
        <w:rPr>
          <w:rFonts w:ascii="Times New Roman" w:hAnsi="Times New Roman" w:cs="Times New Roman"/>
          <w:b/>
        </w:rPr>
        <w:t>“</w:t>
      </w:r>
      <w:r w:rsidR="00F86AAE" w:rsidRPr="0028512A">
        <w:rPr>
          <w:rFonts w:ascii="Times New Roman" w:hAnsi="Times New Roman" w:cs="Times New Roman"/>
          <w:b/>
        </w:rPr>
        <w:t>.</w:t>
      </w:r>
    </w:p>
    <w:p w:rsidR="00F86AAE" w:rsidRPr="007044B2" w:rsidRDefault="00F86AAE" w:rsidP="00152D16">
      <w:pPr>
        <w:jc w:val="both"/>
        <w:rPr>
          <w:rFonts w:ascii="Times New Roman" w:hAnsi="Times New Roman" w:cs="Times New Roman"/>
        </w:rPr>
      </w:pPr>
    </w:p>
    <w:p w:rsidR="00F86AAE" w:rsidRPr="0028512A" w:rsidRDefault="003E7031" w:rsidP="003E7031">
      <w:pPr>
        <w:pStyle w:val="Odstavecseseznamem"/>
        <w:spacing w:before="120" w:line="276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Doplňuje se odst. 11 tohoto znění: </w:t>
      </w:r>
      <w:r w:rsidRPr="0028512A">
        <w:rPr>
          <w:rFonts w:ascii="Times New Roman" w:hAnsi="Times New Roman" w:cs="Times New Roman"/>
          <w:b/>
        </w:rPr>
        <w:t>„</w:t>
      </w:r>
      <w:r w:rsidR="00F86AAE" w:rsidRPr="0028512A">
        <w:rPr>
          <w:rFonts w:ascii="Times New Roman" w:hAnsi="Times New Roman" w:cs="Times New Roman"/>
          <w:b/>
        </w:rPr>
        <w:t xml:space="preserve">Smluvní strany výslovně souhlasí s uveřejněním této smlouvy v jejím plném rozsahu včetně příloh a dodatků v Registru smluv Ministerstva vnitra ČR. Plněním povinnosti uveřejnit tuto smlouvu podle zákona č. 340/2015 Sb., </w:t>
      </w:r>
      <w:r w:rsidR="00BC4663">
        <w:rPr>
          <w:rFonts w:ascii="Times New Roman" w:hAnsi="Times New Roman" w:cs="Times New Roman"/>
          <w:b/>
        </w:rPr>
        <w:br/>
      </w:r>
      <w:r w:rsidR="00F86AAE" w:rsidRPr="0028512A">
        <w:rPr>
          <w:rFonts w:ascii="Times New Roman" w:hAnsi="Times New Roman" w:cs="Times New Roman"/>
          <w:b/>
        </w:rPr>
        <w:t xml:space="preserve">o registru smluv, je pověřen </w:t>
      </w:r>
      <w:r w:rsidR="0062188A" w:rsidRPr="0028512A">
        <w:rPr>
          <w:rFonts w:ascii="Times New Roman" w:hAnsi="Times New Roman" w:cs="Times New Roman"/>
          <w:b/>
        </w:rPr>
        <w:t>Objednatel</w:t>
      </w:r>
      <w:r w:rsidR="00F86AAE" w:rsidRPr="0028512A">
        <w:rPr>
          <w:rFonts w:ascii="Times New Roman" w:hAnsi="Times New Roman" w:cs="Times New Roman"/>
          <w:b/>
        </w:rPr>
        <w:t>.“</w:t>
      </w:r>
    </w:p>
    <w:p w:rsidR="00F86AAE" w:rsidRPr="007044B2" w:rsidRDefault="00F86AAE" w:rsidP="00152D16">
      <w:pPr>
        <w:jc w:val="both"/>
        <w:rPr>
          <w:rFonts w:ascii="Times New Roman" w:hAnsi="Times New Roman" w:cs="Times New Roman"/>
        </w:rPr>
      </w:pPr>
    </w:p>
    <w:p w:rsidR="00F86AAE" w:rsidRPr="007044B2" w:rsidRDefault="00F86AAE" w:rsidP="00F86AAE">
      <w:pPr>
        <w:pStyle w:val="Zkladntext"/>
        <w:jc w:val="both"/>
        <w:rPr>
          <w:b/>
        </w:rPr>
      </w:pPr>
      <w:r w:rsidRPr="007044B2">
        <w:rPr>
          <w:b/>
        </w:rPr>
        <w:t>Ostatní ustanovení Smlouvy zůstávají nezměněny.</w:t>
      </w:r>
    </w:p>
    <w:p w:rsidR="0028512A" w:rsidRDefault="0028512A" w:rsidP="00BC4663">
      <w:pPr>
        <w:pStyle w:val="Zkladntext"/>
        <w:rPr>
          <w:b/>
          <w:bCs/>
        </w:rPr>
      </w:pPr>
    </w:p>
    <w:p w:rsidR="00F86AAE" w:rsidRPr="007044B2" w:rsidRDefault="00F86AAE" w:rsidP="00F86AAE">
      <w:pPr>
        <w:pStyle w:val="Zkladntext"/>
        <w:jc w:val="center"/>
        <w:rPr>
          <w:b/>
          <w:bCs/>
        </w:rPr>
      </w:pPr>
      <w:r w:rsidRPr="007044B2">
        <w:rPr>
          <w:b/>
          <w:bCs/>
        </w:rPr>
        <w:t>II.</w:t>
      </w:r>
    </w:p>
    <w:p w:rsidR="00F86AAE" w:rsidRPr="007044B2" w:rsidRDefault="00F86AAE" w:rsidP="00BC4663">
      <w:pPr>
        <w:jc w:val="both"/>
        <w:rPr>
          <w:rFonts w:ascii="Times New Roman" w:hAnsi="Times New Roman" w:cs="Times New Roman"/>
        </w:rPr>
      </w:pPr>
      <w:r w:rsidRPr="007044B2">
        <w:rPr>
          <w:rFonts w:ascii="Times New Roman" w:hAnsi="Times New Roman" w:cs="Times New Roman"/>
        </w:rPr>
        <w:t>Tento dodatek nabývá platnosti dnem podpisu oběma smluvními stranami a účinnosti dnem uveřejnění v Registru smluv.</w:t>
      </w:r>
    </w:p>
    <w:p w:rsidR="00F86AAE" w:rsidRPr="007044B2" w:rsidRDefault="00F86AAE" w:rsidP="00BC4663">
      <w:pPr>
        <w:pStyle w:val="Odstavecseseznamem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7044B2">
        <w:rPr>
          <w:rFonts w:ascii="Times New Roman" w:hAnsi="Times New Roman" w:cs="Times New Roman"/>
        </w:rPr>
        <w:lastRenderedPageBreak/>
        <w:t>Dodatek je vyhotoven ve třech stejnopisech, přičemž dvě vyhotovení obdrží Zákazník, jedno vyhotovení obdrží Obchodník.</w:t>
      </w:r>
    </w:p>
    <w:p w:rsidR="00F86AAE" w:rsidRPr="007044B2" w:rsidRDefault="00F86AAE" w:rsidP="00F86AAE">
      <w:pPr>
        <w:spacing w:line="276" w:lineRule="auto"/>
        <w:ind w:left="426" w:hanging="436"/>
        <w:rPr>
          <w:rFonts w:ascii="Times New Roman" w:hAnsi="Times New Roman" w:cs="Times New Roman"/>
        </w:rPr>
      </w:pPr>
    </w:p>
    <w:p w:rsidR="00F86AAE" w:rsidRPr="007044B2" w:rsidRDefault="00F86AAE" w:rsidP="00F86AAE">
      <w:pPr>
        <w:spacing w:line="276" w:lineRule="auto"/>
        <w:ind w:left="426" w:hanging="436"/>
        <w:rPr>
          <w:rFonts w:ascii="Times New Roman" w:hAnsi="Times New Roman" w:cs="Times New Roman"/>
        </w:rPr>
      </w:pPr>
    </w:p>
    <w:p w:rsidR="00F86AAE" w:rsidRPr="007044B2" w:rsidRDefault="00F86AAE" w:rsidP="00F86AAE">
      <w:pPr>
        <w:spacing w:line="276" w:lineRule="auto"/>
        <w:ind w:left="426" w:hanging="436"/>
        <w:rPr>
          <w:rFonts w:ascii="Times New Roman" w:hAnsi="Times New Roman" w:cs="Times New Roman"/>
        </w:rPr>
      </w:pPr>
      <w:r w:rsidRPr="007044B2">
        <w:rPr>
          <w:rFonts w:ascii="Times New Roman" w:hAnsi="Times New Roman" w:cs="Times New Roman"/>
        </w:rPr>
        <w:t xml:space="preserve">V Praze dne </w:t>
      </w:r>
      <w:r w:rsidR="00026235">
        <w:rPr>
          <w:rFonts w:ascii="Times New Roman" w:hAnsi="Times New Roman" w:cs="Times New Roman"/>
        </w:rPr>
        <w:t>5. 1. 2017</w:t>
      </w:r>
      <w:r w:rsidR="00026235">
        <w:rPr>
          <w:rFonts w:ascii="Times New Roman" w:hAnsi="Times New Roman" w:cs="Times New Roman"/>
        </w:rPr>
        <w:tab/>
      </w:r>
      <w:r w:rsidR="00026235">
        <w:rPr>
          <w:rFonts w:ascii="Times New Roman" w:hAnsi="Times New Roman" w:cs="Times New Roman"/>
        </w:rPr>
        <w:tab/>
      </w:r>
      <w:r w:rsidR="00026235">
        <w:rPr>
          <w:rFonts w:ascii="Times New Roman" w:hAnsi="Times New Roman" w:cs="Times New Roman"/>
        </w:rPr>
        <w:tab/>
      </w:r>
      <w:r w:rsidR="00026235">
        <w:rPr>
          <w:rFonts w:ascii="Times New Roman" w:hAnsi="Times New Roman" w:cs="Times New Roman"/>
        </w:rPr>
        <w:tab/>
      </w:r>
      <w:r w:rsidRPr="007044B2">
        <w:rPr>
          <w:rFonts w:ascii="Times New Roman" w:hAnsi="Times New Roman" w:cs="Times New Roman"/>
        </w:rPr>
        <w:t xml:space="preserve">V Ostravě dne </w:t>
      </w:r>
      <w:r w:rsidR="00DC4AF9">
        <w:rPr>
          <w:rFonts w:ascii="Times New Roman" w:hAnsi="Times New Roman" w:cs="Times New Roman"/>
        </w:rPr>
        <w:t>19.1.2017</w:t>
      </w:r>
      <w:bookmarkStart w:id="0" w:name="_GoBack"/>
      <w:bookmarkEnd w:id="0"/>
      <w:r w:rsidRPr="007044B2">
        <w:rPr>
          <w:rFonts w:ascii="Times New Roman" w:hAnsi="Times New Roman" w:cs="Times New Roman"/>
        </w:rPr>
        <w:t xml:space="preserve"> </w:t>
      </w:r>
    </w:p>
    <w:p w:rsidR="00F86AAE" w:rsidRPr="007044B2" w:rsidRDefault="00F86AAE" w:rsidP="00F86AAE">
      <w:pPr>
        <w:spacing w:line="276" w:lineRule="auto"/>
        <w:ind w:left="426" w:hanging="436"/>
        <w:rPr>
          <w:rFonts w:ascii="Times New Roman" w:hAnsi="Times New Roman" w:cs="Times New Roman"/>
        </w:rPr>
      </w:pPr>
    </w:p>
    <w:p w:rsidR="00F86AAE" w:rsidRPr="007044B2" w:rsidRDefault="00F86AAE" w:rsidP="00F86AAE">
      <w:pPr>
        <w:spacing w:line="276" w:lineRule="auto"/>
        <w:ind w:left="426" w:hanging="436"/>
        <w:rPr>
          <w:rFonts w:ascii="Times New Roman" w:hAnsi="Times New Roman" w:cs="Times New Roman"/>
        </w:rPr>
      </w:pPr>
      <w:r w:rsidRPr="007044B2">
        <w:rPr>
          <w:rFonts w:ascii="Times New Roman" w:hAnsi="Times New Roman" w:cs="Times New Roman"/>
        </w:rPr>
        <w:t>Obchodník</w:t>
      </w:r>
      <w:r w:rsidR="00B24AA3" w:rsidRPr="007044B2">
        <w:rPr>
          <w:rFonts w:ascii="Times New Roman" w:hAnsi="Times New Roman" w:cs="Times New Roman"/>
        </w:rPr>
        <w:t>:</w:t>
      </w:r>
      <w:r w:rsidRPr="007044B2">
        <w:rPr>
          <w:rFonts w:ascii="Times New Roman" w:hAnsi="Times New Roman" w:cs="Times New Roman"/>
        </w:rPr>
        <w:tab/>
      </w:r>
      <w:r w:rsidRPr="007044B2">
        <w:rPr>
          <w:rFonts w:ascii="Times New Roman" w:hAnsi="Times New Roman" w:cs="Times New Roman"/>
        </w:rPr>
        <w:tab/>
      </w:r>
      <w:r w:rsidRPr="007044B2">
        <w:rPr>
          <w:rFonts w:ascii="Times New Roman" w:hAnsi="Times New Roman" w:cs="Times New Roman"/>
        </w:rPr>
        <w:tab/>
      </w:r>
      <w:r w:rsidRPr="007044B2">
        <w:rPr>
          <w:rFonts w:ascii="Times New Roman" w:hAnsi="Times New Roman" w:cs="Times New Roman"/>
        </w:rPr>
        <w:tab/>
      </w:r>
      <w:r w:rsidRPr="007044B2">
        <w:rPr>
          <w:rFonts w:ascii="Times New Roman" w:hAnsi="Times New Roman" w:cs="Times New Roman"/>
        </w:rPr>
        <w:tab/>
      </w:r>
      <w:r w:rsidRPr="007044B2">
        <w:rPr>
          <w:rFonts w:ascii="Times New Roman" w:hAnsi="Times New Roman" w:cs="Times New Roman"/>
        </w:rPr>
        <w:tab/>
        <w:t>Zákazník</w:t>
      </w:r>
      <w:r w:rsidR="00B24AA3" w:rsidRPr="007044B2">
        <w:rPr>
          <w:rFonts w:ascii="Times New Roman" w:hAnsi="Times New Roman" w:cs="Times New Roman"/>
        </w:rPr>
        <w:t>:</w:t>
      </w:r>
      <w:r w:rsidRPr="007044B2">
        <w:rPr>
          <w:rFonts w:ascii="Times New Roman" w:hAnsi="Times New Roman" w:cs="Times New Roman"/>
        </w:rPr>
        <w:t xml:space="preserve"> </w:t>
      </w:r>
    </w:p>
    <w:p w:rsidR="00F86AAE" w:rsidRPr="007044B2" w:rsidRDefault="00F86AAE" w:rsidP="00F86AAE">
      <w:pPr>
        <w:pStyle w:val="Zkladntext2"/>
        <w:spacing w:line="276" w:lineRule="auto"/>
        <w:ind w:left="426" w:hanging="436"/>
        <w:rPr>
          <w:sz w:val="24"/>
          <w:szCs w:val="24"/>
        </w:rPr>
      </w:pPr>
    </w:p>
    <w:p w:rsidR="00F86AAE" w:rsidRPr="007044B2" w:rsidRDefault="00F86AAE" w:rsidP="00F86AAE">
      <w:pPr>
        <w:pStyle w:val="Zkladntext2"/>
        <w:spacing w:line="276" w:lineRule="auto"/>
        <w:ind w:left="426" w:hanging="436"/>
        <w:rPr>
          <w:sz w:val="24"/>
          <w:szCs w:val="24"/>
        </w:rPr>
      </w:pPr>
    </w:p>
    <w:p w:rsidR="00F86AAE" w:rsidRPr="007044B2" w:rsidRDefault="00F86AAE" w:rsidP="00F86AAE">
      <w:pPr>
        <w:pStyle w:val="Zkladntext2"/>
        <w:spacing w:line="276" w:lineRule="auto"/>
        <w:ind w:left="426" w:hanging="436"/>
        <w:jc w:val="both"/>
        <w:rPr>
          <w:sz w:val="24"/>
          <w:szCs w:val="24"/>
        </w:rPr>
      </w:pPr>
    </w:p>
    <w:p w:rsidR="00F86AAE" w:rsidRPr="007044B2" w:rsidRDefault="00F86AAE" w:rsidP="007044B2">
      <w:pPr>
        <w:pStyle w:val="Zkladntext2"/>
        <w:spacing w:line="276" w:lineRule="auto"/>
        <w:ind w:left="426" w:firstLine="282"/>
        <w:jc w:val="both"/>
        <w:rPr>
          <w:sz w:val="24"/>
          <w:szCs w:val="24"/>
        </w:rPr>
      </w:pPr>
      <w:r w:rsidRPr="007044B2">
        <w:rPr>
          <w:sz w:val="24"/>
          <w:szCs w:val="24"/>
        </w:rPr>
        <w:t>…………………………………</w:t>
      </w:r>
      <w:r w:rsidRPr="007044B2">
        <w:rPr>
          <w:sz w:val="24"/>
          <w:szCs w:val="24"/>
        </w:rPr>
        <w:tab/>
      </w:r>
      <w:r w:rsidRPr="007044B2">
        <w:rPr>
          <w:sz w:val="24"/>
          <w:szCs w:val="24"/>
        </w:rPr>
        <w:tab/>
        <w:t>…………………………………</w:t>
      </w:r>
      <w:r w:rsidR="00B24AA3" w:rsidRPr="007044B2">
        <w:rPr>
          <w:sz w:val="24"/>
          <w:szCs w:val="24"/>
        </w:rPr>
        <w:t>……….</w:t>
      </w:r>
      <w:r w:rsidRPr="007044B2">
        <w:rPr>
          <w:sz w:val="24"/>
          <w:szCs w:val="24"/>
        </w:rPr>
        <w:t xml:space="preserve">       </w:t>
      </w:r>
    </w:p>
    <w:p w:rsidR="00F86AAE" w:rsidRPr="007044B2" w:rsidRDefault="00F86AAE" w:rsidP="00F86AAE">
      <w:pPr>
        <w:autoSpaceDE w:val="0"/>
        <w:autoSpaceDN w:val="0"/>
        <w:adjustRightInd w:val="0"/>
        <w:spacing w:line="276" w:lineRule="auto"/>
        <w:ind w:left="852" w:firstLine="564"/>
        <w:rPr>
          <w:rFonts w:ascii="Times New Roman" w:hAnsi="Times New Roman" w:cs="Times New Roman"/>
        </w:rPr>
      </w:pPr>
      <w:r w:rsidRPr="007044B2">
        <w:rPr>
          <w:rFonts w:ascii="Times New Roman" w:hAnsi="Times New Roman" w:cs="Times New Roman"/>
        </w:rPr>
        <w:t xml:space="preserve"> Ladislava Smolíková</w:t>
      </w:r>
      <w:r w:rsidRPr="007044B2">
        <w:rPr>
          <w:rFonts w:ascii="Times New Roman" w:hAnsi="Times New Roman" w:cs="Times New Roman"/>
        </w:rPr>
        <w:tab/>
        <w:t xml:space="preserve">       </w:t>
      </w:r>
      <w:r w:rsidR="00B24AA3" w:rsidRPr="007044B2">
        <w:rPr>
          <w:rFonts w:ascii="Times New Roman" w:hAnsi="Times New Roman" w:cs="Times New Roman"/>
        </w:rPr>
        <w:tab/>
      </w:r>
      <w:r w:rsidR="00B24AA3" w:rsidRPr="007044B2">
        <w:rPr>
          <w:rFonts w:ascii="Times New Roman" w:hAnsi="Times New Roman" w:cs="Times New Roman"/>
        </w:rPr>
        <w:tab/>
      </w:r>
      <w:r w:rsidR="00B24AA3" w:rsidRPr="007044B2">
        <w:rPr>
          <w:rFonts w:ascii="Times New Roman" w:hAnsi="Times New Roman" w:cs="Times New Roman"/>
        </w:rPr>
        <w:tab/>
        <w:t xml:space="preserve">     </w:t>
      </w:r>
      <w:r w:rsidRPr="007044B2">
        <w:rPr>
          <w:rFonts w:ascii="Times New Roman" w:hAnsi="Times New Roman" w:cs="Times New Roman"/>
        </w:rPr>
        <w:t xml:space="preserve">JUDr. Petr Vaněk, Ph.D.               </w:t>
      </w:r>
    </w:p>
    <w:p w:rsidR="00F86AAE" w:rsidRPr="007044B2" w:rsidRDefault="00F86AAE" w:rsidP="00F86AA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7044B2">
        <w:rPr>
          <w:rFonts w:ascii="Times New Roman" w:hAnsi="Times New Roman" w:cs="Times New Roman"/>
        </w:rPr>
        <w:t xml:space="preserve"> vedoucí oddělení podpory prodeje podnikatelům</w:t>
      </w:r>
      <w:r w:rsidRPr="007044B2">
        <w:rPr>
          <w:rFonts w:ascii="Times New Roman" w:hAnsi="Times New Roman" w:cs="Times New Roman"/>
        </w:rPr>
        <w:tab/>
      </w:r>
      <w:r w:rsidR="00B24AA3" w:rsidRPr="007044B2">
        <w:rPr>
          <w:rFonts w:ascii="Times New Roman" w:hAnsi="Times New Roman" w:cs="Times New Roman"/>
        </w:rPr>
        <w:t xml:space="preserve">      </w:t>
      </w:r>
      <w:r w:rsidR="00B24AA3" w:rsidRPr="007044B2">
        <w:rPr>
          <w:rFonts w:ascii="Times New Roman" w:hAnsi="Times New Roman" w:cs="Times New Roman"/>
        </w:rPr>
        <w:tab/>
        <w:t xml:space="preserve">       </w:t>
      </w:r>
      <w:r w:rsidRPr="007044B2">
        <w:rPr>
          <w:rFonts w:ascii="Times New Roman" w:hAnsi="Times New Roman" w:cs="Times New Roman"/>
        </w:rPr>
        <w:t xml:space="preserve">    generální ředitel</w:t>
      </w:r>
    </w:p>
    <w:p w:rsidR="00F86AAE" w:rsidRPr="007044B2" w:rsidRDefault="00F86AAE" w:rsidP="00B24AA3">
      <w:pPr>
        <w:pStyle w:val="Nzev"/>
        <w:jc w:val="left"/>
        <w:rPr>
          <w:sz w:val="24"/>
          <w:szCs w:val="24"/>
        </w:rPr>
      </w:pPr>
      <w:r w:rsidRPr="007044B2">
        <w:rPr>
          <w:sz w:val="24"/>
          <w:szCs w:val="24"/>
        </w:rPr>
        <w:tab/>
      </w:r>
      <w:r w:rsidR="00B24AA3" w:rsidRPr="007044B2">
        <w:rPr>
          <w:sz w:val="24"/>
          <w:szCs w:val="24"/>
        </w:rPr>
        <w:t xml:space="preserve">         Pražská plynárenská, a.s.</w:t>
      </w:r>
      <w:r w:rsidRPr="007044B2">
        <w:rPr>
          <w:sz w:val="24"/>
          <w:szCs w:val="24"/>
        </w:rPr>
        <w:tab/>
      </w:r>
      <w:r w:rsidRPr="007044B2">
        <w:rPr>
          <w:sz w:val="24"/>
          <w:szCs w:val="24"/>
        </w:rPr>
        <w:tab/>
      </w:r>
      <w:r w:rsidR="00B24AA3" w:rsidRPr="007044B2">
        <w:rPr>
          <w:sz w:val="24"/>
          <w:szCs w:val="24"/>
        </w:rPr>
        <w:t xml:space="preserve">    </w:t>
      </w:r>
      <w:r w:rsidRPr="007044B2">
        <w:rPr>
          <w:sz w:val="24"/>
          <w:szCs w:val="24"/>
        </w:rPr>
        <w:t>České průmyslové zdravotní pojišťovny</w:t>
      </w:r>
    </w:p>
    <w:sectPr w:rsidR="00F86AAE" w:rsidRPr="0070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60BB2"/>
    <w:multiLevelType w:val="hybridMultilevel"/>
    <w:tmpl w:val="FE62BB46"/>
    <w:lvl w:ilvl="0" w:tplc="7C901E54">
      <w:start w:val="9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B024A"/>
    <w:multiLevelType w:val="hybridMultilevel"/>
    <w:tmpl w:val="B3FAF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B6792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E2594"/>
    <w:multiLevelType w:val="hybridMultilevel"/>
    <w:tmpl w:val="C62E7FB6"/>
    <w:lvl w:ilvl="0" w:tplc="0936BD5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16"/>
    <w:rsid w:val="00026235"/>
    <w:rsid w:val="00152D16"/>
    <w:rsid w:val="0028512A"/>
    <w:rsid w:val="002952EA"/>
    <w:rsid w:val="002E6944"/>
    <w:rsid w:val="00300CBB"/>
    <w:rsid w:val="003263D4"/>
    <w:rsid w:val="00344ED8"/>
    <w:rsid w:val="00352086"/>
    <w:rsid w:val="003E7031"/>
    <w:rsid w:val="00401B81"/>
    <w:rsid w:val="0042734B"/>
    <w:rsid w:val="004516F9"/>
    <w:rsid w:val="0062188A"/>
    <w:rsid w:val="00634A48"/>
    <w:rsid w:val="00685878"/>
    <w:rsid w:val="007044B2"/>
    <w:rsid w:val="00792942"/>
    <w:rsid w:val="00934EC6"/>
    <w:rsid w:val="00940EDC"/>
    <w:rsid w:val="00AD4C70"/>
    <w:rsid w:val="00B24AA3"/>
    <w:rsid w:val="00BB6DBE"/>
    <w:rsid w:val="00BC4663"/>
    <w:rsid w:val="00DC4AF9"/>
    <w:rsid w:val="00E45FDB"/>
    <w:rsid w:val="00F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D539C-0D8C-413E-A5DF-A1821B17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D1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2D1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2D16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qFormat/>
    <w:rsid w:val="00152D16"/>
    <w:pPr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zevChar">
    <w:name w:val="Název Char"/>
    <w:basedOn w:val="Standardnpsmoodstavce"/>
    <w:link w:val="Nzev"/>
    <w:rsid w:val="00152D16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152D1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792942"/>
    <w:rPr>
      <w:rFonts w:ascii="Times New Roman" w:eastAsia="Calibri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9294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86AAE"/>
    <w:pPr>
      <w:spacing w:after="120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F86A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87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acecpzp@cpz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 Jiří</dc:creator>
  <cp:lastModifiedBy>Nováková Jitka</cp:lastModifiedBy>
  <cp:revision>6</cp:revision>
  <cp:lastPrinted>2016-12-27T11:14:00Z</cp:lastPrinted>
  <dcterms:created xsi:type="dcterms:W3CDTF">2017-01-04T13:44:00Z</dcterms:created>
  <dcterms:modified xsi:type="dcterms:W3CDTF">2017-01-23T07:58:00Z</dcterms:modified>
</cp:coreProperties>
</file>