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02" w:rsidRDefault="00186202" w:rsidP="007B3171">
      <w:pPr>
        <w:spacing w:after="0"/>
        <w:rPr>
          <w:rFonts w:cs="Arial"/>
          <w:b/>
          <w:szCs w:val="20"/>
        </w:rPr>
      </w:pPr>
    </w:p>
    <w:p w:rsidR="00670E03" w:rsidRPr="00944D28" w:rsidRDefault="00670E03" w:rsidP="00670E03">
      <w:pPr>
        <w:pStyle w:val="Zhlav"/>
        <w:ind w:left="1276"/>
      </w:pPr>
    </w:p>
    <w:p w:rsidR="00420D7F" w:rsidRPr="00C77DC4" w:rsidRDefault="00420D7F" w:rsidP="00420D7F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8F3E676D99E04794B49A3B541AC60B1C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0"/>
    </w:p>
    <w:p w:rsidR="00420D7F" w:rsidRPr="00C77DC4" w:rsidRDefault="00420D7F" w:rsidP="00420D7F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>
        <w:rPr>
          <w:sz w:val="14"/>
          <w:szCs w:val="14"/>
        </w:rPr>
        <w:t xml:space="preserve"> SMK/000269/2024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EDE9CBAE4597409FAC9FBF3CEC1271A3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1"/>
    </w:p>
    <w:p w:rsidR="00420D7F" w:rsidRPr="00C77DC4" w:rsidRDefault="00420D7F" w:rsidP="00420D7F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>
        <w:rPr>
          <w:sz w:val="14"/>
          <w:szCs w:val="14"/>
        </w:rPr>
        <w:t xml:space="preserve"> SML/0017/2024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0E76E3E0AECD46299012EE5AAB8D6473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</w:p>
    <w:p w:rsidR="00420D7F" w:rsidRPr="00944D28" w:rsidRDefault="00420D7F" w:rsidP="00420D7F">
      <w:pPr>
        <w:pStyle w:val="Zhlav"/>
        <w:ind w:left="1276"/>
      </w:pPr>
    </w:p>
    <w:p w:rsidR="00420D7F" w:rsidRPr="00944D28" w:rsidRDefault="00420D7F" w:rsidP="00420D7F">
      <w:pPr>
        <w:pStyle w:val="Zhlav"/>
        <w:ind w:left="1276"/>
      </w:pPr>
    </w:p>
    <w:p w:rsidR="00420D7F" w:rsidRDefault="00420D7F" w:rsidP="00420D7F">
      <w:pPr>
        <w:pStyle w:val="Zhlav"/>
        <w:ind w:left="1276"/>
        <w:jc w:val="center"/>
        <w:rPr>
          <w:sz w:val="24"/>
        </w:rPr>
      </w:pPr>
    </w:p>
    <w:p w:rsidR="00420D7F" w:rsidRPr="00B87076" w:rsidRDefault="00420D7F" w:rsidP="00420D7F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:rsidR="00420D7F" w:rsidRDefault="00420D7F" w:rsidP="00420D7F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:rsidR="00420D7F" w:rsidRPr="00B87076" w:rsidRDefault="00420D7F" w:rsidP="00420D7F">
      <w:pPr>
        <w:spacing w:after="0"/>
        <w:jc w:val="center"/>
        <w:rPr>
          <w:rFonts w:cs="Arial"/>
          <w:b/>
          <w:sz w:val="24"/>
          <w:szCs w:val="24"/>
        </w:rPr>
      </w:pPr>
    </w:p>
    <w:p w:rsidR="00420D7F" w:rsidRPr="0077307C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</w:rPr>
      </w:pPr>
    </w:p>
    <w:p w:rsidR="00420D7F" w:rsidRPr="00C97CE6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:rsidR="00420D7F" w:rsidRPr="004F6FE8" w:rsidRDefault="00420D7F" w:rsidP="00420D7F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:rsidR="00420D7F" w:rsidRPr="004F6FE8" w:rsidRDefault="00420D7F" w:rsidP="00420D7F">
      <w:pPr>
        <w:spacing w:after="0"/>
        <w:rPr>
          <w:rFonts w:cs="Arial"/>
          <w:b/>
        </w:rPr>
      </w:pPr>
    </w:p>
    <w:p w:rsidR="00420D7F" w:rsidRPr="00AF5F65" w:rsidRDefault="00420D7F" w:rsidP="00420D7F">
      <w:pPr>
        <w:spacing w:after="0"/>
        <w:rPr>
          <w:rFonts w:cs="Arial"/>
          <w:b/>
          <w:szCs w:val="20"/>
        </w:rPr>
      </w:pPr>
      <w:r w:rsidRPr="00AF5F65">
        <w:rPr>
          <w:rFonts w:cs="Arial"/>
          <w:szCs w:val="20"/>
        </w:rPr>
        <w:t>poskytovatel:</w:t>
      </w:r>
      <w:r w:rsidRPr="00AF5F65">
        <w:rPr>
          <w:rFonts w:cs="Arial"/>
          <w:b/>
          <w:szCs w:val="20"/>
        </w:rPr>
        <w:tab/>
      </w:r>
      <w:r w:rsidRPr="00AF5F65">
        <w:rPr>
          <w:rFonts w:cs="Arial"/>
          <w:b/>
          <w:szCs w:val="20"/>
        </w:rPr>
        <w:tab/>
      </w:r>
      <w:r w:rsidRPr="00AF5F65">
        <w:rPr>
          <w:rFonts w:cs="Arial"/>
          <w:b/>
          <w:szCs w:val="20"/>
        </w:rPr>
        <w:tab/>
        <w:t>statutární město Karviná</w:t>
      </w:r>
    </w:p>
    <w:p w:rsidR="00420D7F" w:rsidRDefault="00420D7F" w:rsidP="00420D7F">
      <w:pPr>
        <w:spacing w:after="0"/>
        <w:rPr>
          <w:rFonts w:cs="Arial"/>
          <w:szCs w:val="20"/>
        </w:rPr>
      </w:pPr>
      <w:r w:rsidRPr="00AF5F65">
        <w:rPr>
          <w:rFonts w:cs="Arial"/>
          <w:szCs w:val="20"/>
        </w:rPr>
        <w:t>zastoupen:</w:t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  <w:t xml:space="preserve">Ing. Janem </w:t>
      </w:r>
      <w:proofErr w:type="gramStart"/>
      <w:r w:rsidRPr="00AF5F65">
        <w:rPr>
          <w:rFonts w:cs="Arial"/>
          <w:szCs w:val="20"/>
        </w:rPr>
        <w:t>Wolfem,  primátorem</w:t>
      </w:r>
      <w:proofErr w:type="gramEnd"/>
      <w:r w:rsidRPr="00AF5F65">
        <w:rPr>
          <w:rFonts w:cs="Arial"/>
          <w:szCs w:val="20"/>
        </w:rPr>
        <w:t xml:space="preserve"> města </w:t>
      </w:r>
    </w:p>
    <w:p w:rsidR="00420D7F" w:rsidRDefault="00420D7F" w:rsidP="00420D7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k podpisu smlouvy oprávněna na základě pověření ze dne </w:t>
      </w:r>
      <w:proofErr w:type="gramStart"/>
      <w:r>
        <w:rPr>
          <w:rFonts w:cs="Arial"/>
          <w:szCs w:val="20"/>
        </w:rPr>
        <w:t>01.12.2022</w:t>
      </w:r>
      <w:proofErr w:type="gramEnd"/>
      <w:r>
        <w:rPr>
          <w:rFonts w:cs="Arial"/>
          <w:szCs w:val="20"/>
        </w:rPr>
        <w:t xml:space="preserve"> Ing. Martina Šrámková, MPA, vedoucí Odboru školství a rozvoje Magistrátu města Karviné</w:t>
      </w:r>
    </w:p>
    <w:p w:rsidR="00420D7F" w:rsidRPr="00AF5F65" w:rsidRDefault="00420D7F" w:rsidP="00420D7F">
      <w:pPr>
        <w:spacing w:after="0"/>
        <w:rPr>
          <w:rFonts w:cs="Arial"/>
          <w:szCs w:val="20"/>
        </w:rPr>
      </w:pPr>
      <w:r w:rsidRPr="00AF5F65">
        <w:rPr>
          <w:rFonts w:cs="Arial"/>
          <w:szCs w:val="20"/>
        </w:rPr>
        <w:t>sídlo:</w:t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</w:r>
      <w:r w:rsidRPr="00AF5F65">
        <w:rPr>
          <w:rFonts w:cs="Arial"/>
          <w:szCs w:val="20"/>
        </w:rPr>
        <w:tab/>
        <w:t>Fryštátská 72/1, 733 24 Karviná-Fryštát</w:t>
      </w:r>
    </w:p>
    <w:p w:rsidR="00420D7F" w:rsidRPr="00AF5F65" w:rsidRDefault="00420D7F" w:rsidP="00420D7F">
      <w:pPr>
        <w:spacing w:after="0"/>
        <w:rPr>
          <w:rFonts w:cs="Arial"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IČ:</w:t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  <w:t>00297534</w:t>
      </w:r>
    </w:p>
    <w:p w:rsidR="00420D7F" w:rsidRPr="00AF5F65" w:rsidRDefault="00420D7F" w:rsidP="00420D7F">
      <w:pPr>
        <w:spacing w:after="0"/>
        <w:rPr>
          <w:rFonts w:cs="Arial"/>
          <w:b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DIČ:</w:t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zCs w:val="20"/>
        </w:rPr>
        <w:tab/>
        <w:t>CZ00297534</w:t>
      </w:r>
    </w:p>
    <w:p w:rsidR="00420D7F" w:rsidRPr="00AF5F65" w:rsidRDefault="00420D7F" w:rsidP="00420D7F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AF5F65">
        <w:rPr>
          <w:rFonts w:cs="Arial"/>
          <w:color w:val="000000" w:themeColor="text1"/>
          <w:szCs w:val="20"/>
        </w:rPr>
        <w:t>číslo účtu:</w:t>
      </w:r>
      <w:r w:rsidRPr="00AF5F65">
        <w:rPr>
          <w:rFonts w:cs="Arial"/>
          <w:color w:val="000000" w:themeColor="text1"/>
          <w:szCs w:val="20"/>
        </w:rPr>
        <w:tab/>
      </w:r>
      <w:r w:rsidRPr="00AF5F65">
        <w:rPr>
          <w:rFonts w:cs="Arial"/>
          <w:color w:val="000000" w:themeColor="text1"/>
          <w:spacing w:val="-2"/>
          <w:szCs w:val="20"/>
        </w:rPr>
        <w:t>27-1721542349/0800</w:t>
      </w:r>
    </w:p>
    <w:p w:rsidR="00420D7F" w:rsidRPr="00AF5F65" w:rsidRDefault="00420D7F" w:rsidP="00420D7F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AF5F65">
        <w:rPr>
          <w:rFonts w:cs="Arial"/>
          <w:color w:val="000000" w:themeColor="text1"/>
          <w:spacing w:val="-2"/>
          <w:szCs w:val="20"/>
        </w:rPr>
        <w:t>bankovní spojení:</w:t>
      </w:r>
      <w:r w:rsidRPr="00AF5F65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:rsidR="00420D7F" w:rsidRPr="00AF5F65" w:rsidRDefault="00420D7F" w:rsidP="00420D7F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:rsidR="00420D7F" w:rsidRPr="00AF5F65" w:rsidRDefault="00420D7F" w:rsidP="00420D7F">
      <w:pPr>
        <w:spacing w:after="0"/>
        <w:rPr>
          <w:rFonts w:cs="Arial"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(dále jen „poskytovatel“)</w:t>
      </w:r>
    </w:p>
    <w:p w:rsidR="00420D7F" w:rsidRPr="00AF5F65" w:rsidRDefault="00420D7F" w:rsidP="00420D7F">
      <w:pPr>
        <w:spacing w:after="0"/>
        <w:rPr>
          <w:rFonts w:cs="Arial"/>
          <w:b/>
          <w:color w:val="000000" w:themeColor="text1"/>
          <w:szCs w:val="20"/>
        </w:rPr>
      </w:pPr>
      <w:r w:rsidRPr="00AF5F65">
        <w:rPr>
          <w:rFonts w:cs="Arial"/>
          <w:b/>
          <w:color w:val="000000" w:themeColor="text1"/>
          <w:szCs w:val="20"/>
        </w:rPr>
        <w:t> </w:t>
      </w:r>
    </w:p>
    <w:p w:rsidR="00420D7F" w:rsidRPr="00AF5F65" w:rsidRDefault="00420D7F" w:rsidP="00420D7F">
      <w:pPr>
        <w:spacing w:after="0"/>
        <w:rPr>
          <w:rFonts w:cs="Arial"/>
          <w:color w:val="000000" w:themeColor="text1"/>
          <w:szCs w:val="20"/>
        </w:rPr>
      </w:pPr>
      <w:r w:rsidRPr="00AF5F65">
        <w:rPr>
          <w:rFonts w:cs="Arial"/>
          <w:color w:val="000000" w:themeColor="text1"/>
          <w:szCs w:val="20"/>
        </w:rPr>
        <w:t>a</w:t>
      </w:r>
    </w:p>
    <w:p w:rsidR="00420D7F" w:rsidRPr="002E2A5F" w:rsidRDefault="00420D7F" w:rsidP="00420D7F">
      <w:pPr>
        <w:spacing w:after="0" w:line="240" w:lineRule="auto"/>
        <w:ind w:left="2124" w:hanging="2124"/>
        <w:rPr>
          <w:rFonts w:cs="Arial"/>
          <w:b/>
          <w:szCs w:val="20"/>
        </w:rPr>
      </w:pPr>
      <w:r w:rsidRPr="002E2A5F">
        <w:rPr>
          <w:rFonts w:cs="Arial"/>
          <w:color w:val="000000" w:themeColor="text1"/>
          <w:szCs w:val="20"/>
        </w:rPr>
        <w:t>příjemce:</w:t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b/>
          <w:color w:val="000000" w:themeColor="text1"/>
          <w:szCs w:val="20"/>
        </w:rPr>
        <w:t>MFK Karviná a.s.</w:t>
      </w:r>
    </w:p>
    <w:p w:rsidR="00420D7F" w:rsidRPr="002E2A5F" w:rsidRDefault="00420D7F" w:rsidP="00420D7F">
      <w:pPr>
        <w:pStyle w:val="Normln0"/>
        <w:tabs>
          <w:tab w:val="num" w:pos="426"/>
          <w:tab w:val="left" w:pos="2835"/>
        </w:tabs>
        <w:spacing w:line="240" w:lineRule="auto"/>
        <w:ind w:left="2832" w:hanging="2832"/>
        <w:jc w:val="both"/>
        <w:rPr>
          <w:rFonts w:ascii="Arial" w:hAnsi="Arial" w:cs="Arial"/>
          <w:i/>
          <w:sz w:val="20"/>
        </w:rPr>
      </w:pPr>
      <w:r w:rsidRPr="002E2A5F">
        <w:rPr>
          <w:rFonts w:ascii="Arial" w:hAnsi="Arial" w:cs="Arial"/>
          <w:color w:val="000000" w:themeColor="text1"/>
          <w:sz w:val="20"/>
        </w:rPr>
        <w:t>zapsán:</w:t>
      </w:r>
      <w:r w:rsidRPr="002E2A5F">
        <w:rPr>
          <w:rFonts w:ascii="Arial" w:hAnsi="Arial" w:cs="Arial"/>
          <w:b/>
          <w:color w:val="000000" w:themeColor="text1"/>
          <w:sz w:val="20"/>
        </w:rPr>
        <w:tab/>
      </w:r>
      <w:r w:rsidRPr="002E2A5F">
        <w:rPr>
          <w:rFonts w:ascii="Arial" w:hAnsi="Arial" w:cs="Arial"/>
          <w:b/>
          <w:color w:val="000000" w:themeColor="text1"/>
          <w:sz w:val="20"/>
        </w:rPr>
        <w:tab/>
      </w:r>
      <w:r w:rsidRPr="002E2A5F">
        <w:rPr>
          <w:rFonts w:ascii="Arial" w:hAnsi="Arial" w:cs="Arial"/>
          <w:sz w:val="20"/>
        </w:rPr>
        <w:t xml:space="preserve">u Krajského soudu v Ostravě, spisová značka B 3202 </w:t>
      </w:r>
      <w:r w:rsidRPr="002E2A5F">
        <w:rPr>
          <w:rFonts w:ascii="Arial" w:hAnsi="Arial" w:cs="Arial"/>
          <w:i/>
          <w:sz w:val="20"/>
        </w:rPr>
        <w:t xml:space="preserve"> </w:t>
      </w:r>
    </w:p>
    <w:p w:rsidR="00420D7F" w:rsidRPr="002E2A5F" w:rsidRDefault="00420D7F" w:rsidP="00420D7F">
      <w:pPr>
        <w:spacing w:after="0" w:line="240" w:lineRule="auto"/>
        <w:rPr>
          <w:rFonts w:cs="Arial"/>
          <w:color w:val="000000" w:themeColor="text1"/>
          <w:szCs w:val="20"/>
        </w:rPr>
      </w:pPr>
      <w:r w:rsidRPr="002E2A5F">
        <w:rPr>
          <w:rFonts w:cs="Arial"/>
          <w:color w:val="000000" w:themeColor="text1"/>
          <w:szCs w:val="20"/>
        </w:rPr>
        <w:t>zastoupen:</w:t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  <w:t>Petrem Hortem, členem představenstva</w:t>
      </w:r>
    </w:p>
    <w:p w:rsidR="00420D7F" w:rsidRPr="002E2A5F" w:rsidRDefault="00420D7F" w:rsidP="00420D7F">
      <w:pPr>
        <w:spacing w:after="0" w:line="240" w:lineRule="auto"/>
        <w:rPr>
          <w:rFonts w:cs="Arial"/>
          <w:color w:val="000000" w:themeColor="text1"/>
          <w:szCs w:val="20"/>
        </w:rPr>
      </w:pPr>
      <w:r w:rsidRPr="002E2A5F">
        <w:rPr>
          <w:rFonts w:cs="Arial"/>
          <w:color w:val="000000" w:themeColor="text1"/>
          <w:szCs w:val="20"/>
        </w:rPr>
        <w:t>sídlo:</w:t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  <w:t xml:space="preserve"> </w:t>
      </w:r>
      <w:r w:rsidRPr="002E2A5F">
        <w:rPr>
          <w:rFonts w:cs="Arial"/>
          <w:color w:val="000000" w:themeColor="text1"/>
          <w:szCs w:val="20"/>
        </w:rPr>
        <w:tab/>
        <w:t>Karviná-Nové Město, Sportovní 898/4, PSČ 735 06</w:t>
      </w:r>
    </w:p>
    <w:p w:rsidR="00420D7F" w:rsidRPr="002E2A5F" w:rsidRDefault="00420D7F" w:rsidP="00420D7F">
      <w:pPr>
        <w:spacing w:after="0" w:line="240" w:lineRule="auto"/>
        <w:rPr>
          <w:rFonts w:cs="Arial"/>
          <w:szCs w:val="20"/>
        </w:rPr>
      </w:pPr>
      <w:r w:rsidRPr="002E2A5F">
        <w:rPr>
          <w:rFonts w:cs="Arial"/>
          <w:color w:val="000000" w:themeColor="text1"/>
          <w:szCs w:val="20"/>
        </w:rPr>
        <w:t>IČ:</w:t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  <w:t>27795454</w:t>
      </w:r>
    </w:p>
    <w:p w:rsidR="00420D7F" w:rsidRPr="002E2A5F" w:rsidRDefault="00420D7F" w:rsidP="00420D7F">
      <w:pPr>
        <w:spacing w:after="0" w:line="240" w:lineRule="auto"/>
        <w:rPr>
          <w:rFonts w:cs="Arial"/>
          <w:color w:val="000000" w:themeColor="text1"/>
          <w:szCs w:val="20"/>
        </w:rPr>
      </w:pPr>
      <w:r w:rsidRPr="002E2A5F">
        <w:rPr>
          <w:rFonts w:cs="Arial"/>
          <w:color w:val="000000" w:themeColor="text1"/>
          <w:szCs w:val="20"/>
        </w:rPr>
        <w:t>DIČ:</w:t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</w:r>
      <w:r w:rsidRPr="002E2A5F">
        <w:rPr>
          <w:rFonts w:cs="Arial"/>
          <w:color w:val="000000" w:themeColor="text1"/>
          <w:szCs w:val="20"/>
        </w:rPr>
        <w:tab/>
        <w:t>CZ 27795454</w:t>
      </w:r>
    </w:p>
    <w:p w:rsidR="00420D7F" w:rsidRDefault="00420D7F" w:rsidP="00420D7F">
      <w:pPr>
        <w:spacing w:after="0"/>
        <w:rPr>
          <w:rFonts w:cs="Arial"/>
          <w:szCs w:val="20"/>
        </w:rPr>
      </w:pPr>
      <w:r>
        <w:rPr>
          <w:rFonts w:cs="Arial"/>
          <w:color w:val="000000" w:themeColor="text1"/>
          <w:szCs w:val="20"/>
        </w:rPr>
        <w:t>č</w:t>
      </w:r>
      <w:r w:rsidRPr="00E75C20">
        <w:rPr>
          <w:rFonts w:cs="Arial"/>
          <w:color w:val="000000" w:themeColor="text1"/>
          <w:szCs w:val="20"/>
        </w:rPr>
        <w:t>íslo účtu:</w:t>
      </w:r>
      <w:r w:rsidRPr="00E75C20">
        <w:rPr>
          <w:rFonts w:cs="Arial"/>
          <w:color w:val="000000" w:themeColor="text1"/>
          <w:szCs w:val="20"/>
        </w:rPr>
        <w:tab/>
      </w:r>
      <w:r w:rsidRPr="00E75C20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E75C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35-9483240287/0100</w:t>
      </w:r>
    </w:p>
    <w:p w:rsidR="00420D7F" w:rsidRPr="00434744" w:rsidRDefault="00420D7F" w:rsidP="00420D7F">
      <w:pPr>
        <w:spacing w:after="0"/>
        <w:rPr>
          <w:rFonts w:cs="Arial"/>
          <w:szCs w:val="20"/>
        </w:rPr>
      </w:pPr>
      <w:r w:rsidRPr="002E2A5F">
        <w:rPr>
          <w:rFonts w:cs="Arial"/>
          <w:color w:val="000000" w:themeColor="text1"/>
          <w:spacing w:val="-2"/>
          <w:szCs w:val="20"/>
        </w:rPr>
        <w:t>bankovní spojení:</w:t>
      </w:r>
      <w:r>
        <w:rPr>
          <w:rFonts w:cs="Arial"/>
          <w:color w:val="000000" w:themeColor="text1"/>
          <w:spacing w:val="-2"/>
          <w:szCs w:val="20"/>
        </w:rPr>
        <w:tab/>
      </w:r>
      <w:r>
        <w:rPr>
          <w:rFonts w:cs="Arial"/>
          <w:color w:val="000000" w:themeColor="text1"/>
          <w:spacing w:val="-2"/>
          <w:szCs w:val="20"/>
        </w:rPr>
        <w:tab/>
      </w:r>
      <w:r w:rsidRPr="0043474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Komerční banka, a.s.</w:t>
      </w:r>
    </w:p>
    <w:p w:rsidR="00420D7F" w:rsidRPr="00434744" w:rsidRDefault="00420D7F" w:rsidP="00420D7F">
      <w:pPr>
        <w:spacing w:after="0"/>
        <w:rPr>
          <w:rFonts w:cs="Arial"/>
          <w:szCs w:val="20"/>
        </w:rPr>
      </w:pPr>
    </w:p>
    <w:p w:rsidR="00420D7F" w:rsidRPr="002E2A5F" w:rsidRDefault="00420D7F" w:rsidP="00420D7F">
      <w:pPr>
        <w:spacing w:after="0"/>
        <w:rPr>
          <w:rFonts w:cs="Arial"/>
          <w:color w:val="000000" w:themeColor="text1"/>
          <w:szCs w:val="20"/>
        </w:rPr>
      </w:pPr>
      <w:r w:rsidRPr="002E2A5F">
        <w:rPr>
          <w:rFonts w:cs="Arial"/>
          <w:color w:val="000000" w:themeColor="text1"/>
          <w:szCs w:val="20"/>
        </w:rPr>
        <w:t xml:space="preserve"> (dále jen „příjemce“)</w:t>
      </w:r>
    </w:p>
    <w:p w:rsidR="00420D7F" w:rsidRPr="007B3171" w:rsidRDefault="00420D7F" w:rsidP="007B3171">
      <w:pPr>
        <w:spacing w:after="0"/>
        <w:rPr>
          <w:rFonts w:cs="Arial"/>
          <w:color w:val="000000" w:themeColor="text1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ZÁKLADNÍ USTANOVENÍ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7B3171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420D7F" w:rsidRPr="007B3171" w:rsidRDefault="00420D7F" w:rsidP="00420D7F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7B3171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420D7F" w:rsidRPr="007B3171" w:rsidRDefault="00420D7F" w:rsidP="00420D7F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/>
          <w:color w:val="000000"/>
          <w:sz w:val="20"/>
        </w:rPr>
      </w:pPr>
      <w:r w:rsidRPr="007B3171">
        <w:rPr>
          <w:rFonts w:ascii="Arial" w:hAnsi="Arial" w:cs="Arial"/>
          <w:sz w:val="20"/>
        </w:rPr>
        <w:t xml:space="preserve">Smluvní strany prohlašují, že právní vztah založený touto smlouvou je založen na základě individuálně posouzené žádosti číslo SMK/000269/2024  ze dne </w:t>
      </w:r>
      <w:proofErr w:type="gramStart"/>
      <w:r w:rsidRPr="007B3171">
        <w:rPr>
          <w:rFonts w:ascii="Arial" w:hAnsi="Arial" w:cs="Arial"/>
          <w:sz w:val="20"/>
        </w:rPr>
        <w:t>02.01.2024</w:t>
      </w:r>
      <w:proofErr w:type="gramEnd"/>
      <w:r w:rsidRPr="007B3171">
        <w:rPr>
          <w:rFonts w:ascii="Arial" w:hAnsi="Arial" w:cs="Arial"/>
          <w:sz w:val="20"/>
        </w:rPr>
        <w:t xml:space="preserve">    .</w:t>
      </w:r>
    </w:p>
    <w:p w:rsidR="00420D7F" w:rsidRPr="007B3171" w:rsidRDefault="00420D7F" w:rsidP="00420D7F">
      <w:pPr>
        <w:pStyle w:val="Zkladntext"/>
        <w:spacing w:before="120"/>
        <w:rPr>
          <w:rFonts w:ascii="Arial" w:hAnsi="Arial" w:cs="Arial"/>
          <w:bCs/>
          <w:i/>
          <w:color w:val="000000" w:themeColor="text1"/>
          <w:sz w:val="20"/>
          <w:highlight w:val="yellow"/>
        </w:rPr>
      </w:pPr>
      <w:r w:rsidRPr="007B3171" w:rsidDel="00646DD9">
        <w:rPr>
          <w:rFonts w:ascii="Arial" w:hAnsi="Arial" w:cs="Arial"/>
          <w:bCs/>
          <w:color w:val="00B0F0"/>
          <w:sz w:val="20"/>
          <w:highlight w:val="yellow"/>
        </w:rPr>
        <w:t xml:space="preserve"> </w:t>
      </w:r>
    </w:p>
    <w:p w:rsidR="00420D7F" w:rsidRPr="007B3171" w:rsidRDefault="00420D7F" w:rsidP="007B3171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bCs/>
          <w:sz w:val="20"/>
        </w:rPr>
        <w:t xml:space="preserve">Příjemce prohlašuje, že není osobou, vůči které je zakázána přímá či nepřímá finanční podpora ve </w:t>
      </w:r>
      <w:r w:rsidRPr="007B3171">
        <w:rPr>
          <w:rFonts w:ascii="Arial" w:hAnsi="Arial" w:cs="Arial"/>
          <w:bCs/>
          <w:sz w:val="20"/>
        </w:rPr>
        <w:lastRenderedPageBreak/>
        <w:t xml:space="preserve">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PŘEDMĚT SMLOUVY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Zkladntext"/>
        <w:spacing w:before="120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:rsidR="00420D7F" w:rsidRPr="007B3171" w:rsidRDefault="00420D7F" w:rsidP="00420D7F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DRUH A VÝŠE DOTACE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Celková výše účelové dotace činí 12.500.000- Kč, z toho část ve výši 12.500.000,- Kč je neinvestiční a část ve </w:t>
      </w:r>
      <w:proofErr w:type="gramStart"/>
      <w:r w:rsidRPr="007B3171">
        <w:rPr>
          <w:rFonts w:ascii="Arial" w:hAnsi="Arial" w:cs="Arial"/>
          <w:sz w:val="20"/>
        </w:rPr>
        <w:t>výši  0 Kč</w:t>
      </w:r>
      <w:proofErr w:type="gramEnd"/>
      <w:r w:rsidRPr="007B3171">
        <w:rPr>
          <w:rFonts w:ascii="Arial" w:hAnsi="Arial" w:cs="Arial"/>
          <w:sz w:val="20"/>
        </w:rPr>
        <w:t xml:space="preserve"> je investiční.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Nedodržení čerpání dotace v rozčlenění na investiční a neinvestiční dle bodu 1 tohoto článku nebude považováno za porušení podmínek této smlouvy.</w:t>
      </w:r>
    </w:p>
    <w:p w:rsidR="00420D7F" w:rsidRPr="007B3171" w:rsidRDefault="00420D7F" w:rsidP="00420D7F">
      <w:pPr>
        <w:pStyle w:val="Odstavecseseznamem"/>
        <w:rPr>
          <w:rFonts w:ascii="Arial" w:hAnsi="Arial" w:cs="Arial"/>
          <w:sz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  <w:r w:rsidRPr="007B3171" w:rsidDel="00646DD9">
        <w:rPr>
          <w:rFonts w:ascii="Arial" w:hAnsi="Arial" w:cs="Arial"/>
          <w:sz w:val="20"/>
          <w:highlight w:val="green"/>
        </w:rPr>
        <w:t xml:space="preserve"> 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ÚČELOVÉ A ČASOVÉ URČENÍ DOTACE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Účelová dotace je určena na uznatelné náklady spojené</w:t>
      </w:r>
      <w:r w:rsidRPr="007B3171">
        <w:rPr>
          <w:rFonts w:ascii="Arial" w:hAnsi="Arial" w:cs="Arial"/>
          <w:b/>
          <w:sz w:val="20"/>
        </w:rPr>
        <w:t xml:space="preserve"> </w:t>
      </w:r>
      <w:r w:rsidRPr="007B3171">
        <w:rPr>
          <w:rFonts w:ascii="Arial" w:hAnsi="Arial" w:cs="Arial"/>
          <w:sz w:val="20"/>
        </w:rPr>
        <w:t xml:space="preserve">s realizací projektu „Profesionální fotbal 2024“ (dále jen „projekt“) blíže specifikovaného v žádosti o poskytnutí dotace ze dne 02.01.2024, </w:t>
      </w:r>
      <w:proofErr w:type="gramStart"/>
      <w:r w:rsidRPr="007B3171">
        <w:rPr>
          <w:rFonts w:ascii="Arial" w:hAnsi="Arial" w:cs="Arial"/>
          <w:sz w:val="20"/>
        </w:rPr>
        <w:t>č.j.</w:t>
      </w:r>
      <w:proofErr w:type="gramEnd"/>
      <w:r w:rsidRPr="007B3171">
        <w:rPr>
          <w:rFonts w:ascii="Arial" w:hAnsi="Arial" w:cs="Arial"/>
          <w:sz w:val="20"/>
        </w:rPr>
        <w:t xml:space="preserve"> SMK/000269/2024. </w:t>
      </w:r>
    </w:p>
    <w:p w:rsidR="00420D7F" w:rsidRPr="007B3171" w:rsidRDefault="00420D7F" w:rsidP="00420D7F">
      <w:pPr>
        <w:pStyle w:val="Zkladntext"/>
        <w:spacing w:before="120"/>
        <w:rPr>
          <w:rFonts w:ascii="Arial" w:hAnsi="Arial" w:cs="Arial"/>
          <w:sz w:val="20"/>
        </w:rPr>
      </w:pPr>
    </w:p>
    <w:p w:rsidR="00420D7F" w:rsidRPr="007B3171" w:rsidRDefault="00420D7F" w:rsidP="00420D7F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7B3171">
        <w:rPr>
          <w:rFonts w:ascii="Arial" w:hAnsi="Arial" w:cs="Arial"/>
          <w:sz w:val="20"/>
        </w:rPr>
        <w:t xml:space="preserve">Příjemce je oprávněn použít dotaci </w:t>
      </w:r>
      <w:r w:rsidRPr="007B3171">
        <w:rPr>
          <w:rFonts w:ascii="Arial" w:hAnsi="Arial" w:cs="Arial"/>
          <w:b/>
          <w:sz w:val="20"/>
        </w:rPr>
        <w:t>pouze</w:t>
      </w:r>
      <w:r w:rsidRPr="007B3171">
        <w:rPr>
          <w:rFonts w:ascii="Arial" w:hAnsi="Arial" w:cs="Arial"/>
          <w:sz w:val="20"/>
        </w:rPr>
        <w:t xml:space="preserve"> k úhradě následujících uznatelných nákladů prokazatelně souvisejících s realizací projektu: na mzdové náklady včetně zákonných odvodů, odměny z DPP a DPČ, spotřební materiál včetně  DDHM v pořizovací ceně do 40 tis. Kč bez DPH, služby včetně odměn OSVČ, energií, poplatků a pojištění</w:t>
      </w:r>
    </w:p>
    <w:p w:rsidR="00420D7F" w:rsidRPr="007B3171" w:rsidRDefault="00420D7F" w:rsidP="00420D7F">
      <w:pPr>
        <w:pStyle w:val="Zkladntext"/>
        <w:spacing w:before="120"/>
        <w:rPr>
          <w:rFonts w:ascii="Arial" w:hAnsi="Arial" w:cs="Arial"/>
          <w:bCs/>
          <w:color w:val="00B0F0"/>
          <w:sz w:val="20"/>
        </w:rPr>
      </w:pPr>
    </w:p>
    <w:p w:rsidR="00420D7F" w:rsidRPr="007B3171" w:rsidRDefault="00420D7F" w:rsidP="00420D7F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7B3171">
        <w:rPr>
          <w:rFonts w:ascii="Arial" w:hAnsi="Arial" w:cs="Arial"/>
          <w:bCs/>
          <w:color w:val="000000"/>
          <w:sz w:val="20"/>
        </w:rPr>
        <w:t xml:space="preserve">Příjemce je povinen zrealizovat projekt do </w:t>
      </w:r>
      <w:proofErr w:type="gramStart"/>
      <w:r w:rsidRPr="007B3171">
        <w:rPr>
          <w:rFonts w:ascii="Arial" w:hAnsi="Arial" w:cs="Arial"/>
          <w:bCs/>
          <w:color w:val="000000"/>
          <w:sz w:val="20"/>
        </w:rPr>
        <w:t>30.04.2025</w:t>
      </w:r>
      <w:proofErr w:type="gramEnd"/>
      <w:r w:rsidRPr="007B3171">
        <w:rPr>
          <w:rFonts w:ascii="Arial" w:hAnsi="Arial" w:cs="Arial"/>
          <w:bCs/>
          <w:color w:val="000000"/>
          <w:sz w:val="20"/>
        </w:rPr>
        <w:t xml:space="preserve"> čímž bude dosaženo účelu poskytnutí dotace dle této smlouvy.</w:t>
      </w:r>
    </w:p>
    <w:p w:rsidR="00420D7F" w:rsidRPr="007B3171" w:rsidRDefault="00420D7F" w:rsidP="00420D7F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7B3171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TERMÍN A VÝŠE VYPLACENÍ DOTACE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widowControl w:val="0"/>
        <w:spacing w:after="120"/>
        <w:rPr>
          <w:rFonts w:cs="Arial"/>
          <w:szCs w:val="20"/>
        </w:rPr>
      </w:pPr>
      <w:r w:rsidRPr="007B3171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FINANČNÍ VYPOŘÁDÁNÍ DOTACE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:rsidR="00420D7F" w:rsidRPr="007B3171" w:rsidRDefault="00420D7F" w:rsidP="00420D7F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Termín finančního vypořádání dotace je do </w:t>
      </w:r>
      <w:proofErr w:type="gramStart"/>
      <w:r w:rsidRPr="007B3171">
        <w:rPr>
          <w:rFonts w:ascii="Arial" w:hAnsi="Arial" w:cs="Arial"/>
          <w:sz w:val="20"/>
        </w:rPr>
        <w:t>01.07.2025</w:t>
      </w:r>
      <w:proofErr w:type="gramEnd"/>
      <w:r w:rsidRPr="007B3171">
        <w:rPr>
          <w:rFonts w:ascii="Arial" w:hAnsi="Arial" w:cs="Arial"/>
          <w:sz w:val="20"/>
        </w:rPr>
        <w:t>.</w:t>
      </w:r>
    </w:p>
    <w:p w:rsidR="00420D7F" w:rsidRPr="007B3171" w:rsidRDefault="00420D7F" w:rsidP="00420D7F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lastRenderedPageBreak/>
        <w:t>Za den předložení finančního vypořádání se považuje den jeho předání k přepravě provozovateli poštovních služeb nebo podání na podatelně Magistrátu města Karviné.</w:t>
      </w:r>
    </w:p>
    <w:p w:rsidR="00420D7F" w:rsidRPr="007B3171" w:rsidRDefault="00420D7F" w:rsidP="00420D7F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Finanční vypořádání dotace musí být předloženo na formuláři dle přílohy č. 1 k této smlouvě a musí obsahovat:</w:t>
      </w:r>
    </w:p>
    <w:p w:rsidR="00420D7F" w:rsidRPr="007B3171" w:rsidRDefault="00420D7F" w:rsidP="00420D7F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:rsidR="00420D7F" w:rsidRPr="007B3171" w:rsidRDefault="00420D7F" w:rsidP="00420D7F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:rsidR="00420D7F" w:rsidRPr="007B3171" w:rsidRDefault="00420D7F" w:rsidP="00420D7F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:rsidR="00420D7F" w:rsidRPr="007B3171" w:rsidRDefault="00420D7F" w:rsidP="00420D7F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:rsidR="00420D7F" w:rsidRPr="007B3171" w:rsidRDefault="00420D7F" w:rsidP="00420D7F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:rsidR="00420D7F" w:rsidRPr="007B3171" w:rsidRDefault="00420D7F" w:rsidP="00420D7F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POVINNOSTI PŘÍJEMCE</w:t>
      </w:r>
    </w:p>
    <w:p w:rsidR="00420D7F" w:rsidRPr="007B3171" w:rsidRDefault="00420D7F" w:rsidP="00420D7F">
      <w:pPr>
        <w:widowControl w:val="0"/>
        <w:spacing w:after="0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Příjemce se zavazuje dodržet tyto podmínky: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použít dotaci výlučně k účelu uvedenému v článku V. této smlouvy. 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na požádání umožnit poskytovateli nahlédnutí do všech účetních dokladů týkajících se projektu,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předložit poskytovateli finanční vypořádání dotace, </w:t>
      </w:r>
    </w:p>
    <w:p w:rsidR="00420D7F" w:rsidRPr="007B3171" w:rsidRDefault="00420D7F" w:rsidP="00420D7F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:rsidR="00420D7F" w:rsidRPr="007B3171" w:rsidRDefault="00420D7F" w:rsidP="00420D7F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:rsidR="00420D7F" w:rsidRPr="007B3171" w:rsidRDefault="00420D7F" w:rsidP="00420D7F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:rsidR="00420D7F" w:rsidRPr="007B3171" w:rsidRDefault="00420D7F" w:rsidP="00420D7F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akceptovat využívání údajů o projektu pro účely administrace v informačních systémech poskytovatele, přičemž souhlasí se zveřejněním svého názvu (popřípadě jména a příjmení), adresy, názvu projektu, účelu a výše poskytnuté dotace,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neprodleně, nejpozději však do 7 kalendářních dnů ode dne kdy došlo k události, informovat poskytovatele o všech změnách souvisejících s čerpáním poskytnuté dotace, s realizací účelu </w:t>
      </w:r>
      <w:r w:rsidRPr="007B3171">
        <w:rPr>
          <w:rFonts w:cs="Arial"/>
          <w:szCs w:val="20"/>
        </w:rPr>
        <w:lastRenderedPageBreak/>
        <w:t>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:rsidR="00420D7F" w:rsidRPr="007B3171" w:rsidRDefault="00420D7F" w:rsidP="00420D7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dotovaného projektu a to pouze podle závazného manuálu zveřejněného na internetových stránkách města Karviné.</w:t>
      </w:r>
    </w:p>
    <w:p w:rsidR="00420D7F" w:rsidRPr="007B3171" w:rsidRDefault="00420D7F" w:rsidP="00420D7F">
      <w:pPr>
        <w:spacing w:before="60" w:after="0"/>
        <w:ind w:left="714"/>
        <w:rPr>
          <w:rFonts w:cs="Arial"/>
          <w:szCs w:val="20"/>
        </w:rPr>
      </w:pP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UZNATELNÝ NÁKLAD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Odstavecseseznamem"/>
        <w:ind w:left="360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:rsidR="00420D7F" w:rsidRPr="007B3171" w:rsidRDefault="00420D7F" w:rsidP="00420D7F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:rsidR="00420D7F" w:rsidRPr="007B3171" w:rsidRDefault="00420D7F" w:rsidP="00420D7F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uznatelný náklad musí vzniknout v období od </w:t>
      </w:r>
      <w:proofErr w:type="gramStart"/>
      <w:r w:rsidRPr="007B3171">
        <w:rPr>
          <w:rFonts w:cs="Arial"/>
          <w:szCs w:val="20"/>
        </w:rPr>
        <w:t>01.01.2024</w:t>
      </w:r>
      <w:proofErr w:type="gramEnd"/>
      <w:r w:rsidRPr="007B3171">
        <w:rPr>
          <w:rFonts w:cs="Arial"/>
          <w:szCs w:val="20"/>
        </w:rPr>
        <w:t xml:space="preserve"> do 30.04.2025 a současně musí být uhrazený v období od 01.01.2024 do 31.05.2025,</w:t>
      </w:r>
    </w:p>
    <w:p w:rsidR="00420D7F" w:rsidRPr="007B3171" w:rsidRDefault="00420D7F" w:rsidP="00420D7F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plní podmínky účelnosti, efektivnosti a hospodárnosti dle zákona o finanční kontrole,</w:t>
      </w:r>
    </w:p>
    <w:p w:rsidR="00420D7F" w:rsidRPr="007B3171" w:rsidRDefault="00420D7F" w:rsidP="00420D7F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byly vynaloženy na účel stanovený v čl. V. odst. 2 této smlouvy,</w:t>
      </w:r>
    </w:p>
    <w:p w:rsidR="00420D7F" w:rsidRPr="007B3171" w:rsidRDefault="00420D7F" w:rsidP="00420D7F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:rsidR="00420D7F" w:rsidRPr="007B3171" w:rsidRDefault="00420D7F" w:rsidP="00420D7F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uznatelný náklad nesmí být také použitý na: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alkohol a cigarety, a to ani ve formě cen, odměn a dárkových balíčků;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úhrady za cateringové služby, rauty a jiné formy společenského občerstvení s výjimkou řádně vyúčtovaného stravného dle zákoníku práce;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poskytnutí dotace třetí straně;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právní služby;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tvorbu kapitálového jmění;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daně, pokuty, odvody a sankce příjemce;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mimořádné odměny vyplácené k dohodám o provedení práce a k dohodám o pracovní činnosti;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splátky půjček, leasingové splátky, úhrada dluhů;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odpisy majetku;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odměny členů správních rad, dozorčích rad a jiných orgánů právnických osob;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zahraniční pracovní cesty (pokud to nevyžaduje charakter projektu);</w:t>
      </w:r>
    </w:p>
    <w:p w:rsidR="00420D7F" w:rsidRPr="007B3171" w:rsidRDefault="00420D7F" w:rsidP="00420D7F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>činnost politických stran a hnutí;</w:t>
      </w:r>
    </w:p>
    <w:p w:rsidR="00420D7F" w:rsidRPr="007B3171" w:rsidRDefault="00420D7F" w:rsidP="00420D7F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Uznatelným nákladem investiční dotace jsou náklady na pořízení dlouhodobého majetku uvedeného v účelu poskytnuté dotace.</w:t>
      </w: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PORUŠENÍ ROZPOČTOVÉ KÁZNĚ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:rsidR="00420D7F" w:rsidRPr="007B3171" w:rsidRDefault="00420D7F" w:rsidP="00420D7F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7B3171">
        <w:rPr>
          <w:rFonts w:ascii="Arial" w:hAnsi="Arial" w:cs="Arial"/>
          <w:sz w:val="20"/>
        </w:rPr>
        <w:t>ust</w:t>
      </w:r>
      <w:proofErr w:type="spellEnd"/>
      <w:r w:rsidRPr="007B3171">
        <w:rPr>
          <w:rFonts w:ascii="Arial" w:hAnsi="Arial" w:cs="Arial"/>
          <w:sz w:val="20"/>
        </w:rPr>
        <w:t>. § 10a odst. 6 zákona č. 250/2000 Sb. se považuje:</w:t>
      </w: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7B3171">
        <w:rPr>
          <w:rFonts w:ascii="Arial" w:hAnsi="Arial" w:cs="Arial"/>
          <w:color w:val="000000" w:themeColor="text1"/>
          <w:sz w:val="20"/>
        </w:rPr>
        <w:t xml:space="preserve">výši </w:t>
      </w:r>
      <w:r w:rsidRPr="007B3171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7B3171">
        <w:rPr>
          <w:rFonts w:ascii="Arial" w:hAnsi="Arial" w:cs="Arial"/>
          <w:bCs/>
          <w:sz w:val="20"/>
        </w:rPr>
        <w:t>% poskytnuté dotace avšak nejméně částka 1 001,- Kč.</w:t>
      </w:r>
    </w:p>
    <w:p w:rsidR="00420D7F" w:rsidRPr="007B3171" w:rsidRDefault="00420D7F" w:rsidP="00420D7F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7B3171">
        <w:rPr>
          <w:rFonts w:ascii="Arial" w:hAnsi="Arial" w:cs="Arial"/>
          <w:bCs/>
          <w:sz w:val="20"/>
        </w:rPr>
        <w:t>10 % poskytnuté dotace avšak nejméně částka 1 001,- Kč.</w:t>
      </w:r>
    </w:p>
    <w:p w:rsidR="00420D7F" w:rsidRPr="007B3171" w:rsidRDefault="00420D7F" w:rsidP="00420D7F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7B3171">
        <w:rPr>
          <w:rFonts w:ascii="Arial" w:hAnsi="Arial" w:cs="Arial"/>
          <w:bCs/>
          <w:sz w:val="20"/>
        </w:rPr>
        <w:t>10 % poskytnuté dotace avšak nejméně částka 1 001,- Kč.</w:t>
      </w:r>
    </w:p>
    <w:p w:rsidR="00420D7F" w:rsidRPr="007B3171" w:rsidRDefault="00420D7F" w:rsidP="00420D7F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7B3171">
        <w:rPr>
          <w:rFonts w:ascii="Arial" w:hAnsi="Arial" w:cs="Arial"/>
          <w:bCs/>
          <w:sz w:val="20"/>
        </w:rPr>
        <w:t>10 % poskytnuté dotace avšak nejméně částka 1 001,- Kč.</w:t>
      </w:r>
    </w:p>
    <w:p w:rsidR="00420D7F" w:rsidRPr="007B3171" w:rsidRDefault="00420D7F" w:rsidP="00420D7F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7B3171">
        <w:rPr>
          <w:rFonts w:ascii="Arial" w:hAnsi="Arial" w:cs="Arial"/>
          <w:bCs/>
          <w:sz w:val="20"/>
        </w:rPr>
        <w:t>10 % poskytnuté dotace avšak nejméně částka 1 001,- Kč.</w:t>
      </w:r>
    </w:p>
    <w:p w:rsidR="00420D7F" w:rsidRPr="007B3171" w:rsidRDefault="00420D7F" w:rsidP="00420D7F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dle čl. VIII. odst. 1 písm. m), kdy se odvod za toto porušení rozpočtové kázně stanoví ve výši </w:t>
      </w:r>
      <w:r w:rsidRPr="007B3171">
        <w:rPr>
          <w:rFonts w:ascii="Arial" w:hAnsi="Arial" w:cs="Arial"/>
          <w:bCs/>
          <w:sz w:val="20"/>
        </w:rPr>
        <w:t>10 % poskytnuté dotace avšak nejméně částka 1 001,- Kč.</w:t>
      </w:r>
    </w:p>
    <w:p w:rsidR="00420D7F" w:rsidRPr="007B3171" w:rsidRDefault="00420D7F" w:rsidP="00420D7F">
      <w:pPr>
        <w:rPr>
          <w:rFonts w:cs="Arial"/>
          <w:bCs/>
          <w:szCs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7B3171">
        <w:rPr>
          <w:rFonts w:ascii="Arial" w:hAnsi="Arial" w:cs="Arial"/>
          <w:sz w:val="20"/>
        </w:rPr>
        <w:t xml:space="preserve">nedodržení povinností příjemce </w:t>
      </w:r>
      <w:proofErr w:type="gramStart"/>
      <w:r w:rsidRPr="007B3171">
        <w:rPr>
          <w:rFonts w:ascii="Arial" w:hAnsi="Arial" w:cs="Arial"/>
          <w:sz w:val="20"/>
        </w:rPr>
        <w:t>dle  čl.</w:t>
      </w:r>
      <w:proofErr w:type="gramEnd"/>
      <w:r w:rsidRPr="007B3171">
        <w:rPr>
          <w:rFonts w:ascii="Arial" w:hAnsi="Arial" w:cs="Arial"/>
          <w:sz w:val="20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7B3171">
        <w:rPr>
          <w:rFonts w:ascii="Arial" w:hAnsi="Arial" w:cs="Arial"/>
          <w:bCs/>
          <w:sz w:val="20"/>
        </w:rPr>
        <w:t>10 % poskytnuté dotace avšak nejméně částka 1 001,- Kč.</w:t>
      </w:r>
    </w:p>
    <w:p w:rsidR="00420D7F" w:rsidRPr="007B3171" w:rsidRDefault="00420D7F" w:rsidP="00420D7F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:rsidR="00420D7F" w:rsidRPr="007B3171" w:rsidRDefault="00420D7F" w:rsidP="00420D7F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:rsidR="00420D7F" w:rsidRPr="007B3171" w:rsidRDefault="00420D7F" w:rsidP="00420D7F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:rsidR="00420D7F" w:rsidRPr="007B3171" w:rsidRDefault="00420D7F" w:rsidP="00420D7F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OSTATNÍ UJEDNÁNÍ</w:t>
      </w:r>
    </w:p>
    <w:p w:rsidR="00420D7F" w:rsidRPr="007B3171" w:rsidRDefault="00420D7F" w:rsidP="00420D7F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Důkazní břemeno při prokazování uznatelných nákladů nese příjemce dotace.</w:t>
      </w: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:rsidR="00420D7F" w:rsidRPr="007B3171" w:rsidRDefault="00420D7F" w:rsidP="00420D7F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420D7F" w:rsidRPr="007B3171" w:rsidRDefault="00420D7F" w:rsidP="00420D7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7B3171">
        <w:rPr>
          <w:rFonts w:cs="Arial"/>
          <w:b/>
          <w:bCs/>
          <w:color w:val="000000"/>
          <w:szCs w:val="20"/>
        </w:rPr>
        <w:t>ZÁVĚREČNÁ USTANOVENÍ</w:t>
      </w:r>
    </w:p>
    <w:p w:rsidR="00420D7F" w:rsidRPr="007B3171" w:rsidRDefault="00420D7F" w:rsidP="00420D7F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:rsidR="00420D7F" w:rsidRPr="007B3171" w:rsidRDefault="00420D7F" w:rsidP="00420D7F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:rsidR="00420D7F" w:rsidRPr="007B3171" w:rsidRDefault="00420D7F" w:rsidP="00420D7F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Tato smlouva nabývá účinnosti okamžikem podpisu druhé smluvní strany,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:rsidR="00420D7F" w:rsidRPr="007B3171" w:rsidRDefault="00420D7F" w:rsidP="00420D7F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:rsidR="00420D7F" w:rsidRPr="007B3171" w:rsidRDefault="00420D7F" w:rsidP="00420D7F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Nedílnou součástí této smlouvy je příloha: formulář Finančního vypořádání dotace. </w:t>
      </w:r>
    </w:p>
    <w:p w:rsidR="00420D7F" w:rsidRPr="007B3171" w:rsidRDefault="00420D7F" w:rsidP="00420D7F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7B3171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:rsidR="00420D7F" w:rsidRPr="007B3171" w:rsidRDefault="00420D7F" w:rsidP="00420D7F">
      <w:pPr>
        <w:widowControl w:val="0"/>
        <w:spacing w:after="0"/>
        <w:ind w:left="284"/>
        <w:rPr>
          <w:rFonts w:cs="Arial"/>
          <w:szCs w:val="20"/>
        </w:rPr>
      </w:pPr>
    </w:p>
    <w:p w:rsidR="00420D7F" w:rsidRPr="007B3171" w:rsidRDefault="00420D7F" w:rsidP="00420D7F">
      <w:pPr>
        <w:widowControl w:val="0"/>
        <w:spacing w:after="0"/>
        <w:ind w:left="284"/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O poskytnutí účelové dotace rozhodlo Zastupitelstvo města Karviné svým usnesením </w:t>
      </w:r>
      <w:proofErr w:type="gramStart"/>
      <w:r w:rsidRPr="007B3171">
        <w:rPr>
          <w:rFonts w:cs="Arial"/>
          <w:szCs w:val="20"/>
        </w:rPr>
        <w:t>č.</w:t>
      </w:r>
      <w:r w:rsidR="007B3171">
        <w:rPr>
          <w:rFonts w:cs="Arial"/>
          <w:szCs w:val="20"/>
        </w:rPr>
        <w:t>234</w:t>
      </w:r>
      <w:proofErr w:type="gramEnd"/>
      <w:r w:rsidRPr="007B3171">
        <w:rPr>
          <w:rFonts w:cs="Arial"/>
          <w:szCs w:val="20"/>
        </w:rPr>
        <w:t xml:space="preserve"> ze dne 29.01.2024. </w:t>
      </w:r>
    </w:p>
    <w:p w:rsidR="00420D7F" w:rsidRPr="007B3171" w:rsidRDefault="00420D7F" w:rsidP="00420D7F">
      <w:pPr>
        <w:pStyle w:val="Zhlav"/>
        <w:ind w:left="284"/>
        <w:rPr>
          <w:rFonts w:cs="Arial"/>
          <w:szCs w:val="20"/>
        </w:rPr>
      </w:pPr>
    </w:p>
    <w:p w:rsidR="00420D7F" w:rsidRPr="007B3171" w:rsidRDefault="00420D7F" w:rsidP="00420D7F">
      <w:pPr>
        <w:pStyle w:val="Zhlav"/>
        <w:ind w:left="284"/>
        <w:rPr>
          <w:rFonts w:cs="Arial"/>
          <w:szCs w:val="20"/>
        </w:rPr>
      </w:pPr>
    </w:p>
    <w:p w:rsidR="00420D7F" w:rsidRPr="007B3171" w:rsidRDefault="00420D7F" w:rsidP="00420D7F">
      <w:pPr>
        <w:pStyle w:val="Zhlav"/>
        <w:rPr>
          <w:rFonts w:cs="Arial"/>
          <w:szCs w:val="20"/>
        </w:rPr>
      </w:pPr>
    </w:p>
    <w:p w:rsidR="00420D7F" w:rsidRPr="007B3171" w:rsidRDefault="00420D7F" w:rsidP="00420D7F">
      <w:pPr>
        <w:rPr>
          <w:rFonts w:cs="Arial"/>
          <w:szCs w:val="20"/>
        </w:rPr>
      </w:pPr>
    </w:p>
    <w:p w:rsidR="00420D7F" w:rsidRPr="007B3171" w:rsidRDefault="00420D7F" w:rsidP="00420D7F">
      <w:pPr>
        <w:rPr>
          <w:rFonts w:cs="Arial"/>
          <w:b/>
          <w:szCs w:val="20"/>
        </w:rPr>
      </w:pPr>
      <w:r w:rsidRPr="007B3171">
        <w:rPr>
          <w:rFonts w:cs="Arial"/>
          <w:b/>
          <w:szCs w:val="20"/>
        </w:rPr>
        <w:t>Za poskytovatele</w:t>
      </w:r>
      <w:r w:rsidRPr="007B3171">
        <w:rPr>
          <w:rFonts w:cs="Arial"/>
          <w:b/>
          <w:szCs w:val="20"/>
        </w:rPr>
        <w:tab/>
      </w:r>
      <w:r w:rsidRPr="007B3171">
        <w:rPr>
          <w:rFonts w:cs="Arial"/>
          <w:b/>
          <w:szCs w:val="20"/>
        </w:rPr>
        <w:tab/>
      </w:r>
      <w:r w:rsidRPr="007B3171">
        <w:rPr>
          <w:rFonts w:cs="Arial"/>
          <w:b/>
          <w:szCs w:val="20"/>
        </w:rPr>
        <w:tab/>
      </w:r>
      <w:r w:rsidRPr="007B3171">
        <w:rPr>
          <w:rFonts w:cs="Arial"/>
          <w:b/>
          <w:szCs w:val="20"/>
        </w:rPr>
        <w:tab/>
      </w:r>
      <w:r w:rsidRPr="007B3171">
        <w:rPr>
          <w:rFonts w:cs="Arial"/>
          <w:b/>
          <w:szCs w:val="20"/>
        </w:rPr>
        <w:tab/>
        <w:t>Za příjemce</w:t>
      </w:r>
    </w:p>
    <w:p w:rsidR="00420D7F" w:rsidRPr="007B3171" w:rsidRDefault="00420D7F" w:rsidP="00420D7F">
      <w:pPr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V Karviné </w:t>
      </w:r>
      <w:r w:rsidR="001255D8">
        <w:rPr>
          <w:rFonts w:cs="Arial"/>
          <w:szCs w:val="20"/>
        </w:rPr>
        <w:t>12.2.2024</w:t>
      </w:r>
      <w:r w:rsidR="001255D8">
        <w:rPr>
          <w:rFonts w:cs="Arial"/>
          <w:szCs w:val="20"/>
        </w:rPr>
        <w:tab/>
      </w:r>
      <w:r w:rsidR="001255D8">
        <w:rPr>
          <w:rFonts w:cs="Arial"/>
          <w:szCs w:val="20"/>
        </w:rPr>
        <w:tab/>
      </w:r>
      <w:bookmarkStart w:id="2" w:name="_GoBack"/>
      <w:bookmarkEnd w:id="2"/>
      <w:r w:rsidRPr="007B3171">
        <w:rPr>
          <w:rFonts w:cs="Arial"/>
          <w:szCs w:val="20"/>
        </w:rPr>
        <w:tab/>
      </w:r>
      <w:r w:rsidRPr="007B3171">
        <w:rPr>
          <w:rFonts w:cs="Arial"/>
          <w:szCs w:val="20"/>
        </w:rPr>
        <w:tab/>
      </w:r>
      <w:r w:rsidRPr="007B3171">
        <w:rPr>
          <w:rFonts w:cs="Arial"/>
          <w:szCs w:val="20"/>
        </w:rPr>
        <w:tab/>
        <w:t xml:space="preserve">V Karviné  </w:t>
      </w:r>
      <w:r w:rsidR="001255D8">
        <w:rPr>
          <w:rFonts w:cs="Arial"/>
          <w:szCs w:val="20"/>
        </w:rPr>
        <w:t>21.2.2024</w:t>
      </w:r>
    </w:p>
    <w:p w:rsidR="00420D7F" w:rsidRPr="007B3171" w:rsidRDefault="00420D7F" w:rsidP="00420D7F">
      <w:pPr>
        <w:rPr>
          <w:rFonts w:cs="Arial"/>
          <w:szCs w:val="20"/>
        </w:rPr>
      </w:pPr>
    </w:p>
    <w:p w:rsidR="00420D7F" w:rsidRPr="007B3171" w:rsidRDefault="00420D7F" w:rsidP="00420D7F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7B3171">
        <w:rPr>
          <w:rFonts w:cs="Arial"/>
          <w:szCs w:val="20"/>
        </w:rPr>
        <w:tab/>
      </w:r>
    </w:p>
    <w:p w:rsidR="00420D7F" w:rsidRPr="007B3171" w:rsidRDefault="00420D7F" w:rsidP="00420D7F">
      <w:pPr>
        <w:rPr>
          <w:rFonts w:cs="Arial"/>
          <w:szCs w:val="20"/>
        </w:rPr>
      </w:pPr>
    </w:p>
    <w:p w:rsidR="00420D7F" w:rsidRPr="007B3171" w:rsidRDefault="00420D7F" w:rsidP="00420D7F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7B3171">
        <w:rPr>
          <w:rFonts w:cs="Arial"/>
          <w:szCs w:val="20"/>
        </w:rPr>
        <w:tab/>
        <w:t>………………………………</w:t>
      </w:r>
      <w:r w:rsidRPr="007B3171">
        <w:rPr>
          <w:rFonts w:cs="Arial"/>
          <w:szCs w:val="20"/>
        </w:rPr>
        <w:tab/>
        <w:t>………………………………</w:t>
      </w: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7B3171">
        <w:rPr>
          <w:rFonts w:cs="Arial"/>
          <w:szCs w:val="20"/>
        </w:rPr>
        <w:t xml:space="preserve">     </w:t>
      </w:r>
      <w:r w:rsidRPr="007B3171">
        <w:rPr>
          <w:rFonts w:cs="Arial"/>
          <w:szCs w:val="20"/>
        </w:rPr>
        <w:tab/>
        <w:t>Ing. Martina Šrámková, MPA</w:t>
      </w:r>
      <w:r w:rsidRPr="007B3171">
        <w:rPr>
          <w:rFonts w:cs="Arial"/>
          <w:szCs w:val="20"/>
        </w:rPr>
        <w:tab/>
        <w:t>Petr Hort</w:t>
      </w:r>
      <w:r w:rsidRPr="007B3171">
        <w:rPr>
          <w:rFonts w:cs="Arial"/>
          <w:i/>
          <w:szCs w:val="20"/>
          <w:highlight w:val="yellow"/>
        </w:rPr>
        <w:t xml:space="preserve"> </w:t>
      </w: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7B3171">
        <w:rPr>
          <w:rFonts w:cs="Arial"/>
          <w:szCs w:val="20"/>
        </w:rPr>
        <w:t>vedoucí Odboru školství a rozvoje MMK</w:t>
      </w:r>
      <w:r w:rsidRPr="007B3171">
        <w:rPr>
          <w:rFonts w:cs="Arial"/>
          <w:szCs w:val="20"/>
        </w:rPr>
        <w:tab/>
        <w:t xml:space="preserve">člen představenstva </w:t>
      </w:r>
      <w:r w:rsidRPr="007B3171">
        <w:rPr>
          <w:rFonts w:cs="Arial"/>
          <w:color w:val="000000" w:themeColor="text1"/>
          <w:szCs w:val="20"/>
        </w:rPr>
        <w:t>MFK Karviná a.s.</w:t>
      </w: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 w:rsidRPr="007B3171">
        <w:rPr>
          <w:rFonts w:cs="Arial"/>
          <w:szCs w:val="20"/>
        </w:rPr>
        <w:t xml:space="preserve"> </w:t>
      </w: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Pr="007B3171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:rsidR="00420D7F" w:rsidRDefault="00420D7F" w:rsidP="007B3171">
      <w:pPr>
        <w:rPr>
          <w:rFonts w:cs="Arial"/>
          <w:szCs w:val="20"/>
        </w:rPr>
      </w:pPr>
    </w:p>
    <w:p w:rsidR="007B3171" w:rsidRDefault="007B3171" w:rsidP="007B3171">
      <w:pPr>
        <w:rPr>
          <w:rFonts w:cs="Arial"/>
          <w:szCs w:val="20"/>
        </w:rPr>
      </w:pPr>
    </w:p>
    <w:p w:rsidR="007B3171" w:rsidRDefault="007B3171" w:rsidP="007B3171">
      <w:pPr>
        <w:rPr>
          <w:rFonts w:cs="Arial"/>
          <w:szCs w:val="20"/>
        </w:rPr>
      </w:pPr>
    </w:p>
    <w:p w:rsidR="007B3171" w:rsidRDefault="007B3171" w:rsidP="007B3171">
      <w:pPr>
        <w:rPr>
          <w:rFonts w:cs="Arial"/>
          <w:szCs w:val="20"/>
        </w:rPr>
      </w:pPr>
    </w:p>
    <w:p w:rsidR="007B3171" w:rsidRDefault="007B3171" w:rsidP="007B3171">
      <w:pPr>
        <w:rPr>
          <w:rFonts w:cs="Arial"/>
          <w:szCs w:val="20"/>
        </w:rPr>
      </w:pPr>
    </w:p>
    <w:p w:rsidR="007B3171" w:rsidRDefault="007B3171" w:rsidP="007B3171">
      <w:pPr>
        <w:rPr>
          <w:rFonts w:cs="Arial"/>
          <w:szCs w:val="20"/>
        </w:rPr>
      </w:pPr>
    </w:p>
    <w:p w:rsidR="007B3171" w:rsidRDefault="007B3171" w:rsidP="007B3171">
      <w:pPr>
        <w:rPr>
          <w:rFonts w:cs="Arial"/>
          <w:szCs w:val="20"/>
        </w:rPr>
      </w:pPr>
    </w:p>
    <w:p w:rsidR="00420D7F" w:rsidRPr="00B95E43" w:rsidRDefault="00420D7F" w:rsidP="00420D7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Příloha ke smlouvě o poskytnutí dotace</w:t>
      </w: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523"/>
        <w:gridCol w:w="1711"/>
        <w:gridCol w:w="1287"/>
        <w:gridCol w:w="933"/>
      </w:tblGrid>
      <w:tr w:rsidR="00420D7F" w:rsidRPr="00FE1D56" w:rsidTr="002D1B9B">
        <w:trPr>
          <w:trHeight w:val="300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FINANČNÍ VYPOŘÁDÁNÍ DOTACE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z rozpočtu statutárního města Karviné</w:t>
            </w:r>
          </w:p>
        </w:tc>
      </w:tr>
      <w:tr w:rsidR="00420D7F" w:rsidRPr="00FE1D56" w:rsidTr="002D1B9B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poskytnuté v roce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XXXX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na základě smlouvy č.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 xml:space="preserve">        </w:t>
            </w:r>
            <w:r w:rsidRPr="00FE1D56">
              <w:rPr>
                <w:rFonts w:ascii="Calibri" w:eastAsia="Times New Roman" w:hAnsi="Calibri" w:cs="Calibri"/>
                <w:color w:val="00B050"/>
                <w:sz w:val="22"/>
                <w:lang w:eastAsia="cs-CZ" w:bidi="ar-SA"/>
              </w:rPr>
              <w:t>XXXX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15"/>
        </w:trPr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a) ZÁVĚREČNÁ ZPRÁVA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Název projektu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Příjemce dotace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480"/>
        </w:trPr>
        <w:tc>
          <w:tcPr>
            <w:tcW w:w="54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Výše poskytnutá dotace v Kč (celkem)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480"/>
        </w:trPr>
        <w:tc>
          <w:tcPr>
            <w:tcW w:w="54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Vyčerpáno z dotace celkem v Kč (celkem)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480"/>
        </w:trPr>
        <w:tc>
          <w:tcPr>
            <w:tcW w:w="5479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Vratka provedena na účet poskytovatele </w:t>
            </w:r>
            <w:r w:rsidRPr="00FE1D5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cs-CZ" w:bidi="ar-SA"/>
              </w:rPr>
              <w:t>(v případě nevyčerpání dotace nebo nerealizování projektu)</w:t>
            </w: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cs-CZ" w:bidi="ar-SA"/>
              </w:rPr>
              <w:t xml:space="preserve"> ve výši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30"/>
        </w:trPr>
        <w:tc>
          <w:tcPr>
            <w:tcW w:w="5479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Vratka provedena dne 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Stručný popis realizace projektu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Cílová </w:t>
            </w:r>
            <w:proofErr w:type="gram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skupina</w:t>
            </w: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 xml:space="preserve">  (včetně</w:t>
            </w:r>
            <w:proofErr w:type="gramEnd"/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 xml:space="preserve"> počtu osob) 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Doba realizace projektu</w:t>
            </w:r>
          </w:p>
        </w:tc>
      </w:tr>
      <w:tr w:rsidR="00420D7F" w:rsidRPr="00FE1D56" w:rsidTr="002D1B9B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Zahájení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Ukončení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Způsob propagace statutárního města Karviné při vlastní realizaci projektu</w:t>
            </w: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5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b) POLOŽKOVÉ VYÚČTOVÁNÍ NÁKLADŮ PROJEKTU *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6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POPIS UZNATELNÉHO NÁKLADU</w:t>
            </w:r>
          </w:p>
        </w:tc>
        <w:tc>
          <w:tcPr>
            <w:tcW w:w="152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IDENTIFIKACE DOKLADU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ČÁSTKA (Kč)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ČERPÁNO Z DOTACE (Kč)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DATUM ÚHRADY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FE1D56">
              <w:rPr>
                <w:rFonts w:eastAsia="Times New Roman" w:cs="Arial"/>
                <w:color w:val="000000"/>
                <w:szCs w:val="20"/>
                <w:lang w:eastAsia="cs-CZ" w:bidi="ar-SA"/>
              </w:rPr>
              <w:t>PŘIDÁVAT DALŠÍ ŘÁDKY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420D7F" w:rsidRPr="00FE1D56" w:rsidTr="002D1B9B">
        <w:trPr>
          <w:trHeight w:val="31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 w:bidi="ar-SA"/>
              </w:rPr>
              <w:t>Potvrzuji pravdivost i správnost závěrečného vyúčtování dotace.</w:t>
            </w:r>
          </w:p>
        </w:tc>
      </w:tr>
      <w:tr w:rsidR="00420D7F" w:rsidRPr="00FE1D56" w:rsidTr="002D1B9B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podpis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 </w:t>
            </w:r>
          </w:p>
        </w:tc>
      </w:tr>
      <w:tr w:rsidR="00420D7F" w:rsidRPr="00FE1D56" w:rsidTr="002D1B9B">
        <w:trPr>
          <w:trHeight w:val="315"/>
        </w:trPr>
        <w:tc>
          <w:tcPr>
            <w:tcW w:w="3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jméno a příjmení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color w:val="000000"/>
                <w:szCs w:val="20"/>
                <w:lang w:eastAsia="cs-CZ" w:bidi="ar-SA"/>
              </w:rPr>
              <w:t> </w:t>
            </w:r>
          </w:p>
        </w:tc>
        <w:tc>
          <w:tcPr>
            <w:tcW w:w="393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cs-CZ" w:bidi="ar-SA"/>
              </w:rPr>
              <w:t>xxxx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5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</w:pPr>
            <w:r w:rsidRPr="00FE1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 w:bidi="ar-SA"/>
              </w:rPr>
              <w:t>datum</w:t>
            </w:r>
          </w:p>
        </w:tc>
        <w:tc>
          <w:tcPr>
            <w:tcW w:w="3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  <w:t>xxx</w:t>
            </w:r>
            <w:proofErr w:type="spellEnd"/>
          </w:p>
        </w:tc>
      </w:tr>
      <w:tr w:rsidR="00420D7F" w:rsidRPr="00FE1D56" w:rsidTr="002D1B9B">
        <w:trPr>
          <w:trHeight w:val="315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eastAsia="cs-CZ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420D7F" w:rsidRPr="00FE1D56" w:rsidTr="002D1B9B">
        <w:trPr>
          <w:trHeight w:val="825"/>
        </w:trPr>
        <w:tc>
          <w:tcPr>
            <w:tcW w:w="9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* Pokud počet řádků bude </w:t>
            </w:r>
            <w:proofErr w:type="gramStart"/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vyšší než</w:t>
            </w:r>
            <w:proofErr w:type="gramEnd"/>
            <w:r w:rsidRPr="00FE1D56">
              <w:rPr>
                <w:rFonts w:ascii="Calibri" w:eastAsia="Times New Roman" w:hAnsi="Calibri" w:cs="Calibri"/>
                <w:b/>
                <w:bCs/>
                <w:szCs w:val="20"/>
                <w:lang w:eastAsia="cs-CZ" w:bidi="ar-SA"/>
              </w:rPr>
              <w:t xml:space="preserve"> 30 příjemce doručí tab</w:t>
            </w:r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ulku POLOŽKOVÉ VYÚČTOVÁNÍ NÁKLADŮ PROJEKTU rovněž v souboru ve formátu </w:t>
            </w:r>
            <w:proofErr w:type="spellStart"/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>excel</w:t>
            </w:r>
            <w:proofErr w:type="spellEnd"/>
            <w:r w:rsidRPr="00FE1D5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  <w:t xml:space="preserve"> poskytovateli dotace elektronicky (na elektronickou podatelnu, datovou schránkou popř. mailem).</w:t>
            </w:r>
          </w:p>
        </w:tc>
      </w:tr>
      <w:tr w:rsidR="00420D7F" w:rsidRPr="00FE1D56" w:rsidTr="002D1B9B">
        <w:trPr>
          <w:trHeight w:val="30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7F" w:rsidRPr="00FE1D56" w:rsidRDefault="00420D7F" w:rsidP="002D1B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</w:tbl>
    <w:p w:rsidR="00420D7F" w:rsidRPr="0096123E" w:rsidRDefault="00420D7F" w:rsidP="00420D7F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</w:p>
    <w:p w:rsidR="00670E03" w:rsidRDefault="00670E03" w:rsidP="00670E03">
      <w:pPr>
        <w:pStyle w:val="Zhlav"/>
        <w:ind w:left="1276"/>
        <w:jc w:val="center"/>
        <w:rPr>
          <w:sz w:val="24"/>
        </w:rPr>
      </w:pPr>
    </w:p>
    <w:sectPr w:rsidR="00670E03" w:rsidSect="0016784A">
      <w:footerReference w:type="default" r:id="rId7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:rsidTr="00C2508F">
      <w:tc>
        <w:tcPr>
          <w:tcW w:w="6771" w:type="dxa"/>
        </w:tcPr>
        <w:p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1255D8">
            <w:rPr>
              <w:rFonts w:cs="Arial"/>
              <w:noProof/>
              <w:sz w:val="12"/>
              <w:szCs w:val="12"/>
            </w:rPr>
            <w:t>2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1255D8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4506A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95BB5"/>
    <w:rsid w:val="000A13FB"/>
    <w:rsid w:val="000A25FE"/>
    <w:rsid w:val="000A357A"/>
    <w:rsid w:val="000A397A"/>
    <w:rsid w:val="000A4BA3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55D8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0D7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171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6229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2406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4A6A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CCB38E3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3E676D99E04794B49A3B541AC60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D7B5B-F38C-430D-8BD0-4DDCCBB1D801}"/>
      </w:docPartPr>
      <w:docPartBody>
        <w:p w:rsidR="00A22A54" w:rsidRDefault="00943C98" w:rsidP="00943C98">
          <w:pPr>
            <w:pStyle w:val="8F3E676D99E04794B49A3B541AC60B1C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DE9CBAE4597409FAC9FBF3CEC127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78109-458D-4F9C-9CE5-B6DB118DFE69}"/>
      </w:docPartPr>
      <w:docPartBody>
        <w:p w:rsidR="00A22A54" w:rsidRDefault="00943C98" w:rsidP="00943C98">
          <w:pPr>
            <w:pStyle w:val="EDE9CBAE4597409FAC9FBF3CEC1271A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E76E3E0AECD46299012EE5AAB8D6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52C10-0444-4517-9542-1DE2D906FE5B}"/>
      </w:docPartPr>
      <w:docPartBody>
        <w:p w:rsidR="00A22A54" w:rsidRDefault="00943C98" w:rsidP="00943C98">
          <w:pPr>
            <w:pStyle w:val="0E76E3E0AECD46299012EE5AAB8D6473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07"/>
    <w:rsid w:val="00213800"/>
    <w:rsid w:val="002747CD"/>
    <w:rsid w:val="00943C98"/>
    <w:rsid w:val="00A22A54"/>
    <w:rsid w:val="00AA2807"/>
    <w:rsid w:val="00AA5FAF"/>
    <w:rsid w:val="00B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0E266E8A20E459B888B9DB295E3DE26">
    <w:name w:val="E0E266E8A20E459B888B9DB295E3DE26"/>
  </w:style>
  <w:style w:type="paragraph" w:customStyle="1" w:styleId="841B2AAEDF7241F08E2EAC349BFE3F77">
    <w:name w:val="841B2AAEDF7241F08E2EAC349BFE3F77"/>
  </w:style>
  <w:style w:type="paragraph" w:customStyle="1" w:styleId="9DB9D7284B134F0197B0F39DE28AE42A">
    <w:name w:val="9DB9D7284B134F0197B0F39DE28AE42A"/>
    <w:rsid w:val="00BC55C6"/>
  </w:style>
  <w:style w:type="paragraph" w:customStyle="1" w:styleId="813AB00C70AA4051857B167FE310D2B3">
    <w:name w:val="813AB00C70AA4051857B167FE310D2B3"/>
    <w:rsid w:val="00BC55C6"/>
  </w:style>
  <w:style w:type="paragraph" w:customStyle="1" w:styleId="C7B54FEAFD614A25BF08B5075224D251">
    <w:name w:val="C7B54FEAFD614A25BF08B5075224D251"/>
    <w:rsid w:val="00BC55C6"/>
  </w:style>
  <w:style w:type="paragraph" w:customStyle="1" w:styleId="3ED9E469AA20493D96D2A72B539B3EDD">
    <w:name w:val="3ED9E469AA20493D96D2A72B539B3EDD"/>
    <w:rsid w:val="00AA5FAF"/>
  </w:style>
  <w:style w:type="paragraph" w:customStyle="1" w:styleId="D7F05BF972104324BC5CC890D29CC704">
    <w:name w:val="D7F05BF972104324BC5CC890D29CC704"/>
    <w:rsid w:val="00AA5FAF"/>
  </w:style>
  <w:style w:type="paragraph" w:customStyle="1" w:styleId="C64008FCB29F49E98205D1AE822E0C43">
    <w:name w:val="C64008FCB29F49E98205D1AE822E0C43"/>
    <w:rsid w:val="00AA5FAF"/>
  </w:style>
  <w:style w:type="paragraph" w:customStyle="1" w:styleId="8F3E676D99E04794B49A3B541AC60B1C">
    <w:name w:val="8F3E676D99E04794B49A3B541AC60B1C"/>
    <w:rsid w:val="00943C98"/>
  </w:style>
  <w:style w:type="paragraph" w:customStyle="1" w:styleId="EDE9CBAE4597409FAC9FBF3CEC1271A3">
    <w:name w:val="EDE9CBAE4597409FAC9FBF3CEC1271A3"/>
    <w:rsid w:val="00943C98"/>
  </w:style>
  <w:style w:type="paragraph" w:customStyle="1" w:styleId="0E76E3E0AECD46299012EE5AAB8D6473">
    <w:name w:val="0E76E3E0AECD46299012EE5AAB8D6473"/>
    <w:rsid w:val="00943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2424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2022-03-04T09:20:00Z</cp:lastPrinted>
  <dcterms:created xsi:type="dcterms:W3CDTF">2024-01-31T13:13:00Z</dcterms:created>
  <dcterms:modified xsi:type="dcterms:W3CDTF">2024-02-21T08:32:00Z</dcterms:modified>
</cp:coreProperties>
</file>