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C47" w:rsidRDefault="00F7093D">
      <w:pPr>
        <w:pStyle w:val="Heading10"/>
        <w:keepNext/>
        <w:keepLines/>
      </w:pPr>
      <w:bookmarkStart w:id="0" w:name="bookmark0"/>
      <w:r>
        <w:rPr>
          <w:rStyle w:val="Heading1"/>
          <w:b/>
          <w:bCs/>
        </w:rPr>
        <w:t>Smlouva o využití výsledků</w:t>
      </w:r>
      <w:r>
        <w:rPr>
          <w:rStyle w:val="Heading1"/>
          <w:b/>
          <w:bCs/>
        </w:rPr>
        <w:br/>
        <w:t>dosažených při řešení projektu výzkumu a vývoje</w:t>
      </w:r>
      <w:r>
        <w:rPr>
          <w:rStyle w:val="Heading1"/>
          <w:b/>
          <w:bCs/>
        </w:rPr>
        <w:br/>
        <w:t>č. FW103010583</w:t>
      </w:r>
      <w:bookmarkEnd w:id="0"/>
    </w:p>
    <w:p w:rsidR="00857C47" w:rsidRDefault="00F7093D">
      <w:pPr>
        <w:pStyle w:val="Zkladntext"/>
        <w:spacing w:after="760"/>
        <w:jc w:val="center"/>
      </w:pPr>
      <w:r>
        <w:rPr>
          <w:rStyle w:val="ZkladntextChar"/>
        </w:rPr>
        <w:t>uzavřená podle ustanovení § 1746 odst. 2 zák. č. 89/2012 Sb., občanský zákoník, ve znění</w:t>
      </w:r>
      <w:r>
        <w:rPr>
          <w:rStyle w:val="ZkladntextChar"/>
        </w:rPr>
        <w:br/>
        <w:t xml:space="preserve">pozdějších předpisů (dále též občanský „zákoník“), </w:t>
      </w:r>
      <w:proofErr w:type="gramStart"/>
      <w:r>
        <w:rPr>
          <w:rStyle w:val="ZkladntextChar"/>
        </w:rPr>
        <w:t>mezi</w:t>
      </w:r>
      <w:proofErr w:type="gramEnd"/>
      <w:r>
        <w:rPr>
          <w:rStyle w:val="ZkladntextChar"/>
        </w:rPr>
        <w:t>:</w:t>
      </w:r>
    </w:p>
    <w:p w:rsidR="00857C47" w:rsidRDefault="00F7093D">
      <w:pPr>
        <w:pStyle w:val="Bodytext20"/>
        <w:numPr>
          <w:ilvl w:val="0"/>
          <w:numId w:val="1"/>
        </w:numPr>
        <w:tabs>
          <w:tab w:val="left" w:pos="330"/>
        </w:tabs>
        <w:spacing w:after="80"/>
      </w:pPr>
      <w:r>
        <w:rPr>
          <w:rStyle w:val="Bodytext2"/>
          <w:b/>
          <w:bCs/>
        </w:rPr>
        <w:t xml:space="preserve">Hlavní příjemce </w:t>
      </w:r>
      <w:r>
        <w:rPr>
          <w:rStyle w:val="Bodytext2"/>
          <w:b/>
          <w:bCs/>
        </w:rPr>
        <w:t>dotace</w:t>
      </w:r>
    </w:p>
    <w:p w:rsidR="00857C47" w:rsidRDefault="00F7093D">
      <w:pPr>
        <w:pStyle w:val="Bodytext20"/>
      </w:pPr>
      <w:r>
        <w:rPr>
          <w:rStyle w:val="Bodytext2"/>
        </w:rPr>
        <w:t xml:space="preserve">Název: </w:t>
      </w:r>
      <w:r>
        <w:rPr>
          <w:rStyle w:val="Bodytext2"/>
          <w:b/>
          <w:bCs/>
        </w:rPr>
        <w:t>ELLA-CS, s.r.o.</w:t>
      </w:r>
    </w:p>
    <w:p w:rsidR="00857C47" w:rsidRDefault="00F7093D">
      <w:pPr>
        <w:pStyle w:val="Bodytext20"/>
      </w:pPr>
      <w:r>
        <w:rPr>
          <w:rStyle w:val="Bodytext2"/>
        </w:rPr>
        <w:t>se sídlem: Milady Horákové 504/45, Třebeš, 500 06 Hradec Králové</w:t>
      </w:r>
    </w:p>
    <w:p w:rsidR="00857C47" w:rsidRDefault="00F7093D">
      <w:pPr>
        <w:pStyle w:val="Bodytext20"/>
      </w:pPr>
      <w:r>
        <w:rPr>
          <w:rStyle w:val="Bodytext2"/>
        </w:rPr>
        <w:t>IČ: 27507785</w:t>
      </w:r>
    </w:p>
    <w:p w:rsidR="00857C47" w:rsidRDefault="00F7093D">
      <w:pPr>
        <w:pStyle w:val="Bodytext20"/>
      </w:pPr>
      <w:r>
        <w:rPr>
          <w:rStyle w:val="Bodytext2"/>
        </w:rPr>
        <w:t>DIČ: CZ27507785</w:t>
      </w:r>
    </w:p>
    <w:p w:rsidR="00857C47" w:rsidRDefault="00F7093D">
      <w:pPr>
        <w:pStyle w:val="Bodytext20"/>
      </w:pPr>
      <w:r>
        <w:rPr>
          <w:rStyle w:val="Bodytext2"/>
        </w:rPr>
        <w:t xml:space="preserve">Bank. </w:t>
      </w:r>
      <w:proofErr w:type="gramStart"/>
      <w:r>
        <w:rPr>
          <w:rStyle w:val="Bodytext2"/>
        </w:rPr>
        <w:t>spojení</w:t>
      </w:r>
      <w:proofErr w:type="gramEnd"/>
      <w:r>
        <w:rPr>
          <w:rStyle w:val="Bodytext2"/>
        </w:rPr>
        <w:t>: 297777127/0300</w:t>
      </w:r>
    </w:p>
    <w:p w:rsidR="00857C47" w:rsidRDefault="00F7093D">
      <w:pPr>
        <w:pStyle w:val="Bodytext20"/>
      </w:pPr>
      <w:r>
        <w:rPr>
          <w:rStyle w:val="Bodytext2"/>
        </w:rPr>
        <w:t xml:space="preserve">Zastoupena: </w:t>
      </w:r>
      <w:proofErr w:type="spellStart"/>
      <w:r>
        <w:rPr>
          <w:rStyle w:val="Bodytext2"/>
        </w:rPr>
        <w:t>xxxxx</w:t>
      </w:r>
      <w:proofErr w:type="spellEnd"/>
    </w:p>
    <w:p w:rsidR="00857C47" w:rsidRDefault="00F7093D">
      <w:pPr>
        <w:pStyle w:val="Bodytext20"/>
        <w:spacing w:after="80"/>
      </w:pPr>
      <w:r>
        <w:rPr>
          <w:rStyle w:val="Bodytext2"/>
        </w:rPr>
        <w:t>Zapsána Krajským soudem v Hradci Králové, oddíl C vlož</w:t>
      </w:r>
      <w:r>
        <w:rPr>
          <w:rStyle w:val="Bodytext2"/>
        </w:rPr>
        <w:t>ka 23050</w:t>
      </w:r>
    </w:p>
    <w:p w:rsidR="00857C47" w:rsidRDefault="00F7093D">
      <w:pPr>
        <w:pStyle w:val="Bodytext20"/>
        <w:spacing w:after="220"/>
      </w:pPr>
      <w:r>
        <w:rPr>
          <w:rStyle w:val="Bodytext2"/>
        </w:rPr>
        <w:t>(dále jen „Hlavní příjemce“ či „ELLA“)</w:t>
      </w:r>
    </w:p>
    <w:p w:rsidR="00857C47" w:rsidRDefault="00F7093D">
      <w:pPr>
        <w:pStyle w:val="Bodytext20"/>
        <w:spacing w:after="220"/>
        <w:jc w:val="center"/>
      </w:pPr>
      <w:r>
        <w:rPr>
          <w:rStyle w:val="Bodytext2"/>
          <w:b/>
          <w:bCs/>
        </w:rPr>
        <w:t>a</w:t>
      </w:r>
    </w:p>
    <w:p w:rsidR="00857C47" w:rsidRDefault="00F7093D">
      <w:pPr>
        <w:pStyle w:val="Bodytext20"/>
        <w:numPr>
          <w:ilvl w:val="0"/>
          <w:numId w:val="1"/>
        </w:numPr>
        <w:tabs>
          <w:tab w:val="left" w:pos="339"/>
        </w:tabs>
        <w:spacing w:after="80"/>
      </w:pPr>
      <w:r>
        <w:rPr>
          <w:rStyle w:val="Bodytext2"/>
          <w:b/>
          <w:bCs/>
        </w:rPr>
        <w:t>Další účastník projektu</w:t>
      </w:r>
    </w:p>
    <w:p w:rsidR="00857C47" w:rsidRDefault="00F7093D">
      <w:pPr>
        <w:pStyle w:val="Bodytext20"/>
        <w:tabs>
          <w:tab w:val="left" w:pos="1570"/>
        </w:tabs>
      </w:pPr>
      <w:r>
        <w:rPr>
          <w:rStyle w:val="Bodytext2"/>
        </w:rPr>
        <w:t>Název:</w:t>
      </w:r>
      <w:r>
        <w:rPr>
          <w:rStyle w:val="Bodytext2"/>
        </w:rPr>
        <w:tab/>
      </w:r>
      <w:r>
        <w:rPr>
          <w:rStyle w:val="Bodytext2"/>
          <w:b/>
          <w:bCs/>
        </w:rPr>
        <w:t>Vysoká škola chemicko-technologická v Praze (VŠCHT Praha)</w:t>
      </w:r>
    </w:p>
    <w:p w:rsidR="00857C47" w:rsidRDefault="00F7093D">
      <w:pPr>
        <w:pStyle w:val="Bodytext20"/>
        <w:tabs>
          <w:tab w:val="left" w:pos="1570"/>
        </w:tabs>
      </w:pPr>
      <w:r>
        <w:rPr>
          <w:rStyle w:val="Bodytext2"/>
        </w:rPr>
        <w:t>se sídlem:</w:t>
      </w:r>
      <w:r>
        <w:rPr>
          <w:rStyle w:val="Bodytext2"/>
        </w:rPr>
        <w:tab/>
        <w:t>Technická 1905/5, 160 00, Praha 6 - Dejvice</w:t>
      </w:r>
    </w:p>
    <w:p w:rsidR="00857C47" w:rsidRDefault="00F7093D">
      <w:pPr>
        <w:pStyle w:val="Bodytext20"/>
        <w:tabs>
          <w:tab w:val="left" w:pos="1570"/>
        </w:tabs>
      </w:pPr>
      <w:r>
        <w:rPr>
          <w:rStyle w:val="Bodytext2"/>
        </w:rPr>
        <w:t>IČ:</w:t>
      </w:r>
      <w:r>
        <w:rPr>
          <w:rStyle w:val="Bodytext2"/>
        </w:rPr>
        <w:tab/>
        <w:t>60461373</w:t>
      </w:r>
    </w:p>
    <w:p w:rsidR="00857C47" w:rsidRDefault="00F7093D">
      <w:pPr>
        <w:pStyle w:val="Bodytext20"/>
        <w:tabs>
          <w:tab w:val="left" w:pos="1570"/>
        </w:tabs>
      </w:pPr>
      <w:r>
        <w:rPr>
          <w:rStyle w:val="Bodytext2"/>
        </w:rPr>
        <w:t>DIČ:</w:t>
      </w:r>
      <w:r>
        <w:rPr>
          <w:rStyle w:val="Bodytext2"/>
        </w:rPr>
        <w:tab/>
        <w:t>CZ60461373</w:t>
      </w:r>
    </w:p>
    <w:p w:rsidR="00857C47" w:rsidRDefault="00F7093D">
      <w:pPr>
        <w:pStyle w:val="Bodytext20"/>
        <w:tabs>
          <w:tab w:val="left" w:pos="1570"/>
        </w:tabs>
      </w:pPr>
      <w:r>
        <w:rPr>
          <w:rStyle w:val="Bodytext2"/>
        </w:rPr>
        <w:t xml:space="preserve">Bank. </w:t>
      </w:r>
      <w:proofErr w:type="gramStart"/>
      <w:r>
        <w:rPr>
          <w:rStyle w:val="Bodytext2"/>
        </w:rPr>
        <w:t>spojení</w:t>
      </w:r>
      <w:proofErr w:type="gramEnd"/>
      <w:r>
        <w:rPr>
          <w:rStyle w:val="Bodytext2"/>
        </w:rPr>
        <w:t>:</w:t>
      </w:r>
      <w:r>
        <w:rPr>
          <w:rStyle w:val="Bodytext2"/>
        </w:rPr>
        <w:tab/>
        <w:t>ČSOB, a.s.</w:t>
      </w:r>
    </w:p>
    <w:p w:rsidR="00857C47" w:rsidRDefault="00F7093D">
      <w:pPr>
        <w:pStyle w:val="Bodytext20"/>
        <w:tabs>
          <w:tab w:val="left" w:pos="1570"/>
        </w:tabs>
      </w:pPr>
      <w:r>
        <w:rPr>
          <w:rStyle w:val="Bodytext2"/>
        </w:rPr>
        <w:t>Č. účtu</w:t>
      </w:r>
      <w:r>
        <w:rPr>
          <w:rStyle w:val="Bodytext2"/>
        </w:rPr>
        <w:t>:</w:t>
      </w:r>
      <w:r>
        <w:rPr>
          <w:rStyle w:val="Bodytext2"/>
        </w:rPr>
        <w:tab/>
        <w:t>130197294/0300</w:t>
      </w:r>
    </w:p>
    <w:p w:rsidR="00857C47" w:rsidRDefault="00F7093D">
      <w:pPr>
        <w:pStyle w:val="Bodytext20"/>
        <w:tabs>
          <w:tab w:val="left" w:pos="1570"/>
        </w:tabs>
        <w:spacing w:after="220"/>
      </w:pPr>
      <w:r>
        <w:rPr>
          <w:rStyle w:val="Bodytext2"/>
        </w:rPr>
        <w:t>Zastoupena:</w:t>
      </w:r>
      <w:r>
        <w:rPr>
          <w:rStyle w:val="Bodytext2"/>
        </w:rPr>
        <w:tab/>
      </w:r>
      <w:proofErr w:type="spellStart"/>
      <w:r>
        <w:rPr>
          <w:rStyle w:val="Bodytext2"/>
        </w:rPr>
        <w:t>xxxxxx</w:t>
      </w:r>
      <w:proofErr w:type="spellEnd"/>
      <w:r>
        <w:rPr>
          <w:rStyle w:val="Bodytext2"/>
        </w:rPr>
        <w:t>, prorektorem pro vědu a výzkum</w:t>
      </w:r>
    </w:p>
    <w:p w:rsidR="00857C47" w:rsidRDefault="00F7093D">
      <w:pPr>
        <w:pStyle w:val="Bodytext20"/>
        <w:spacing w:after="420"/>
      </w:pPr>
      <w:r>
        <w:rPr>
          <w:rStyle w:val="Bodytext2"/>
        </w:rPr>
        <w:t>(dále jen „Další účastník projektu “ či „V ŠCHT Praha“)</w:t>
      </w:r>
    </w:p>
    <w:p w:rsidR="00857C47" w:rsidRDefault="00F7093D">
      <w:pPr>
        <w:pStyle w:val="Zkladntext"/>
        <w:spacing w:after="220"/>
      </w:pPr>
      <w:r>
        <w:rPr>
          <w:rStyle w:val="ZkladntextChar"/>
        </w:rPr>
        <w:t>(společně též jako „smluvní strany“ nebo „účastníci smlouvy“)</w:t>
      </w:r>
    </w:p>
    <w:p w:rsidR="00857C47" w:rsidRDefault="00F7093D">
      <w:pPr>
        <w:pStyle w:val="Zkladntext"/>
        <w:spacing w:after="520"/>
        <w:jc w:val="center"/>
      </w:pPr>
      <w:r>
        <w:rPr>
          <w:rStyle w:val="ZkladntextChar"/>
        </w:rPr>
        <w:t>uzavírají níže uvedeného dne, měsíce a roku</w:t>
      </w:r>
      <w:r>
        <w:rPr>
          <w:rStyle w:val="ZkladntextChar"/>
        </w:rPr>
        <w:t xml:space="preserve"> tuto smlouvu o využití výsledků</w:t>
      </w:r>
      <w:r>
        <w:rPr>
          <w:rStyle w:val="ZkladntextChar"/>
        </w:rPr>
        <w:br/>
        <w:t>dosažených při řešení projektu výzkumu a vývoje ve smyslu ustanovení zákona č. 130/2002 Sb.,</w:t>
      </w:r>
      <w:r>
        <w:rPr>
          <w:rStyle w:val="ZkladntextChar"/>
        </w:rPr>
        <w:br/>
        <w:t>o podpoře výzkumu, vývoje z veřejných prostředků a o změně některých souvisejících zákonů</w:t>
      </w:r>
      <w:r>
        <w:rPr>
          <w:rStyle w:val="ZkladntextChar"/>
        </w:rPr>
        <w:br/>
        <w:t>(zákon o podpoře výzkumu a vývoje), ve z</w:t>
      </w:r>
      <w:r>
        <w:rPr>
          <w:rStyle w:val="ZkladntextChar"/>
        </w:rPr>
        <w:t>nění pozdějších předpisů (dále též „smlouva“)</w:t>
      </w:r>
    </w:p>
    <w:p w:rsidR="00857C47" w:rsidRDefault="00857C47">
      <w:pPr>
        <w:pStyle w:val="Heading40"/>
        <w:keepNext/>
        <w:keepLines/>
        <w:numPr>
          <w:ilvl w:val="0"/>
          <w:numId w:val="2"/>
        </w:numPr>
        <w:spacing w:after="0"/>
      </w:pPr>
      <w:bookmarkStart w:id="1" w:name="bookmark2"/>
      <w:bookmarkEnd w:id="1"/>
    </w:p>
    <w:p w:rsidR="00857C47" w:rsidRDefault="00F7093D">
      <w:pPr>
        <w:pStyle w:val="Heading40"/>
        <w:keepNext/>
        <w:keepLines/>
        <w:spacing w:after="220"/>
      </w:pPr>
      <w:r>
        <w:rPr>
          <w:rStyle w:val="Heading4"/>
          <w:b/>
          <w:bCs/>
        </w:rPr>
        <w:t>Základní údaje o projektu</w:t>
      </w:r>
    </w:p>
    <w:p w:rsidR="00857C47" w:rsidRDefault="00F7093D">
      <w:pPr>
        <w:pStyle w:val="Zkladntext"/>
        <w:numPr>
          <w:ilvl w:val="0"/>
          <w:numId w:val="3"/>
        </w:numPr>
        <w:tabs>
          <w:tab w:val="left" w:pos="542"/>
        </w:tabs>
        <w:ind w:left="600" w:hanging="600"/>
      </w:pPr>
      <w:r>
        <w:rPr>
          <w:rStyle w:val="ZkladntextChar"/>
        </w:rPr>
        <w:t xml:space="preserve">Hlavní příjemce řeší s dalším účastníkem projekt s názvem </w:t>
      </w:r>
      <w:r>
        <w:rPr>
          <w:rStyle w:val="ZkladntextChar"/>
          <w:i/>
          <w:iCs/>
        </w:rPr>
        <w:t xml:space="preserve">„Řešení ochrany nitinolových stentů před korozním prostředím lidského organismu a nové přístupy při jejich testování, </w:t>
      </w:r>
      <w:r>
        <w:rPr>
          <w:rStyle w:val="ZkladntextChar"/>
        </w:rPr>
        <w:t>číslo p</w:t>
      </w:r>
      <w:r>
        <w:rPr>
          <w:rStyle w:val="ZkladntextChar"/>
        </w:rPr>
        <w:t>rojektu FW03010583, získaný na základě výsledků veřejné soutěže vyhlášené Technologickou agenturou České republiky (TA ČR, dále jen poskytovatel) v rámci programu TREND (dále jen „projekt“).</w:t>
      </w:r>
    </w:p>
    <w:p w:rsidR="00857C47" w:rsidRDefault="00F7093D">
      <w:pPr>
        <w:pStyle w:val="Zkladntext"/>
        <w:numPr>
          <w:ilvl w:val="0"/>
          <w:numId w:val="3"/>
        </w:numPr>
        <w:tabs>
          <w:tab w:val="left" w:pos="542"/>
        </w:tabs>
      </w:pPr>
      <w:r>
        <w:rPr>
          <w:rStyle w:val="ZkladntextChar"/>
        </w:rPr>
        <w:t>Termín ukončení řešení projektu byl stanoven na 12/2023.</w:t>
      </w:r>
    </w:p>
    <w:p w:rsidR="00857C47" w:rsidRDefault="00F7093D">
      <w:pPr>
        <w:pStyle w:val="Zkladntext"/>
        <w:numPr>
          <w:ilvl w:val="0"/>
          <w:numId w:val="3"/>
        </w:numPr>
        <w:tabs>
          <w:tab w:val="left" w:pos="542"/>
        </w:tabs>
      </w:pPr>
      <w:r>
        <w:rPr>
          <w:rStyle w:val="ZkladntextChar"/>
        </w:rPr>
        <w:t>Hlavní p</w:t>
      </w:r>
      <w:r>
        <w:rPr>
          <w:rStyle w:val="ZkladntextChar"/>
        </w:rPr>
        <w:t xml:space="preserve">říjemce projektu: </w:t>
      </w:r>
      <w:r>
        <w:rPr>
          <w:rStyle w:val="ZkladntextChar"/>
          <w:b/>
          <w:bCs/>
        </w:rPr>
        <w:t>ELLA-CS, s.r.o.</w:t>
      </w:r>
    </w:p>
    <w:p w:rsidR="00857C47" w:rsidRDefault="00F7093D">
      <w:pPr>
        <w:pStyle w:val="Zkladntext"/>
        <w:numPr>
          <w:ilvl w:val="0"/>
          <w:numId w:val="3"/>
        </w:numPr>
        <w:tabs>
          <w:tab w:val="left" w:pos="542"/>
        </w:tabs>
        <w:spacing w:after="220"/>
        <w:ind w:left="600" w:hanging="600"/>
      </w:pPr>
      <w:r>
        <w:rPr>
          <w:rStyle w:val="ZkladntextChar"/>
        </w:rPr>
        <w:t xml:space="preserve">Na základě Smlouvy o účasti na řešení projektu uzavřené dne </w:t>
      </w:r>
      <w:proofErr w:type="gramStart"/>
      <w:r>
        <w:rPr>
          <w:rStyle w:val="ZkladntextChar"/>
        </w:rPr>
        <w:t>21.4.2021</w:t>
      </w:r>
      <w:proofErr w:type="gramEnd"/>
      <w:r>
        <w:rPr>
          <w:rStyle w:val="ZkladntextChar"/>
        </w:rPr>
        <w:t xml:space="preserve"> mezi výše uvedenými smluvními stranami je dalším účastníkem projektu: </w:t>
      </w:r>
      <w:r>
        <w:rPr>
          <w:rStyle w:val="ZkladntextChar"/>
          <w:b/>
          <w:bCs/>
        </w:rPr>
        <w:t>VŠCHT Praha.</w:t>
      </w:r>
    </w:p>
    <w:p w:rsidR="00857C47" w:rsidRDefault="00F7093D">
      <w:pPr>
        <w:pStyle w:val="Zkladntext"/>
        <w:numPr>
          <w:ilvl w:val="0"/>
          <w:numId w:val="3"/>
        </w:numPr>
        <w:tabs>
          <w:tab w:val="left" w:pos="542"/>
        </w:tabs>
        <w:ind w:left="580" w:hanging="580"/>
        <w:jc w:val="both"/>
      </w:pPr>
      <w:r>
        <w:rPr>
          <w:rStyle w:val="ZkladntextChar"/>
        </w:rPr>
        <w:t>Údaje o projektu podléhají stupni důvěrnosti údajů: C - Předmět řešen</w:t>
      </w:r>
      <w:r>
        <w:rPr>
          <w:rStyle w:val="ZkladntextChar"/>
        </w:rPr>
        <w:t xml:space="preserve">í projektu podléhá obchodnímu tajemství, ale název projektu, anotace projektu a u ukončeného nebo zastaveného </w:t>
      </w:r>
      <w:r>
        <w:rPr>
          <w:rStyle w:val="ZkladntextChar"/>
        </w:rPr>
        <w:lastRenderedPageBreak/>
        <w:t xml:space="preserve">projektu zhodnocení výsledků řešení projektu dodané do </w:t>
      </w:r>
      <w:proofErr w:type="gramStart"/>
      <w:r>
        <w:rPr>
          <w:rStyle w:val="ZkladntextChar"/>
        </w:rPr>
        <w:t>CEP</w:t>
      </w:r>
      <w:proofErr w:type="gramEnd"/>
      <w:r>
        <w:rPr>
          <w:rStyle w:val="ZkladntextChar"/>
        </w:rPr>
        <w:t xml:space="preserve"> jsou upraveny tak, aby byly zveřejnitelné.</w:t>
      </w:r>
    </w:p>
    <w:p w:rsidR="00857C47" w:rsidRDefault="00F7093D">
      <w:pPr>
        <w:pStyle w:val="Zkladntext"/>
        <w:numPr>
          <w:ilvl w:val="0"/>
          <w:numId w:val="3"/>
        </w:numPr>
        <w:tabs>
          <w:tab w:val="left" w:pos="542"/>
        </w:tabs>
        <w:spacing w:after="360"/>
        <w:ind w:left="580" w:hanging="580"/>
        <w:jc w:val="both"/>
      </w:pPr>
      <w:r>
        <w:rPr>
          <w:rStyle w:val="ZkladntextChar"/>
        </w:rPr>
        <w:t>Na základě Smlouvy o poskytnutí podpory uzav</w:t>
      </w:r>
      <w:r>
        <w:rPr>
          <w:rStyle w:val="ZkladntextChar"/>
        </w:rPr>
        <w:t>řené mezi hlavním příjemcem a poskytovatelem je projekt financován z veřejných prostředků v celkové maximální výši 4 105 871 Kč.</w:t>
      </w:r>
    </w:p>
    <w:p w:rsidR="00857C47" w:rsidRDefault="00857C47">
      <w:pPr>
        <w:pStyle w:val="Heading40"/>
        <w:keepNext/>
        <w:keepLines/>
        <w:numPr>
          <w:ilvl w:val="0"/>
          <w:numId w:val="2"/>
        </w:numPr>
        <w:spacing w:after="0"/>
      </w:pPr>
      <w:bookmarkStart w:id="2" w:name="bookmark5"/>
      <w:bookmarkEnd w:id="2"/>
    </w:p>
    <w:p w:rsidR="00857C47" w:rsidRDefault="00F7093D">
      <w:pPr>
        <w:pStyle w:val="Heading40"/>
        <w:keepNext/>
        <w:keepLines/>
        <w:spacing w:after="240"/>
      </w:pPr>
      <w:bookmarkStart w:id="3" w:name="bookmark7"/>
      <w:r>
        <w:rPr>
          <w:rStyle w:val="Heading4"/>
          <w:b/>
          <w:bCs/>
        </w:rPr>
        <w:t>Vymezení výsledků projektu, srovnání s cíli projektu</w:t>
      </w:r>
      <w:bookmarkEnd w:id="3"/>
    </w:p>
    <w:p w:rsidR="00857C47" w:rsidRDefault="00F7093D">
      <w:pPr>
        <w:pStyle w:val="Zkladntext"/>
        <w:numPr>
          <w:ilvl w:val="0"/>
          <w:numId w:val="4"/>
        </w:numPr>
        <w:tabs>
          <w:tab w:val="left" w:pos="761"/>
        </w:tabs>
        <w:jc w:val="both"/>
      </w:pPr>
      <w:r>
        <w:rPr>
          <w:rStyle w:val="ZkladntextChar"/>
        </w:rPr>
        <w:t>Cíle řešení projektu:</w:t>
      </w:r>
    </w:p>
    <w:p w:rsidR="00857C47" w:rsidRDefault="00F7093D">
      <w:pPr>
        <w:pStyle w:val="Zkladntext"/>
        <w:ind w:left="720" w:firstLine="60"/>
        <w:jc w:val="both"/>
      </w:pPr>
      <w:r>
        <w:rPr>
          <w:rStyle w:val="ZkladntextChar"/>
          <w:color w:val="333333"/>
        </w:rPr>
        <w:t xml:space="preserve">Cílem projektu je zvýšení bezpečnosti a účinnosti </w:t>
      </w:r>
      <w:r>
        <w:rPr>
          <w:rStyle w:val="ZkladntextChar"/>
          <w:color w:val="333333"/>
        </w:rPr>
        <w:t xml:space="preserve">nitinolových stentů jejich ochranou před korozním </w:t>
      </w:r>
      <w:proofErr w:type="gramStart"/>
      <w:r>
        <w:rPr>
          <w:rStyle w:val="ZkladntextChar"/>
          <w:color w:val="333333"/>
        </w:rPr>
        <w:t>prostředí</w:t>
      </w:r>
      <w:proofErr w:type="gramEnd"/>
      <w:r>
        <w:rPr>
          <w:rStyle w:val="ZkladntextChar"/>
          <w:color w:val="333333"/>
        </w:rPr>
        <w:t xml:space="preserve"> lidského organismu. Hlavním výsledkem projektu bude ověřená technologie, která bude </w:t>
      </w:r>
      <w:proofErr w:type="spellStart"/>
      <w:r>
        <w:rPr>
          <w:rStyle w:val="ZkladntextChar"/>
          <w:color w:val="333333"/>
        </w:rPr>
        <w:t>NiTi</w:t>
      </w:r>
      <w:proofErr w:type="spellEnd"/>
      <w:r>
        <w:rPr>
          <w:rStyle w:val="ZkladntextChar"/>
          <w:color w:val="333333"/>
        </w:rPr>
        <w:t xml:space="preserve"> stenty chránit před účinky korozního prostředí lidského organismu. Koroze vzniklá v důsledku tohoto prostře</w:t>
      </w:r>
      <w:r>
        <w:rPr>
          <w:rStyle w:val="ZkladntextChar"/>
          <w:color w:val="333333"/>
        </w:rPr>
        <w:t>dí může stent tak poškodit, že může dojít až k jeho destrukci, prasknutí nitinolového drátu. To může vést až k poškození stentovaného orgánu, průniku drátu stentu do okolního prostoru s možným následkem těžké sepse vedoucí až k úmrtí pacienta. V rámci toho</w:t>
      </w:r>
      <w:r>
        <w:rPr>
          <w:rStyle w:val="ZkladntextChar"/>
          <w:color w:val="333333"/>
        </w:rPr>
        <w:t xml:space="preserve">to projektu získaná ověřená technologie ochrany </w:t>
      </w:r>
      <w:proofErr w:type="spellStart"/>
      <w:r>
        <w:rPr>
          <w:rStyle w:val="ZkladntextChar"/>
          <w:color w:val="333333"/>
        </w:rPr>
        <w:t>NiTi</w:t>
      </w:r>
      <w:proofErr w:type="spellEnd"/>
      <w:r>
        <w:rPr>
          <w:rStyle w:val="ZkladntextChar"/>
          <w:color w:val="333333"/>
        </w:rPr>
        <w:t xml:space="preserve"> stentů před korozí tedy významně zvýší bezpečnost a účinnost tohoto zdravotnického prostředku - implantátu.</w:t>
      </w:r>
    </w:p>
    <w:p w:rsidR="00857C47" w:rsidRDefault="00F7093D">
      <w:pPr>
        <w:pStyle w:val="Zkladntext"/>
        <w:numPr>
          <w:ilvl w:val="0"/>
          <w:numId w:val="4"/>
        </w:numPr>
        <w:tabs>
          <w:tab w:val="left" w:pos="761"/>
        </w:tabs>
        <w:jc w:val="both"/>
      </w:pPr>
      <w:r>
        <w:rPr>
          <w:rStyle w:val="ZkladntextChar"/>
        </w:rPr>
        <w:t>Smluvní strany dosáhly při řešení projektu následujících výsledků:</w:t>
      </w:r>
    </w:p>
    <w:p w:rsidR="00857C47" w:rsidRDefault="00F7093D">
      <w:pPr>
        <w:pStyle w:val="Heading40"/>
        <w:keepNext/>
        <w:keepLines/>
        <w:spacing w:after="0"/>
        <w:ind w:firstLine="720"/>
        <w:jc w:val="both"/>
      </w:pPr>
      <w:bookmarkStart w:id="4" w:name="bookmark9"/>
      <w:r>
        <w:rPr>
          <w:rStyle w:val="Heading4"/>
          <w:b/>
          <w:bCs/>
          <w:color w:val="333333"/>
        </w:rPr>
        <w:t>Výsledek číslo 1 - Identifik</w:t>
      </w:r>
      <w:r>
        <w:rPr>
          <w:rStyle w:val="Heading4"/>
          <w:b/>
          <w:bCs/>
          <w:color w:val="333333"/>
        </w:rPr>
        <w:t>ační číslo FW103010583-V1</w:t>
      </w:r>
      <w:bookmarkEnd w:id="4"/>
    </w:p>
    <w:p w:rsidR="00857C47" w:rsidRDefault="00F7093D">
      <w:pPr>
        <w:pStyle w:val="Heading40"/>
        <w:keepNext/>
        <w:keepLines/>
        <w:spacing w:after="0"/>
        <w:ind w:left="720" w:firstLine="60"/>
        <w:jc w:val="both"/>
      </w:pPr>
      <w:r>
        <w:rPr>
          <w:rStyle w:val="Heading4"/>
          <w:b/>
          <w:bCs/>
          <w:color w:val="333333"/>
        </w:rPr>
        <w:t>Ověřená technologie řešení ochrany nitinolových stentů před korozním prostředím lidského organismu a nové přístupy při jejich testování</w:t>
      </w:r>
    </w:p>
    <w:p w:rsidR="00857C47" w:rsidRDefault="00F7093D">
      <w:pPr>
        <w:pStyle w:val="Zkladntext"/>
        <w:spacing w:after="0"/>
        <w:ind w:firstLine="720"/>
        <w:jc w:val="both"/>
      </w:pPr>
      <w:r>
        <w:rPr>
          <w:rStyle w:val="ZkladntextChar"/>
        </w:rPr>
        <w:t>Druh výsledku: Ztech - Ověřená technologie</w:t>
      </w:r>
    </w:p>
    <w:p w:rsidR="00857C47" w:rsidRDefault="00F7093D">
      <w:pPr>
        <w:pStyle w:val="Zkladntext"/>
        <w:spacing w:after="0"/>
        <w:ind w:firstLine="720"/>
        <w:jc w:val="both"/>
      </w:pPr>
      <w:r>
        <w:rPr>
          <w:rStyle w:val="ZkladntextChar"/>
        </w:rPr>
        <w:t>Výsledek byl dosažen v roce 2023.</w:t>
      </w:r>
    </w:p>
    <w:p w:rsidR="00857C47" w:rsidRDefault="00F7093D">
      <w:pPr>
        <w:pStyle w:val="Zkladntext"/>
        <w:ind w:left="720" w:firstLine="60"/>
        <w:jc w:val="both"/>
      </w:pPr>
      <w:r>
        <w:rPr>
          <w:rStyle w:val="ZkladntextChar"/>
        </w:rPr>
        <w:t xml:space="preserve">Podílové </w:t>
      </w:r>
      <w:r>
        <w:rPr>
          <w:rStyle w:val="ZkladntextChar"/>
        </w:rPr>
        <w:t>spoluvlastnictví výsledku: ELLA-CS, s.r.o.: 50%, Vysoká škola chemicko- technologická v Praze: 50%.</w:t>
      </w:r>
    </w:p>
    <w:p w:rsidR="00857C47" w:rsidRDefault="00F7093D">
      <w:pPr>
        <w:pStyle w:val="Zkladntext"/>
        <w:ind w:firstLine="720"/>
        <w:jc w:val="both"/>
      </w:pPr>
      <w:r>
        <w:rPr>
          <w:rStyle w:val="ZkladntextChar"/>
        </w:rPr>
        <w:t>(dále společně jen „</w:t>
      </w:r>
      <w:r>
        <w:rPr>
          <w:rStyle w:val="ZkladntextChar"/>
          <w:b/>
          <w:bCs/>
        </w:rPr>
        <w:t>výsledky</w:t>
      </w:r>
      <w:r>
        <w:rPr>
          <w:rStyle w:val="ZkladntextChar"/>
        </w:rPr>
        <w:t>“).</w:t>
      </w:r>
    </w:p>
    <w:p w:rsidR="00857C47" w:rsidRDefault="00F7093D">
      <w:pPr>
        <w:pStyle w:val="Zkladntext"/>
        <w:numPr>
          <w:ilvl w:val="0"/>
          <w:numId w:val="4"/>
        </w:numPr>
        <w:tabs>
          <w:tab w:val="left" w:pos="761"/>
        </w:tabs>
        <w:jc w:val="both"/>
      </w:pPr>
      <w:r>
        <w:rPr>
          <w:rStyle w:val="ZkladntextChar"/>
        </w:rPr>
        <w:t>Uvedené výsledky projektu jsou v souladu s cíli projektu.</w:t>
      </w:r>
    </w:p>
    <w:p w:rsidR="00857C47" w:rsidRDefault="00F7093D">
      <w:pPr>
        <w:pStyle w:val="Zkladntext"/>
        <w:numPr>
          <w:ilvl w:val="0"/>
          <w:numId w:val="4"/>
        </w:numPr>
        <w:tabs>
          <w:tab w:val="left" w:pos="761"/>
        </w:tabs>
        <w:ind w:left="720" w:hanging="720"/>
        <w:jc w:val="both"/>
      </w:pPr>
      <w:r>
        <w:rPr>
          <w:rStyle w:val="ZkladntextChar"/>
        </w:rPr>
        <w:t xml:space="preserve">Výsledky projektu, včetně závěrečné zprávy, podléhají ochraně dle </w:t>
      </w:r>
      <w:r>
        <w:rPr>
          <w:rStyle w:val="ZkladntextChar"/>
        </w:rPr>
        <w:t>zákona č. 121/2000 Sb., o právu autorském, o právech souvisejících s právem autorským a o změně některých zákonů (autorský zákon), ve znění pozdějších předpisů (dále též „autorský zákon“) nebo jiných zvláštních předpisů a ve smyslu § 58 autorského zákona s</w:t>
      </w:r>
      <w:r>
        <w:rPr>
          <w:rStyle w:val="ZkladntextChar"/>
        </w:rPr>
        <w:t>e považují za zaměstnanecká díla, k nimž majetková práva vykonává hlavní příjemce nebo další účastník projektu.</w:t>
      </w:r>
    </w:p>
    <w:p w:rsidR="00857C47" w:rsidRDefault="00F7093D">
      <w:pPr>
        <w:pStyle w:val="Zkladntext"/>
        <w:numPr>
          <w:ilvl w:val="0"/>
          <w:numId w:val="4"/>
        </w:numPr>
        <w:tabs>
          <w:tab w:val="left" w:pos="761"/>
        </w:tabs>
        <w:spacing w:after="360"/>
        <w:ind w:left="720" w:hanging="720"/>
        <w:jc w:val="both"/>
      </w:pPr>
      <w:r>
        <w:rPr>
          <w:rStyle w:val="ZkladntextChar"/>
        </w:rPr>
        <w:t>Hlavní příjemce a další účastník projektu prohlašují, že uvedené výsledky řešení projektu nejsou zároveň výsledky jiného projektu nebo výzkumnéh</w:t>
      </w:r>
      <w:r>
        <w:rPr>
          <w:rStyle w:val="ZkladntextChar"/>
        </w:rPr>
        <w:t>o záměru.</w:t>
      </w:r>
    </w:p>
    <w:p w:rsidR="00857C47" w:rsidRDefault="00857C47">
      <w:pPr>
        <w:pStyle w:val="Heading40"/>
        <w:keepNext/>
        <w:keepLines/>
        <w:numPr>
          <w:ilvl w:val="0"/>
          <w:numId w:val="2"/>
        </w:numPr>
        <w:spacing w:after="0"/>
      </w:pPr>
      <w:bookmarkStart w:id="5" w:name="bookmark12"/>
      <w:bookmarkEnd w:id="5"/>
    </w:p>
    <w:p w:rsidR="00857C47" w:rsidRDefault="00F7093D">
      <w:pPr>
        <w:pStyle w:val="Heading40"/>
        <w:keepNext/>
        <w:keepLines/>
        <w:spacing w:after="240"/>
      </w:pPr>
      <w:bookmarkStart w:id="6" w:name="bookmark14"/>
      <w:r>
        <w:rPr>
          <w:rStyle w:val="Heading4"/>
          <w:b/>
          <w:bCs/>
        </w:rPr>
        <w:t>Úprava užívacích práv k výsledkům projektu, způsob využití výsledků a doba, ve které</w:t>
      </w:r>
      <w:r>
        <w:rPr>
          <w:rStyle w:val="Heading4"/>
          <w:b/>
          <w:bCs/>
        </w:rPr>
        <w:br/>
        <w:t>budou výsledky využity</w:t>
      </w:r>
      <w:bookmarkEnd w:id="6"/>
    </w:p>
    <w:p w:rsidR="00857C47" w:rsidRDefault="00F7093D">
      <w:pPr>
        <w:pStyle w:val="Zkladntext"/>
        <w:numPr>
          <w:ilvl w:val="0"/>
          <w:numId w:val="5"/>
        </w:numPr>
        <w:tabs>
          <w:tab w:val="left" w:pos="774"/>
        </w:tabs>
        <w:ind w:left="720" w:hanging="280"/>
        <w:jc w:val="both"/>
      </w:pPr>
      <w:r>
        <w:rPr>
          <w:rStyle w:val="ZkladntextChar"/>
        </w:rPr>
        <w:t xml:space="preserve">Všechna práva k výsledkům řešení projektu patří ve smyslu ust. § 16 odst. 3 zákona č. 130/2002 Sb. o podpoře výzkumu, experimentálního </w:t>
      </w:r>
      <w:r>
        <w:rPr>
          <w:rStyle w:val="ZkladntextChar"/>
        </w:rPr>
        <w:t xml:space="preserve">vývoje a inovací příjemci podpory a dalším účastníkům. Rozdělení práv k výsledkům je v souladu se Smlouvou o účasti na řešení projektu ze dne </w:t>
      </w:r>
      <w:proofErr w:type="gramStart"/>
      <w:r>
        <w:rPr>
          <w:rStyle w:val="ZkladntextChar"/>
        </w:rPr>
        <w:t>21.4.2021</w:t>
      </w:r>
      <w:proofErr w:type="gramEnd"/>
      <w:r>
        <w:rPr>
          <w:rStyle w:val="ZkladntextChar"/>
        </w:rPr>
        <w:t xml:space="preserve"> následující:</w:t>
      </w:r>
    </w:p>
    <w:p w:rsidR="00857C47" w:rsidRDefault="00F7093D">
      <w:pPr>
        <w:pStyle w:val="Zkladntext"/>
        <w:ind w:firstLine="720"/>
        <w:jc w:val="both"/>
      </w:pPr>
      <w:r>
        <w:rPr>
          <w:rStyle w:val="ZkladntextChar"/>
        </w:rPr>
        <w:t>Všechny výsledky jsou rozděleny v poměru dle bodu 2 článku II. této smlouvy.</w:t>
      </w:r>
    </w:p>
    <w:p w:rsidR="00857C47" w:rsidRDefault="00F7093D">
      <w:pPr>
        <w:pStyle w:val="Zkladntext"/>
        <w:numPr>
          <w:ilvl w:val="0"/>
          <w:numId w:val="5"/>
        </w:numPr>
        <w:tabs>
          <w:tab w:val="left" w:pos="769"/>
        </w:tabs>
        <w:ind w:left="720" w:hanging="300"/>
        <w:jc w:val="both"/>
      </w:pPr>
      <w:r>
        <w:rPr>
          <w:rStyle w:val="ZkladntextChar"/>
        </w:rPr>
        <w:t>V případě zájm</w:t>
      </w:r>
      <w:r>
        <w:rPr>
          <w:rStyle w:val="ZkladntextChar"/>
        </w:rPr>
        <w:t xml:space="preserve">u užití práva k výsledkům </w:t>
      </w:r>
      <w:proofErr w:type="spellStart"/>
      <w:r>
        <w:rPr>
          <w:rStyle w:val="ZkladntextChar"/>
        </w:rPr>
        <w:t>proj</w:t>
      </w:r>
      <w:proofErr w:type="spellEnd"/>
      <w:r>
        <w:rPr>
          <w:rStyle w:val="ZkladntextChar"/>
        </w:rPr>
        <w:t xml:space="preserve"> </w:t>
      </w:r>
      <w:proofErr w:type="spellStart"/>
      <w:r>
        <w:rPr>
          <w:rStyle w:val="ZkladntextChar"/>
        </w:rPr>
        <w:t>ektu</w:t>
      </w:r>
      <w:proofErr w:type="spellEnd"/>
      <w:r>
        <w:rPr>
          <w:rStyle w:val="ZkladntextChar"/>
        </w:rPr>
        <w:t xml:space="preserve"> třetím osobám formou licenční smlouvy toto provede hlavní příjemce nebo nositel autorského práva k patentu či užitnému vzoru v souladu se zákonem a zároveň s písemným souhlasem všech účastníků projektu. Třetí osoby mohou</w:t>
      </w:r>
      <w:r>
        <w:rPr>
          <w:rStyle w:val="ZkladntextChar"/>
        </w:rPr>
        <w:t xml:space="preserve"> dílo užít pouze za úplatu. Hlavní příjemce nebo majitel práv k patentu či užitnému </w:t>
      </w:r>
      <w:r>
        <w:rPr>
          <w:rStyle w:val="ZkladntextChar"/>
        </w:rPr>
        <w:lastRenderedPageBreak/>
        <w:t>vzoru je povinen uhradit dalším účastníkům projektu poměrnou část ceny za poskytnutí licence, a to ve výši dle podílu spoluvlastnictví výsledku specifikovaného v čl. II.</w:t>
      </w:r>
    </w:p>
    <w:p w:rsidR="00857C47" w:rsidRDefault="00F7093D">
      <w:pPr>
        <w:pStyle w:val="Zkladntext"/>
        <w:numPr>
          <w:ilvl w:val="0"/>
          <w:numId w:val="5"/>
        </w:numPr>
        <w:tabs>
          <w:tab w:val="left" w:pos="769"/>
        </w:tabs>
        <w:ind w:left="720" w:hanging="300"/>
        <w:jc w:val="both"/>
      </w:pPr>
      <w:r>
        <w:rPr>
          <w:rStyle w:val="ZkladntextChar"/>
        </w:rPr>
        <w:t>Sm</w:t>
      </w:r>
      <w:r>
        <w:rPr>
          <w:rStyle w:val="ZkladntextChar"/>
        </w:rPr>
        <w:t>luvní strany se dohodly, že nebudou vzájemně žádným způsobem omezovat propagaci a prodej nového produktu vyvinutého v souvislosti s řešením projektu, pokud budou prováděny v souladu s obecně závaznými právními předpisy.</w:t>
      </w:r>
    </w:p>
    <w:p w:rsidR="00857C47" w:rsidRDefault="00F7093D">
      <w:pPr>
        <w:pStyle w:val="Zkladntext"/>
        <w:numPr>
          <w:ilvl w:val="0"/>
          <w:numId w:val="5"/>
        </w:numPr>
        <w:tabs>
          <w:tab w:val="left" w:pos="769"/>
        </w:tabs>
        <w:ind w:left="720" w:hanging="300"/>
        <w:jc w:val="both"/>
      </w:pPr>
      <w:r>
        <w:rPr>
          <w:rStyle w:val="ZkladntextChar"/>
        </w:rPr>
        <w:t>Hlavní příjemce bude využívat dosaže</w:t>
      </w:r>
      <w:r>
        <w:rPr>
          <w:rStyle w:val="ZkladntextChar"/>
        </w:rPr>
        <w:t>né výsledky projektu v rámci své hlavní podnikatelské činnosti - výroba a vývoj zdravotnických prostředků, zahájení implementace výsledků je předpokládáno bez zbytečného odkladu po ukončení řešení projektu, realizace jejich užívání je předpokládána minimál</w:t>
      </w:r>
      <w:r>
        <w:rPr>
          <w:rStyle w:val="ZkladntextChar"/>
        </w:rPr>
        <w:t>ně po dobu pěti let.</w:t>
      </w:r>
    </w:p>
    <w:p w:rsidR="00857C47" w:rsidRDefault="00F7093D">
      <w:pPr>
        <w:pStyle w:val="Zkladntext"/>
        <w:numPr>
          <w:ilvl w:val="0"/>
          <w:numId w:val="5"/>
        </w:numPr>
        <w:tabs>
          <w:tab w:val="left" w:pos="769"/>
        </w:tabs>
        <w:ind w:left="720" w:hanging="300"/>
        <w:jc w:val="both"/>
      </w:pPr>
      <w:r>
        <w:rPr>
          <w:rStyle w:val="ZkladntextChar"/>
        </w:rPr>
        <w:t>VŠCHT Praha bude využívat dosažené výsledky projektu v rámci své výzkumné a vývojové činnosti. Zahájení doby využívání je předpokládáno bez zbytečného odkladu po ukončení řešení projektu, realizace jejich užívání je předpokládána minim</w:t>
      </w:r>
      <w:r>
        <w:rPr>
          <w:rStyle w:val="ZkladntextChar"/>
        </w:rPr>
        <w:t>álně po dobu pěti let.</w:t>
      </w:r>
    </w:p>
    <w:p w:rsidR="00857C47" w:rsidRDefault="00F7093D">
      <w:pPr>
        <w:pStyle w:val="Zkladntext"/>
        <w:numPr>
          <w:ilvl w:val="0"/>
          <w:numId w:val="5"/>
        </w:numPr>
        <w:tabs>
          <w:tab w:val="left" w:pos="769"/>
        </w:tabs>
        <w:spacing w:after="360"/>
        <w:ind w:left="720" w:hanging="300"/>
        <w:jc w:val="both"/>
      </w:pPr>
      <w:r>
        <w:rPr>
          <w:rStyle w:val="ZkladntextChar"/>
        </w:rPr>
        <w:t>Kterýkoliv z uživatelů výsledků se zavazuje zahájit využívání výsledků řešení projektu shora uvedeným způsobem a realizovat jejich využívání v rámci své činnosti.</w:t>
      </w:r>
    </w:p>
    <w:p w:rsidR="00857C47" w:rsidRDefault="00857C47">
      <w:pPr>
        <w:pStyle w:val="Zkladntext"/>
        <w:numPr>
          <w:ilvl w:val="0"/>
          <w:numId w:val="2"/>
        </w:numPr>
        <w:spacing w:after="0"/>
        <w:jc w:val="center"/>
      </w:pPr>
    </w:p>
    <w:p w:rsidR="00857C47" w:rsidRDefault="00F7093D">
      <w:pPr>
        <w:pStyle w:val="Heading40"/>
        <w:keepNext/>
        <w:keepLines/>
        <w:spacing w:after="240"/>
      </w:pPr>
      <w:bookmarkStart w:id="7" w:name="bookmark16"/>
      <w:r>
        <w:rPr>
          <w:rStyle w:val="Heading4"/>
          <w:b/>
          <w:bCs/>
        </w:rPr>
        <w:t>Důvěrnost informací</w:t>
      </w:r>
      <w:bookmarkEnd w:id="7"/>
    </w:p>
    <w:p w:rsidR="00857C47" w:rsidRDefault="00F7093D">
      <w:pPr>
        <w:pStyle w:val="Zkladntext"/>
        <w:numPr>
          <w:ilvl w:val="0"/>
          <w:numId w:val="6"/>
        </w:numPr>
        <w:tabs>
          <w:tab w:val="left" w:pos="769"/>
        </w:tabs>
        <w:spacing w:after="320"/>
        <w:ind w:left="720" w:hanging="300"/>
        <w:jc w:val="both"/>
      </w:pPr>
      <w:r>
        <w:rPr>
          <w:rStyle w:val="ZkladntextChar"/>
        </w:rPr>
        <w:t xml:space="preserve">Výsledky řešení projektu uvedené v čl. II. odst. </w:t>
      </w:r>
      <w:r>
        <w:rPr>
          <w:rStyle w:val="ZkladntextChar"/>
        </w:rPr>
        <w:t>2 písm. tvoří duševní vlastnictví a obchodní tajemství smluvních stran ve smyslu ustanovení § 504 zákona č. 89/2012 Sb., občanský zákoník, ve znění pozdějších předpisů, a smluvní strany se zavazují obsah tohoto obchodního tajemství nevyzradit žádné třetí o</w:t>
      </w:r>
      <w:r>
        <w:rPr>
          <w:rStyle w:val="ZkladntextChar"/>
        </w:rPr>
        <w:t>sobě bez předchozího písemného souhlasu všech smluvních stran. Výsledky řešení projektu netvoří žádné jiné důvěrné informace, se kterými by bylo třeba nakládat podle zvláštních právních předpisů.</w:t>
      </w:r>
    </w:p>
    <w:p w:rsidR="00857C47" w:rsidRDefault="00857C47">
      <w:pPr>
        <w:pStyle w:val="Heading40"/>
        <w:keepNext/>
        <w:keepLines/>
        <w:numPr>
          <w:ilvl w:val="0"/>
          <w:numId w:val="2"/>
        </w:numPr>
        <w:spacing w:after="0"/>
      </w:pPr>
      <w:bookmarkStart w:id="8" w:name="bookmark18"/>
      <w:bookmarkEnd w:id="8"/>
    </w:p>
    <w:p w:rsidR="00857C47" w:rsidRDefault="00F7093D">
      <w:pPr>
        <w:pStyle w:val="Heading40"/>
        <w:keepNext/>
        <w:keepLines/>
        <w:spacing w:after="320"/>
      </w:pPr>
      <w:r>
        <w:rPr>
          <w:rStyle w:val="Heading4"/>
          <w:b/>
          <w:bCs/>
        </w:rPr>
        <w:t>Sankce</w:t>
      </w:r>
    </w:p>
    <w:p w:rsidR="00857C47" w:rsidRDefault="00F7093D">
      <w:pPr>
        <w:pStyle w:val="Zkladntext"/>
        <w:numPr>
          <w:ilvl w:val="0"/>
          <w:numId w:val="7"/>
        </w:numPr>
        <w:tabs>
          <w:tab w:val="left" w:pos="769"/>
        </w:tabs>
        <w:spacing w:after="480"/>
        <w:ind w:left="720" w:hanging="300"/>
        <w:jc w:val="both"/>
      </w:pPr>
      <w:r>
        <w:rPr>
          <w:rStyle w:val="ZkladntextChar"/>
        </w:rPr>
        <w:t>V případě porušení závazku uvedeného v čl. IV. odst.</w:t>
      </w:r>
      <w:r>
        <w:rPr>
          <w:rStyle w:val="ZkladntextChar"/>
        </w:rPr>
        <w:t xml:space="preserve"> 1 kteroukoli ze smluvních stran jsou ostatní smluvní strany oprávněny požadovat uhrazení smluvní pokuty v celkové výši 50. 000,-Kč za každé takové porušení. Zaplacením smluvní pokuty nezaniká právo poškozené strany na náhradu škody, a to v plné výši.</w:t>
      </w:r>
    </w:p>
    <w:p w:rsidR="00857C47" w:rsidRDefault="00F7093D">
      <w:pPr>
        <w:pStyle w:val="Zkladntext"/>
        <w:numPr>
          <w:ilvl w:val="0"/>
          <w:numId w:val="7"/>
        </w:numPr>
        <w:tabs>
          <w:tab w:val="left" w:pos="769"/>
        </w:tabs>
        <w:spacing w:after="160"/>
        <w:ind w:left="720" w:hanging="300"/>
        <w:jc w:val="both"/>
      </w:pPr>
      <w:r>
        <w:rPr>
          <w:rStyle w:val="ZkladntextChar"/>
        </w:rPr>
        <w:t>V př</w:t>
      </w:r>
      <w:r>
        <w:rPr>
          <w:rStyle w:val="ZkladntextChar"/>
        </w:rPr>
        <w:t>ípadě porušení závazku uvedeného v čl. III. odst. 2 kteroukoli ze smluvních stran jsou ostatní smluvní strany oprávněny požadovat uhrazení smluvní pokuty v celkové výši 50. 000,-Kč za každé takové porušení. Zaplacením smluvní pokuty nezaniká právo poškozen</w:t>
      </w:r>
      <w:r>
        <w:rPr>
          <w:rStyle w:val="ZkladntextChar"/>
        </w:rPr>
        <w:t>é strany na náhradu škody, a to v plné výši.</w:t>
      </w:r>
      <w:r>
        <w:br w:type="page"/>
      </w:r>
    </w:p>
    <w:p w:rsidR="00857C47" w:rsidRDefault="00857C47">
      <w:pPr>
        <w:pStyle w:val="Zkladntext"/>
        <w:numPr>
          <w:ilvl w:val="0"/>
          <w:numId w:val="2"/>
        </w:numPr>
        <w:spacing w:after="0"/>
        <w:jc w:val="center"/>
      </w:pPr>
    </w:p>
    <w:p w:rsidR="00857C47" w:rsidRDefault="00F7093D">
      <w:pPr>
        <w:pStyle w:val="Heading40"/>
        <w:keepNext/>
        <w:keepLines/>
        <w:spacing w:after="240"/>
      </w:pPr>
      <w:bookmarkStart w:id="9" w:name="bookmark21"/>
      <w:r>
        <w:rPr>
          <w:rStyle w:val="Heading4"/>
          <w:b/>
          <w:bCs/>
        </w:rPr>
        <w:t>Doba trvání, ukončení smlouvy</w:t>
      </w:r>
      <w:bookmarkEnd w:id="9"/>
    </w:p>
    <w:p w:rsidR="00857C47" w:rsidRDefault="00F7093D">
      <w:pPr>
        <w:pStyle w:val="Zkladntext"/>
        <w:numPr>
          <w:ilvl w:val="0"/>
          <w:numId w:val="8"/>
        </w:numPr>
        <w:tabs>
          <w:tab w:val="left" w:pos="819"/>
        </w:tabs>
        <w:ind w:firstLine="480"/>
        <w:jc w:val="both"/>
      </w:pPr>
      <w:r>
        <w:rPr>
          <w:rStyle w:val="ZkladntextChar"/>
        </w:rPr>
        <w:t>Smlouva se sjednává na dobu určitou 10 let od data podpisu.</w:t>
      </w:r>
    </w:p>
    <w:p w:rsidR="00857C47" w:rsidRDefault="00F7093D">
      <w:pPr>
        <w:pStyle w:val="Zkladntext"/>
        <w:numPr>
          <w:ilvl w:val="0"/>
          <w:numId w:val="8"/>
        </w:numPr>
        <w:tabs>
          <w:tab w:val="left" w:pos="838"/>
        </w:tabs>
        <w:ind w:firstLine="480"/>
      </w:pPr>
      <w:r>
        <w:rPr>
          <w:rStyle w:val="ZkladntextChar"/>
        </w:rPr>
        <w:t>Smlouva může být ukončena vzájemnou dohodou všech účastníků smlouvy.</w:t>
      </w:r>
    </w:p>
    <w:p w:rsidR="00857C47" w:rsidRDefault="00F7093D">
      <w:pPr>
        <w:pStyle w:val="Zkladntext"/>
        <w:numPr>
          <w:ilvl w:val="0"/>
          <w:numId w:val="8"/>
        </w:numPr>
        <w:tabs>
          <w:tab w:val="left" w:pos="834"/>
        </w:tabs>
        <w:ind w:left="840" w:hanging="360"/>
        <w:jc w:val="both"/>
      </w:pPr>
      <w:r>
        <w:rPr>
          <w:rStyle w:val="ZkladntextChar"/>
        </w:rPr>
        <w:t>V případě, že kterýkoliv z účastníků smlouvy poruš</w:t>
      </w:r>
      <w:r>
        <w:rPr>
          <w:rStyle w:val="ZkladntextChar"/>
        </w:rPr>
        <w:t>í své smluvní povinnosti podstatným způsobem, mají další účastníci smlouvy oprávnění od smlouvy odstoupit. Za porušení smluvních povinností podstatným způsobem se ve smyslu § 2002 zák. č. 89/2012 Sb., občanského zákoníku, ve znění pozdějších předpisů, pova</w:t>
      </w:r>
      <w:r>
        <w:rPr>
          <w:rStyle w:val="ZkladntextChar"/>
        </w:rPr>
        <w:t>žuje:</w:t>
      </w:r>
    </w:p>
    <w:p w:rsidR="00857C47" w:rsidRDefault="00F7093D">
      <w:pPr>
        <w:pStyle w:val="Zkladntext"/>
        <w:numPr>
          <w:ilvl w:val="0"/>
          <w:numId w:val="9"/>
        </w:numPr>
        <w:tabs>
          <w:tab w:val="left" w:pos="1200"/>
        </w:tabs>
        <w:ind w:firstLine="840"/>
      </w:pPr>
      <w:r>
        <w:rPr>
          <w:rStyle w:val="ZkladntextChar"/>
        </w:rPr>
        <w:t>opakované porušení povinností podle čl. V smlouvy,</w:t>
      </w:r>
    </w:p>
    <w:p w:rsidR="00857C47" w:rsidRDefault="00F7093D">
      <w:pPr>
        <w:pStyle w:val="Zkladntext"/>
        <w:numPr>
          <w:ilvl w:val="0"/>
          <w:numId w:val="9"/>
        </w:numPr>
        <w:tabs>
          <w:tab w:val="left" w:pos="1278"/>
        </w:tabs>
        <w:ind w:left="1200" w:hanging="360"/>
        <w:jc w:val="both"/>
      </w:pPr>
      <w:r>
        <w:rPr>
          <w:rStyle w:val="ZkladntextChar"/>
        </w:rPr>
        <w:t>úpadek některého z účastníků ve smyslu § 3 zák. č. 182/2006 Sb. insolvenčního zákona, ve znění jeho pozdějších předpisů.</w:t>
      </w:r>
    </w:p>
    <w:p w:rsidR="00857C47" w:rsidRDefault="00F7093D">
      <w:pPr>
        <w:pStyle w:val="Zkladntext"/>
        <w:numPr>
          <w:ilvl w:val="0"/>
          <w:numId w:val="8"/>
        </w:numPr>
        <w:tabs>
          <w:tab w:val="left" w:pos="838"/>
        </w:tabs>
        <w:spacing w:after="360"/>
        <w:ind w:left="840" w:hanging="360"/>
        <w:jc w:val="both"/>
      </w:pPr>
      <w:r>
        <w:rPr>
          <w:rStyle w:val="ZkladntextChar"/>
        </w:rPr>
        <w:t>Dojde-li k výše uvedenému porušení smlouvy, je příslušná smluvní strana oprávn</w:t>
      </w:r>
      <w:r>
        <w:rPr>
          <w:rStyle w:val="ZkladntextChar"/>
        </w:rPr>
        <w:t>ěna od smlouvy odstoupit.</w:t>
      </w:r>
    </w:p>
    <w:p w:rsidR="00857C47" w:rsidRDefault="00857C47">
      <w:pPr>
        <w:pStyle w:val="Zkladntext"/>
        <w:numPr>
          <w:ilvl w:val="0"/>
          <w:numId w:val="2"/>
        </w:numPr>
        <w:spacing w:after="0"/>
        <w:jc w:val="center"/>
      </w:pPr>
    </w:p>
    <w:p w:rsidR="00857C47" w:rsidRDefault="00F7093D">
      <w:pPr>
        <w:pStyle w:val="Heading40"/>
        <w:keepNext/>
        <w:keepLines/>
        <w:spacing w:after="240"/>
      </w:pPr>
      <w:bookmarkStart w:id="10" w:name="bookmark23"/>
      <w:r>
        <w:rPr>
          <w:rStyle w:val="Heading4"/>
          <w:b/>
          <w:bCs/>
        </w:rPr>
        <w:t>Závěrečná ustanovení</w:t>
      </w:r>
      <w:bookmarkEnd w:id="10"/>
    </w:p>
    <w:p w:rsidR="00857C47" w:rsidRDefault="00F7093D">
      <w:pPr>
        <w:pStyle w:val="Zkladntext"/>
        <w:numPr>
          <w:ilvl w:val="0"/>
          <w:numId w:val="10"/>
        </w:numPr>
        <w:tabs>
          <w:tab w:val="left" w:pos="823"/>
        </w:tabs>
        <w:ind w:left="840" w:hanging="360"/>
        <w:jc w:val="both"/>
      </w:pPr>
      <w:r>
        <w:rPr>
          <w:rStyle w:val="ZkladntextChar"/>
        </w:rPr>
        <w:t>Tato smlouva nabývá platnosti dnem podpisu poslední ze smluvních stran a účinnosti dnem zveřejnění ve veřejném registru smluv. Zveřejnění zajistí VŠCHT Praha.</w:t>
      </w:r>
    </w:p>
    <w:p w:rsidR="00857C47" w:rsidRDefault="00F7093D">
      <w:pPr>
        <w:pStyle w:val="Zkladntext"/>
        <w:numPr>
          <w:ilvl w:val="0"/>
          <w:numId w:val="10"/>
        </w:numPr>
        <w:tabs>
          <w:tab w:val="left" w:pos="838"/>
        </w:tabs>
        <w:ind w:left="840" w:hanging="360"/>
        <w:jc w:val="both"/>
      </w:pPr>
      <w:r>
        <w:rPr>
          <w:rStyle w:val="ZkladntextChar"/>
        </w:rPr>
        <w:t>Práva a povinnosti smluvních stran touto smlouvou</w:t>
      </w:r>
      <w:r>
        <w:rPr>
          <w:rStyle w:val="ZkladntextChar"/>
        </w:rPr>
        <w:t xml:space="preserve"> výslovně neupravená se řídí zákonem č. 130/2002 Sb. o podpoře výzkumu, experimentálního vývoje a inovací, ve znění pozdějších předpisů a zákonem č. 89/2012 Sb., občanský zákoník, ve znění pozdějších předpisů.</w:t>
      </w:r>
    </w:p>
    <w:p w:rsidR="00857C47" w:rsidRDefault="00F7093D">
      <w:pPr>
        <w:pStyle w:val="Zkladntext"/>
        <w:numPr>
          <w:ilvl w:val="0"/>
          <w:numId w:val="10"/>
        </w:numPr>
        <w:tabs>
          <w:tab w:val="left" w:pos="834"/>
        </w:tabs>
        <w:ind w:left="840" w:hanging="360"/>
        <w:jc w:val="both"/>
      </w:pPr>
      <w:r>
        <w:rPr>
          <w:rStyle w:val="ZkladntextChar"/>
        </w:rPr>
        <w:t>Tuto smlouvu je možno měnit nebo doplňovat jen</w:t>
      </w:r>
      <w:r>
        <w:rPr>
          <w:rStyle w:val="ZkladntextChar"/>
        </w:rPr>
        <w:t xml:space="preserve"> formou číslovaných písemných dodatků podepsaných všemi Smluvními stranami.</w:t>
      </w:r>
    </w:p>
    <w:p w:rsidR="00857C47" w:rsidRDefault="00F7093D">
      <w:pPr>
        <w:pStyle w:val="Zkladntext"/>
        <w:numPr>
          <w:ilvl w:val="0"/>
          <w:numId w:val="10"/>
        </w:numPr>
        <w:tabs>
          <w:tab w:val="left" w:pos="843"/>
        </w:tabs>
        <w:spacing w:after="1700"/>
        <w:ind w:firstLine="480"/>
        <w:jc w:val="both"/>
      </w:pPr>
      <w:r>
        <w:rPr>
          <w:rStyle w:val="ZkladntextChar"/>
        </w:rPr>
        <w:t>Tato smlouva je opatřena elektronickými podpisy.</w:t>
      </w:r>
    </w:p>
    <w:p w:rsidR="00857C47" w:rsidRDefault="00F7093D">
      <w:pPr>
        <w:pStyle w:val="Zkladntext"/>
        <w:spacing w:after="240"/>
      </w:pPr>
      <w:r>
        <w:rPr>
          <w:noProof/>
        </w:rPr>
        <mc:AlternateContent>
          <mc:Choice Requires="wps">
            <w:drawing>
              <wp:anchor distT="0" distB="350520" distL="501650" distR="504190" simplePos="0" relativeHeight="125829378" behindDoc="0" locked="0" layoutInCell="1" allowOverlap="1">
                <wp:simplePos x="0" y="0"/>
                <wp:positionH relativeFrom="page">
                  <wp:posOffset>5141595</wp:posOffset>
                </wp:positionH>
                <wp:positionV relativeFrom="paragraph">
                  <wp:posOffset>12700</wp:posOffset>
                </wp:positionV>
                <wp:extent cx="514985" cy="21653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985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7C47" w:rsidRDefault="00F7093D">
                            <w:pPr>
                              <w:pStyle w:val="Zkladntext"/>
                              <w:spacing w:after="0"/>
                            </w:pPr>
                            <w:r>
                              <w:rPr>
                                <w:rStyle w:val="ZkladntextChar"/>
                              </w:rPr>
                              <w:t>V Praze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04.85000000000002pt;margin-top:1.pt;width:40.550000000000004pt;height:17.050000000000001pt;z-index:-125829375;mso-wrap-distance-left:39.5pt;mso-wrap-distance-right:39.700000000000003pt;mso-wrap-distance-bottom:27.60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V Praze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50520" distB="0" distL="114300" distR="114300" simplePos="0" relativeHeight="125829380" behindDoc="0" locked="0" layoutInCell="1" allowOverlap="1">
                <wp:simplePos x="0" y="0"/>
                <wp:positionH relativeFrom="page">
                  <wp:posOffset>4754245</wp:posOffset>
                </wp:positionH>
                <wp:positionV relativeFrom="paragraph">
                  <wp:posOffset>363220</wp:posOffset>
                </wp:positionV>
                <wp:extent cx="1292225" cy="21653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2225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7C47" w:rsidRDefault="00F7093D">
                            <w:pPr>
                              <w:pStyle w:val="Zkladntext"/>
                              <w:spacing w:after="0"/>
                            </w:pPr>
                            <w:r>
                              <w:rPr>
                                <w:rStyle w:val="ZkladntextChar"/>
                              </w:rPr>
                              <w:t>za Dalšího účastníka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74.35000000000002pt;margin-top:28.600000000000001pt;width:101.75pt;height:17.050000000000001pt;z-index:-125829373;mso-wrap-distance-left:9.pt;mso-wrap-distance-top:27.600000000000001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za Dalšího účastníka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ZkladntextChar"/>
        </w:rPr>
        <w:t>V Hradci Králové</w:t>
      </w:r>
    </w:p>
    <w:p w:rsidR="00857C47" w:rsidRDefault="00F7093D">
      <w:pPr>
        <w:pStyle w:val="Zkladntext"/>
        <w:spacing w:after="0"/>
        <w:jc w:val="both"/>
        <w:sectPr w:rsidR="00857C47">
          <w:footerReference w:type="default" r:id="rId7"/>
          <w:pgSz w:w="11900" w:h="16840"/>
          <w:pgMar w:top="1100" w:right="1206" w:bottom="1030" w:left="1190" w:header="672" w:footer="3" w:gutter="0"/>
          <w:pgNumType w:start="1"/>
          <w:cols w:space="720"/>
          <w:noEndnote/>
          <w:docGrid w:linePitch="360"/>
        </w:sectPr>
      </w:pPr>
      <w:r>
        <w:rPr>
          <w:rStyle w:val="ZkladntextChar"/>
        </w:rPr>
        <w:t>za Hlavního příjemce:</w:t>
      </w:r>
    </w:p>
    <w:p w:rsidR="00857C47" w:rsidRDefault="00F7093D">
      <w:pPr>
        <w:spacing w:line="1" w:lineRule="exact"/>
        <w:rPr>
          <w:sz w:val="2"/>
          <w:szCs w:val="2"/>
        </w:rPr>
      </w:pPr>
      <w:r>
        <w:br w:type="column"/>
      </w:r>
    </w:p>
    <w:p w:rsidR="00857C47" w:rsidRDefault="00F7093D">
      <w:pPr>
        <w:spacing w:line="1" w:lineRule="exact"/>
        <w:rPr>
          <w:sz w:val="2"/>
          <w:szCs w:val="2"/>
        </w:rPr>
      </w:pPr>
      <w:r>
        <w:br w:type="column"/>
      </w:r>
    </w:p>
    <w:p w:rsidR="00857C47" w:rsidRDefault="00F7093D" w:rsidP="00F7093D">
      <w:pPr>
        <w:pStyle w:val="Bodytext40"/>
        <w:sectPr w:rsidR="00857C47">
          <w:type w:val="continuous"/>
          <w:pgSz w:w="11900" w:h="16840"/>
          <w:pgMar w:top="1105" w:right="1964" w:bottom="1745" w:left="1153" w:header="0" w:footer="3" w:gutter="0"/>
          <w:cols w:num="4" w:space="720" w:equalWidth="0">
            <w:col w:w="1536" w:space="298"/>
            <w:col w:w="1786" w:space="1627"/>
            <w:col w:w="1656" w:space="259"/>
            <w:col w:w="1622"/>
          </w:cols>
          <w:noEndnote/>
          <w:docGrid w:linePitch="360"/>
        </w:sectPr>
      </w:pPr>
      <w:r>
        <w:rPr>
          <w:rStyle w:val="Bodytext4"/>
        </w:rPr>
        <w:t xml:space="preserve"> </w:t>
      </w:r>
    </w:p>
    <w:p w:rsidR="00857C47" w:rsidRDefault="00F7093D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1569085</wp:posOffset>
                </wp:positionH>
                <wp:positionV relativeFrom="paragraph">
                  <wp:posOffset>173990</wp:posOffset>
                </wp:positionV>
                <wp:extent cx="1249680" cy="423545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680" cy="4235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7C47" w:rsidRDefault="00F7093D">
                            <w:pPr>
                              <w:pStyle w:val="Zkladntext"/>
                              <w:spacing w:after="0"/>
                            </w:pPr>
                            <w:r>
                              <w:rPr>
                                <w:rStyle w:val="ZkladntextChar"/>
                              </w:rPr>
                              <w:t>jednatel společnosti</w:t>
                            </w:r>
                          </w:p>
                          <w:p w:rsidR="00857C47" w:rsidRDefault="00F7093D">
                            <w:pPr>
                              <w:pStyle w:val="Zkladntext"/>
                              <w:spacing w:after="0"/>
                              <w:jc w:val="center"/>
                            </w:pPr>
                            <w:r>
                              <w:rPr>
                                <w:rStyle w:val="ZkladntextChar"/>
                                <w:b/>
                                <w:bCs/>
                                <w:lang w:val="de-DE" w:eastAsia="de-DE"/>
                              </w:rPr>
                              <w:t>ELLA-CS, s. r.o.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123.55pt;margin-top:13.700000000000001pt;width:98.400000000000006pt;height:33.350000000000001pt;z-index:-12582937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jednatel společnosti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  <w:lang w:val="de-DE" w:eastAsia="de-DE"/>
                        </w:rPr>
                        <w:t>ELLA-CS, s. r.o.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857C47" w:rsidRDefault="00F7093D">
      <w:pPr>
        <w:pStyle w:val="Zkladntext"/>
        <w:spacing w:after="0" w:line="276" w:lineRule="auto"/>
        <w:jc w:val="center"/>
      </w:pPr>
      <w:bookmarkStart w:id="11" w:name="_GoBack"/>
      <w:bookmarkEnd w:id="11"/>
      <w:r>
        <w:rPr>
          <w:rStyle w:val="ZkladntextChar"/>
        </w:rPr>
        <w:br/>
      </w:r>
      <w:r>
        <w:rPr>
          <w:rStyle w:val="ZkladntextChar"/>
        </w:rPr>
        <w:t>prorektor pro vědu a výzkum</w:t>
      </w:r>
    </w:p>
    <w:p w:rsidR="00857C47" w:rsidRDefault="00F7093D">
      <w:pPr>
        <w:pStyle w:val="Zkladntext"/>
        <w:spacing w:after="0" w:line="276" w:lineRule="auto"/>
        <w:jc w:val="center"/>
      </w:pPr>
      <w:r>
        <w:rPr>
          <w:rStyle w:val="ZkladntextChar"/>
          <w:b/>
          <w:bCs/>
        </w:rPr>
        <w:t>Vysoká škola chemicko-technologická</w:t>
      </w:r>
      <w:r>
        <w:rPr>
          <w:rStyle w:val="ZkladntextChar"/>
          <w:b/>
          <w:bCs/>
        </w:rPr>
        <w:t xml:space="preserve"> v</w:t>
      </w:r>
      <w:r>
        <w:rPr>
          <w:rStyle w:val="ZkladntextChar"/>
          <w:b/>
          <w:bCs/>
        </w:rPr>
        <w:br/>
        <w:t>Praze</w:t>
      </w:r>
    </w:p>
    <w:sectPr w:rsidR="00857C47">
      <w:type w:val="continuous"/>
      <w:pgSz w:w="11900" w:h="16840"/>
      <w:pgMar w:top="1105" w:right="1243" w:bottom="1105" w:left="44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7093D">
      <w:r>
        <w:separator/>
      </w:r>
    </w:p>
  </w:endnote>
  <w:endnote w:type="continuationSeparator" w:id="0">
    <w:p w:rsidR="00000000" w:rsidRDefault="00F70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C47" w:rsidRDefault="00F7093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3587115</wp:posOffset>
              </wp:positionH>
              <wp:positionV relativeFrom="page">
                <wp:posOffset>10132060</wp:posOffset>
              </wp:positionV>
              <wp:extent cx="198120" cy="8826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12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7C47" w:rsidRDefault="00F7093D">
                          <w:pPr>
                            <w:pStyle w:val="Headerorfooter20"/>
                          </w:pPr>
                          <w:r>
                            <w:rPr>
                              <w:rStyle w:val="Headerorfooter2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7093D">
                            <w:rPr>
                              <w:rStyle w:val="Headerorfooter2"/>
                              <w:noProof/>
                            </w:rPr>
                            <w:t>4</w:t>
                          </w:r>
                          <w:r>
                            <w:rPr>
                              <w:rStyle w:val="Headerorfooter2"/>
                            </w:rPr>
                            <w:fldChar w:fldCharType="end"/>
                          </w:r>
                          <w:r>
                            <w:rPr>
                              <w:rStyle w:val="Headerorfooter2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9" type="#_x0000_t202" style="position:absolute;margin-left:282.45pt;margin-top:797.8pt;width:15.6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" filled="f" stroked="f">
              <v:textbox style="mso-fit-shape-to-text:t" inset="0,0,0,0">
                <w:txbxContent>
                  <w:p w:rsidR="00857C47" w:rsidRDefault="00F7093D">
                    <w:pPr>
                      <w:pStyle w:val="Headerorfooter20"/>
                    </w:pPr>
                    <w:r>
                      <w:rPr>
                        <w:rStyle w:val="Headerorfooter2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7093D">
                      <w:rPr>
                        <w:rStyle w:val="Headerorfooter2"/>
                        <w:noProof/>
                      </w:rPr>
                      <w:t>4</w:t>
                    </w:r>
                    <w:r>
                      <w:rPr>
                        <w:rStyle w:val="Headerorfooter2"/>
                      </w:rPr>
                      <w:fldChar w:fldCharType="end"/>
                    </w:r>
                    <w:r>
                      <w:rPr>
                        <w:rStyle w:val="Headerorfooter2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C47" w:rsidRDefault="00857C47"/>
  </w:footnote>
  <w:footnote w:type="continuationSeparator" w:id="0">
    <w:p w:rsidR="00857C47" w:rsidRDefault="00857C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2803"/>
    <w:multiLevelType w:val="multilevel"/>
    <w:tmpl w:val="63D447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1E603D"/>
    <w:multiLevelType w:val="multilevel"/>
    <w:tmpl w:val="BA5872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1540B3"/>
    <w:multiLevelType w:val="multilevel"/>
    <w:tmpl w:val="AD80B4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DD30A0"/>
    <w:multiLevelType w:val="multilevel"/>
    <w:tmpl w:val="648CBC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AE1696"/>
    <w:multiLevelType w:val="multilevel"/>
    <w:tmpl w:val="7506E5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DDF1B0F"/>
    <w:multiLevelType w:val="multilevel"/>
    <w:tmpl w:val="945C3B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C456E1"/>
    <w:multiLevelType w:val="multilevel"/>
    <w:tmpl w:val="7F4CE4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75C26DB"/>
    <w:multiLevelType w:val="multilevel"/>
    <w:tmpl w:val="D85AB2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E8C628E"/>
    <w:multiLevelType w:val="multilevel"/>
    <w:tmpl w:val="810C4B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6230175"/>
    <w:multiLevelType w:val="multilevel"/>
    <w:tmpl w:val="41B29D3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"/>
  </w:num>
  <w:num w:numId="5">
    <w:abstractNumId w:val="5"/>
  </w:num>
  <w:num w:numId="6">
    <w:abstractNumId w:val="8"/>
  </w:num>
  <w:num w:numId="7">
    <w:abstractNumId w:val="2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C47"/>
    <w:rsid w:val="00857C47"/>
    <w:rsid w:val="00F7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37717"/>
  <w15:docId w15:val="{CF887AED-2405-4CD5-B227-64B1CB0C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Standardnpsmoodstavce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4">
    <w:name w:val="Heading #4_"/>
    <w:basedOn w:val="Standardnpsmoodstavce"/>
    <w:link w:val="Heading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3">
    <w:name w:val="Heading #3_"/>
    <w:basedOn w:val="Standardnpsmoodstavce"/>
    <w:link w:val="Heading30"/>
    <w:rPr>
      <w:rFonts w:ascii="Segoe UI" w:eastAsia="Segoe UI" w:hAnsi="Segoe UI" w:cs="Segoe UI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/>
    </w:rPr>
  </w:style>
  <w:style w:type="character" w:customStyle="1" w:styleId="Heading2">
    <w:name w:val="Heading #2_"/>
    <w:basedOn w:val="Standardnpsmoodstavce"/>
    <w:link w:val="Heading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styleId="Zkladntext">
    <w:name w:val="Body Text"/>
    <w:basedOn w:val="Normln"/>
    <w:link w:val="ZkladntextChar"/>
    <w:qFormat/>
    <w:pPr>
      <w:spacing w:after="80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Normln"/>
    <w:link w:val="Heading1"/>
    <w:pPr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erorfooter20">
    <w:name w:val="Header or footer (2)"/>
    <w:basedOn w:val="Normln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ln"/>
    <w:link w:val="Bodytext2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40">
    <w:name w:val="Heading #4"/>
    <w:basedOn w:val="Normln"/>
    <w:link w:val="Heading4"/>
    <w:pPr>
      <w:spacing w:after="230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Heading30">
    <w:name w:val="Heading #3"/>
    <w:basedOn w:val="Normln"/>
    <w:link w:val="Heading3"/>
    <w:pPr>
      <w:outlineLvl w:val="2"/>
    </w:pPr>
    <w:rPr>
      <w:rFonts w:ascii="Segoe UI" w:eastAsia="Segoe UI" w:hAnsi="Segoe UI" w:cs="Segoe UI"/>
    </w:rPr>
  </w:style>
  <w:style w:type="paragraph" w:customStyle="1" w:styleId="Bodytext30">
    <w:name w:val="Body text (3)"/>
    <w:basedOn w:val="Normln"/>
    <w:link w:val="Bodytext3"/>
    <w:rPr>
      <w:rFonts w:ascii="Segoe UI" w:eastAsia="Segoe UI" w:hAnsi="Segoe UI" w:cs="Segoe UI"/>
      <w:sz w:val="14"/>
      <w:szCs w:val="14"/>
      <w:lang w:val="en-US" w:eastAsia="en-US"/>
    </w:rPr>
  </w:style>
  <w:style w:type="paragraph" w:customStyle="1" w:styleId="Heading20">
    <w:name w:val="Heading #2"/>
    <w:basedOn w:val="Normln"/>
    <w:link w:val="Heading2"/>
    <w:pPr>
      <w:spacing w:line="233" w:lineRule="auto"/>
      <w:outlineLvl w:val="1"/>
    </w:pPr>
    <w:rPr>
      <w:rFonts w:ascii="Segoe UI" w:eastAsia="Segoe UI" w:hAnsi="Segoe UI" w:cs="Segoe UI"/>
      <w:sz w:val="30"/>
      <w:szCs w:val="30"/>
    </w:rPr>
  </w:style>
  <w:style w:type="paragraph" w:customStyle="1" w:styleId="Bodytext40">
    <w:name w:val="Body text (4)"/>
    <w:basedOn w:val="Normln"/>
    <w:link w:val="Bodytext4"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1286</Words>
  <Characters>7592</Characters>
  <Application>Microsoft Office Word</Application>
  <DocSecurity>0</DocSecurity>
  <Lines>63</Lines>
  <Paragraphs>17</Paragraphs>
  <ScaleCrop>false</ScaleCrop>
  <Company/>
  <LinksUpToDate>false</LinksUpToDate>
  <CharactersWithSpaces>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využití výsledků výzkumu a vývoje</dc:title>
  <dc:subject/>
  <dc:creator>Milada Bronská</dc:creator>
  <cp:keywords/>
  <cp:lastModifiedBy>Pospisilova Iveta</cp:lastModifiedBy>
  <cp:revision>2</cp:revision>
  <dcterms:created xsi:type="dcterms:W3CDTF">2024-02-20T16:37:00Z</dcterms:created>
  <dcterms:modified xsi:type="dcterms:W3CDTF">2024-02-20T16:38:00Z</dcterms:modified>
</cp:coreProperties>
</file>