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Pr="007C5878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3997D39E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TJ Sokol Koblov z.s.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Antošovická 491/51, 711 00 Ostrava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6E2B1BFD" w14:textId="4616F6BF" w:rsidR="00535176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 xml:space="preserve">zastupuje: Lukáš </w:t>
      </w:r>
      <w:r w:rsidR="00535176">
        <w:rPr>
          <w:rFonts w:ascii="Times New Roman" w:hAnsi="Times New Roman"/>
          <w:sz w:val="22"/>
          <w:szCs w:val="22"/>
          <w:lang w:val="cs"/>
        </w:rPr>
        <w:t>Kaleta,</w:t>
      </w:r>
      <w:r>
        <w:rPr>
          <w:rFonts w:ascii="Times New Roman" w:hAnsi="Times New Roman"/>
          <w:sz w:val="22"/>
          <w:szCs w:val="22"/>
          <w:lang w:val="cs"/>
        </w:rPr>
        <w:t xml:space="preserve"> předseda, </w:t>
      </w:r>
    </w:p>
    <w:p w14:paraId="0C7A7C7B" w14:textId="6ABB9A95" w:rsidR="00BC0603" w:rsidRDefault="00535176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 xml:space="preserve">                 Ing. </w:t>
      </w:r>
      <w:r w:rsidR="00FE51D7">
        <w:rPr>
          <w:rFonts w:ascii="Times New Roman" w:hAnsi="Times New Roman"/>
          <w:sz w:val="22"/>
          <w:szCs w:val="22"/>
          <w:lang w:val="cs"/>
        </w:rPr>
        <w:t>Miroslav Michalík,</w:t>
      </w:r>
      <w:r>
        <w:rPr>
          <w:rFonts w:ascii="Times New Roman" w:hAnsi="Times New Roman"/>
          <w:sz w:val="22"/>
          <w:szCs w:val="22"/>
          <w:lang w:val="cs"/>
        </w:rPr>
        <w:t xml:space="preserve"> </w:t>
      </w:r>
      <w:r w:rsidR="00FE51D7">
        <w:rPr>
          <w:rFonts w:ascii="Times New Roman" w:hAnsi="Times New Roman"/>
          <w:sz w:val="22"/>
          <w:szCs w:val="22"/>
          <w:lang w:val="cs"/>
        </w:rPr>
        <w:t>místopředseda</w:t>
      </w:r>
    </w:p>
    <w:p w14:paraId="4DABA6B0" w14:textId="2494579A" w:rsidR="000153EE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69F17AB2" w14:textId="77777777" w:rsidR="007C657B" w:rsidRPr="00D1125A" w:rsidRDefault="007C657B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45234191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69358343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  <w:t xml:space="preserve"> </w:t>
      </w:r>
      <w:r w:rsidR="00FE51D7">
        <w:rPr>
          <w:rFonts w:ascii="Times New Roman" w:hAnsi="Times New Roman"/>
          <w:sz w:val="22"/>
          <w:szCs w:val="22"/>
          <w:lang w:val="cs"/>
        </w:rPr>
        <w:t>Česká spořitelna, a.s.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24266CBD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513270">
        <w:rPr>
          <w:rFonts w:ascii="Times New Roman" w:hAnsi="Times New Roman"/>
          <w:sz w:val="22"/>
          <w:szCs w:val="22"/>
          <w:lang w:val="en-US"/>
        </w:rPr>
        <w:t>XXXXXXXXXXXX</w:t>
      </w:r>
    </w:p>
    <w:p w14:paraId="741330A4" w14:textId="0FB816A5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637C1E98" w14:textId="77777777" w:rsidR="00D42DF7" w:rsidRDefault="00D42DF7" w:rsidP="00D42DF7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Celoroční sportovní činnost děti a mládeže při TJ Sokol Koblov z.s na rok 2024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materiál: sportovní materiál vč. případného potisku, sportovní a tréninkové pomůcky, sportovní vybavení, zdravotnický a hygienický materiál, věcné ceny (poháry, medaile, diplomy, plakety vč. potisku), doplňková výživa, suplementy, vitamíny, materiál na drobné opravy a údržbu sportovišť neinvestičního charakteru apod.;</w:t>
      </w:r>
    </w:p>
    <w:p w14:paraId="21EA2C3E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spotřeba energie: elektrická energie, vodné a stočné, plyn, pára, teplo;</w:t>
      </w:r>
    </w:p>
    <w:p w14:paraId="2FB00D1B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doprava – cestovné, jízdné, letenky, pronájem vozidla, použití MHD (mimo Ostravu), vleky (vč. permanentek) – nelze uplatnit nákup PHM;</w:t>
      </w:r>
    </w:p>
    <w:p w14:paraId="0FF3A2B2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ubytování včetně snídaně, stravování a pitný režim (maximální výše použité dotace Kč 1.500/osoba/den), a to v rámci zápasů, kempů, přípravných turnajů a soustředění (nelze použít na úhradu nákladů pro doprovod – rodinné příslušníky, nelze uplatnit na dlouhodobý, krátkodobý pronájem/podnájem);</w:t>
      </w:r>
    </w:p>
    <w:p w14:paraId="10B550FF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nájem a podnájem sportovišť a nebytových prostor včetně služeb s nájmem a podnájmem spojených vč. movitých věcí, odvoz odpadu. Nelze hradit náklady na zajištění, užívání a dobíjení dobíjecích a bodových karet a permanentek;</w:t>
      </w:r>
    </w:p>
    <w:p w14:paraId="16F1014F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trenérské služby, zdravotní služby, služby fyzioterapie, rehabilitační služby, regenerační služby, kondiční vyšetření, služby výživového poradenství, služby psychodiagnostiky, služby technického a servisního zabezpečení, rozhodčí – jedná-li se o osobní výkon služeb, platí maximální hodinová sazba do 300kč/hod., maximálně však do výše 40 tis. Kč na osobu a měsíc (fakturačně OSVČ, fakturačně subjekty poskytující příslušné služby);</w:t>
      </w:r>
    </w:p>
    <w:p w14:paraId="36CBEFCB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opravy a udržování sportovišť – drobné opravy a údržbu sportovišť neinvestičního charakteru (v maximální souhrnné částce do 30 % z poskytnuté dotace);</w:t>
      </w:r>
    </w:p>
    <w:p w14:paraId="48BB0C26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osobní náklady zaměstnanců – trenérů a členů realizačního týmu, rozhodčí – v celkové výši max. do 60 % z poskytnuté dotace, a do maximální výše 40 tis. Kč na osobu a měsíc. Z dotace lze hradit i související povinné zákonné odvody zaměstnavatele, které nejsou do výše limitu (40 tis. Kč) zahrnuty. Limit 40 tis. Kč je platný jak pro výkon práce v pracovním poměru, tak i na základě dohod o pracích konaných mimo pracovní poměr (DPP a DPČ), hodinová sazba dohod o pracích konaných mimo pracovní poměr však nesmí překročit 300 Kč / hodina. Limit 40 tis. Kč na osobu a měsíc se vztahuje k úvazku 1,0 a více a platí i pro kombinaci pracovního poměru a DPP / DPČ. Má-li zaměstnanec kratší úvazek než 1,0, limit 40 tis. Kč se mu poměrně krátí. Realizačním týmem se rozumí (např. hlavní trenér, asistent trenéra, kondiční trenér, video trenér, trenér-skaut, vedoucí týmu, lékař, psycholog, fyzioterapeut, masér, kustod, další pozice s ohledem na potřeby daného sportu), nelze použít pro úhradu nákladů administrativních a poradenských služeb;</w:t>
      </w:r>
    </w:p>
    <w:p w14:paraId="4ACDD9A2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náklady projektu vyúčtovávané paušální částkou – lze hradit telekomunikační a poštovní služby, administrativní a poradenské služby, účetní služby a další pozice dle charakteru projektu - část nákladů na realizaci projektu může být v souladu s ustanovením § 10a odst. 8 zákona č. 250/2000 Sb., o rozpočtových pravidlech územních rozpočtů, ve znění pozdějších předpisů, vyúčtována paušální částkou a jejich výše nemusí být prokazována v rámci finančního vypořádání dotace. Paušální částka je stanovena ve výši 10 % poskytnuté dotace, maximálně však do výše 100 000 Kč.;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515E2607" w14:textId="77777777" w:rsidR="003F7F11" w:rsidRDefault="003F7F11" w:rsidP="006A0802">
      <w:pPr>
        <w:pStyle w:val="JVS2"/>
        <w:jc w:val="both"/>
      </w:pPr>
    </w:p>
    <w:p w14:paraId="4053ED9B" w14:textId="77777777" w:rsidR="003F7F11" w:rsidRDefault="003F7F11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lastRenderedPageBreak/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7920C5A" w14:textId="33C55515" w:rsidR="002B14EB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720 000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150A60">
        <w:rPr>
          <w:rFonts w:ascii="Times New Roman" w:hAnsi="Times New Roman"/>
          <w:sz w:val="22"/>
          <w:szCs w:val="22"/>
        </w:rPr>
        <w:t>sedm set dvacet tisíc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1D30F17" w14:textId="77777777" w:rsidR="00E265A4" w:rsidRPr="002421BF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59B49409" w14:textId="5FF58A52" w:rsidR="00D42DF7" w:rsidRPr="00150A60" w:rsidRDefault="00D42DF7" w:rsidP="00150A60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bookmarkStart w:id="1" w:name="_Hlk150417645"/>
      <w:r w:rsidRPr="00150A60">
        <w:rPr>
          <w:rFonts w:ascii="Times New Roman" w:hAnsi="Times New Roman"/>
          <w:sz w:val="22"/>
          <w:szCs w:val="22"/>
        </w:rPr>
        <w:t>vznikl na základě účetního dokladu v minimální výši 1.000</w:t>
      </w:r>
      <w:r w:rsidRPr="00150A60">
        <w:rPr>
          <w:rFonts w:ascii="Times New Roman" w:hAnsi="Times New Roman"/>
          <w:i/>
          <w:iCs/>
        </w:rPr>
        <w:t>;</w:t>
      </w:r>
    </w:p>
    <w:bookmarkEnd w:id="1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2" w:name="_Hlk150418202"/>
      <w:r w:rsidR="002178B7">
        <w:rPr>
          <w:sz w:val="22"/>
          <w:szCs w:val="22"/>
        </w:rPr>
        <w:t>(mimo věcné ceny)</w:t>
      </w:r>
      <w:bookmarkEnd w:id="2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lastRenderedPageBreak/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2A26DC" w14:textId="3D5AE1C7" w:rsidR="00501B1D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dlouhodobý nájem bytů.</w:t>
      </w:r>
    </w:p>
    <w:p w14:paraId="6294592C" w14:textId="77777777" w:rsidR="0092101A" w:rsidRPr="00155AD6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2428BF63" w14:textId="4A430EE8" w:rsidR="00501B1D" w:rsidRDefault="00501B1D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lastRenderedPageBreak/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1D259814" w14:textId="4B6B3E25" w:rsidR="00D42DF7" w:rsidRPr="00150A60" w:rsidRDefault="00980929" w:rsidP="00150A6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467DC2BF" w14:textId="77777777" w:rsidR="00866936" w:rsidRDefault="00866936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i/>
          <w:iCs/>
          <w:color w:val="FF0000"/>
          <w:sz w:val="18"/>
          <w:szCs w:val="18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3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3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lastRenderedPageBreak/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4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4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t xml:space="preserve"> </w:t>
      </w:r>
      <w:bookmarkStart w:id="5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>Přehled konkrétních účetních dokladů, které jsou uvedeny v části III. tohoto 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6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5"/>
      <w:r w:rsidRPr="00880597">
        <w:rPr>
          <w:rFonts w:ascii="Times New Roman" w:hAnsi="Times New Roman"/>
          <w:sz w:val="22"/>
          <w:szCs w:val="22"/>
        </w:rPr>
        <w:t>.</w:t>
      </w:r>
      <w:bookmarkEnd w:id="6"/>
    </w:p>
    <w:p w14:paraId="04D1D6CA" w14:textId="77777777" w:rsidR="001A0B15" w:rsidRPr="00880597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01752024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01752024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Pr="0092101A" w:rsidRDefault="007C27DC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5C816DEE" w14:textId="77777777" w:rsidR="00D669F8" w:rsidRDefault="00D669F8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2C495DF4" w14:textId="77777777" w:rsidR="008238F1" w:rsidRDefault="008238F1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3F44FED" w14:textId="77777777" w:rsidR="0092101A" w:rsidRDefault="0092101A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BBAE4A" w14:textId="7F9969DC" w:rsidR="0092101A" w:rsidRDefault="00795E5C" w:rsidP="0072393B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7856849E" w14:textId="77777777" w:rsidR="00F14B38" w:rsidRDefault="00F14B38" w:rsidP="006A0802">
      <w:pPr>
        <w:pStyle w:val="JVS2"/>
        <w:jc w:val="both"/>
      </w:pP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 xml:space="preserve">Nepředložení finančního vypořádání dotace v termínu podle čl. V. odst. 1 této smlouvy je považováno za porušení méně závažné povinnosti ve smyslu ustanovení § 10a odst. 6 zákona č. 250/2000 Sb., o </w:t>
      </w:r>
      <w:r w:rsidRPr="00C877AD">
        <w:rPr>
          <w:rFonts w:ascii="Times New Roman" w:hAnsi="Times New Roman"/>
          <w:sz w:val="22"/>
          <w:szCs w:val="22"/>
        </w:rPr>
        <w:lastRenderedPageBreak/>
        <w:t>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Pr="00C877AD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424225" w14:textId="52B4260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68BDE024" w14:textId="27F24B53" w:rsidR="00704832" w:rsidRDefault="00704832" w:rsidP="00887279">
      <w:pPr>
        <w:pStyle w:val="JVS2"/>
        <w:ind w:left="284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1A8FDA4" w14:textId="475CB640" w:rsidR="00F00D2A" w:rsidRPr="002272DE" w:rsidRDefault="00F00D2A" w:rsidP="00F00D2A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i/>
          <w:szCs w:val="22"/>
        </w:rPr>
      </w:pPr>
      <w:r w:rsidRPr="00443C30">
        <w:rPr>
          <w:rFonts w:ascii="Times New Roman" w:hAnsi="Times New Roman"/>
          <w:sz w:val="22"/>
          <w:szCs w:val="22"/>
        </w:rPr>
        <w:t xml:space="preserve"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 </w:t>
      </w:r>
    </w:p>
    <w:p w14:paraId="20C1E69E" w14:textId="77777777" w:rsidR="005F0DD3" w:rsidRDefault="005F0DD3" w:rsidP="005F0DD3">
      <w:pPr>
        <w:pStyle w:val="Odstavecseseznamem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lastRenderedPageBreak/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B6198ED" w14:textId="77777777" w:rsidR="00D408DC" w:rsidRDefault="00FC2516" w:rsidP="005364A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629455D4" w14:textId="77777777" w:rsidR="00F00D2A" w:rsidRDefault="00F00D2A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2D73C21A" w14:textId="1F827BA5" w:rsidR="00795E5C" w:rsidRDefault="00013228" w:rsidP="00013228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4CEA2AD3" w14:textId="6A2DC2B6" w:rsidR="00372919" w:rsidRDefault="00013228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E92A47">
        <w:rPr>
          <w:rFonts w:ascii="Times New Roman" w:hAnsi="Times New Roman"/>
          <w:sz w:val="22"/>
          <w:szCs w:val="22"/>
        </w:rPr>
        <w:t xml:space="preserve">smlouvy </w:t>
      </w:r>
      <w:r w:rsidR="000E30B3"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="000E30B3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dne</w:t>
      </w:r>
      <w:r w:rsidR="00463FB4">
        <w:rPr>
          <w:rFonts w:ascii="Times New Roman" w:hAnsi="Times New Roman"/>
          <w:sz w:val="22"/>
          <w:szCs w:val="22"/>
        </w:rPr>
        <w:t xml:space="preserve">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06.12.2023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34138837" w14:textId="6C5D85D0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AE3629D" w14:textId="77777777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65AC83D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AB7708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A64A70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69D7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1735BD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196F35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70124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1DC38EE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880F10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00DC068E" w14:textId="77777777" w:rsidTr="00DD34F8">
        <w:tc>
          <w:tcPr>
            <w:tcW w:w="4257" w:type="dxa"/>
            <w:shd w:val="clear" w:color="auto" w:fill="auto"/>
          </w:tcPr>
          <w:p w14:paraId="2649F20C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Lukáš Kaleta</w:t>
            </w:r>
          </w:p>
          <w:p w14:paraId="7DD77944" w14:textId="77777777" w:rsidR="00DF598A" w:rsidRPr="003F7F11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F11">
              <w:rPr>
                <w:rFonts w:ascii="Times New Roman" w:hAnsi="Times New Roman"/>
                <w:sz w:val="22"/>
                <w:szCs w:val="22"/>
              </w:rPr>
              <w:t>předseda</w:t>
            </w:r>
          </w:p>
          <w:p w14:paraId="4E542DC6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E6CD96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598A" w14:paraId="34C75B9F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622EECC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52FE4E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96C13E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2447D6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8BB541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B55A8D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25FA830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AC438E4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139CAAA0" w14:textId="77777777" w:rsidTr="00DD34F8">
        <w:tc>
          <w:tcPr>
            <w:tcW w:w="4257" w:type="dxa"/>
            <w:shd w:val="clear" w:color="auto" w:fill="auto"/>
          </w:tcPr>
          <w:p w14:paraId="5F129F9A" w14:textId="07CD5AF9" w:rsidR="00DF598A" w:rsidRPr="009A25FC" w:rsidRDefault="003F7F11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Ing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DF598A"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Miroslav Michalík</w:t>
            </w:r>
          </w:p>
          <w:p w14:paraId="6881C3AA" w14:textId="77777777" w:rsidR="00DF598A" w:rsidRPr="003F7F11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F11">
              <w:rPr>
                <w:rFonts w:ascii="Times New Roman" w:hAnsi="Times New Roman"/>
                <w:sz w:val="22"/>
                <w:szCs w:val="22"/>
              </w:rPr>
              <w:t>místopředseda</w:t>
            </w:r>
          </w:p>
          <w:p w14:paraId="553C401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373FC24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F598A" w14:paraId="3D31EF96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7B589836" w14:textId="4B5F0F6F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  <w:tc>
          <w:tcPr>
            <w:tcW w:w="671" w:type="dxa"/>
            <w:vMerge w:val="restart"/>
            <w:vAlign w:val="center"/>
          </w:tcPr>
          <w:p w14:paraId="10D4579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6A57C6B9" w14:textId="77777777" w:rsidTr="00DD34F8">
        <w:tc>
          <w:tcPr>
            <w:tcW w:w="4257" w:type="dxa"/>
            <w:shd w:val="clear" w:color="auto" w:fill="auto"/>
          </w:tcPr>
          <w:p w14:paraId="11AAC5B9" w14:textId="18DFFA68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71" w:type="dxa"/>
            <w:vMerge/>
          </w:tcPr>
          <w:p w14:paraId="5F70180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41E6D" w14:textId="77777777" w:rsidR="00DF598A" w:rsidRDefault="00DF598A" w:rsidP="00DF598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173FEEDA" w14:textId="77777777" w:rsidR="00DF598A" w:rsidRPr="008647D2" w:rsidRDefault="00DF598A" w:rsidP="00DF598A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33130B57" w14:textId="59DACBE9" w:rsidR="004C6652" w:rsidRDefault="004C6652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432507F" w14:textId="0946F128" w:rsidR="007B3510" w:rsidRDefault="007B3510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019E36EB" w14:textId="77777777" w:rsidR="007B3510" w:rsidRDefault="007B3510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58EEC31E" w14:textId="77777777" w:rsidR="008A6664" w:rsidRDefault="008A6664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  <w:sectPr w:rsidR="008A6664" w:rsidSect="00FF58A1">
          <w:headerReference w:type="default" r:id="rId10"/>
          <w:footerReference w:type="default" r:id="rId11"/>
          <w:type w:val="continuous"/>
          <w:pgSz w:w="11906" w:h="16838" w:code="9"/>
          <w:pgMar w:top="1702" w:right="1106" w:bottom="1276" w:left="1259" w:header="624" w:footer="663" w:gutter="0"/>
          <w:cols w:space="708"/>
          <w:docGrid w:linePitch="360"/>
        </w:sectPr>
      </w:pPr>
    </w:p>
    <w:p w14:paraId="28C0074C" w14:textId="77777777" w:rsidR="004C6652" w:rsidRDefault="004C6652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7DD4239" w14:textId="77777777" w:rsidR="00887279" w:rsidRDefault="00887279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4EF71414" w14:textId="77777777" w:rsidR="00F3088A" w:rsidRDefault="00F3088A" w:rsidP="00A2296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5D7C0015" w14:textId="0C6F060B" w:rsidR="00320E5F" w:rsidRPr="004A50AA" w:rsidRDefault="00320E5F" w:rsidP="00E92A47">
      <w:pPr>
        <w:tabs>
          <w:tab w:val="left" w:pos="284"/>
          <w:tab w:val="left" w:pos="4990"/>
        </w:tabs>
        <w:jc w:val="both"/>
        <w:outlineLvl w:val="0"/>
        <w:rPr>
          <w:rFonts w:cs="Arial"/>
          <w:b/>
        </w:rPr>
        <w:sectPr w:rsidR="00320E5F" w:rsidRPr="004A50AA" w:rsidSect="00FF58A1">
          <w:type w:val="continuous"/>
          <w:pgSz w:w="11906" w:h="16838" w:code="9"/>
          <w:pgMar w:top="1702" w:right="1106" w:bottom="1276" w:left="1259" w:header="624" w:footer="663" w:gutter="0"/>
          <w:cols w:space="708"/>
          <w:docGrid w:linePitch="360"/>
        </w:sectPr>
      </w:pPr>
    </w:p>
    <w:p w14:paraId="3211A0BE" w14:textId="77777777" w:rsidR="00002951" w:rsidRPr="00C44A96" w:rsidRDefault="00002951" w:rsidP="003F7F11">
      <w:pPr>
        <w:tabs>
          <w:tab w:val="left" w:pos="0"/>
          <w:tab w:val="left" w:pos="4990"/>
        </w:tabs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A12414"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77777777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Pr="000D14AF">
      <w:rPr>
        <w:rStyle w:val="slostrnky"/>
        <w:rFonts w:cs="Arial"/>
        <w:color w:val="003C69"/>
        <w:sz w:val="16"/>
      </w:rPr>
      <w:t>10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0175/2024/SP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0175/2024/SP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0175/2024/SP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0175/2024/SP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4D2ACE74"/>
    <w:lvl w:ilvl="0" w:tplc="0D8E66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7D89"/>
    <w:rsid w:val="000E30B3"/>
    <w:rsid w:val="000E434B"/>
    <w:rsid w:val="000E5F7E"/>
    <w:rsid w:val="000F263D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0A60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5E75"/>
    <w:rsid w:val="003F74C6"/>
    <w:rsid w:val="003F7BCB"/>
    <w:rsid w:val="003F7F11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58C8"/>
    <w:rsid w:val="00510E10"/>
    <w:rsid w:val="005128D7"/>
    <w:rsid w:val="00512A7E"/>
    <w:rsid w:val="00513270"/>
    <w:rsid w:val="005239CA"/>
    <w:rsid w:val="005244C9"/>
    <w:rsid w:val="005247BA"/>
    <w:rsid w:val="0052683F"/>
    <w:rsid w:val="0052702A"/>
    <w:rsid w:val="00530668"/>
    <w:rsid w:val="00533613"/>
    <w:rsid w:val="00535176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61D1"/>
    <w:rsid w:val="0080707E"/>
    <w:rsid w:val="00810DCB"/>
    <w:rsid w:val="008208A1"/>
    <w:rsid w:val="00821077"/>
    <w:rsid w:val="008212D3"/>
    <w:rsid w:val="008214DF"/>
    <w:rsid w:val="008238F1"/>
    <w:rsid w:val="008249C3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A87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58BC"/>
    <w:rsid w:val="00B60617"/>
    <w:rsid w:val="00B61886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4361</Words>
  <Characters>25920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30221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4</cp:revision>
  <cp:lastPrinted>2022-12-28T10:16:00Z</cp:lastPrinted>
  <dcterms:created xsi:type="dcterms:W3CDTF">2024-02-12T13:25:00Z</dcterms:created>
  <dcterms:modified xsi:type="dcterms:W3CDTF">2024-02-20T08:39:00Z</dcterms:modified>
</cp:coreProperties>
</file>