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E98E5ED" w14:textId="77777777" w:rsidR="00D17EBF" w:rsidRDefault="00D17EBF">
      <w:pPr>
        <w:widowControl w:val="0"/>
        <w:autoSpaceDE w:val="0"/>
        <w:spacing w:line="292" w:lineRule="atLeast"/>
        <w:ind w:left="15"/>
        <w:jc w:val="center"/>
      </w:pPr>
      <w:r>
        <w:rPr>
          <w:rFonts w:ascii="Arial" w:hAnsi="Arial" w:cs="Arial"/>
          <w:b/>
        </w:rPr>
        <w:t>Veřejnoprávní smlouva o poskytnutí „individuální“ dotace z rozpočtu města Hořice na r. 2024</w:t>
      </w:r>
    </w:p>
    <w:p w14:paraId="5AB986D8" w14:textId="77777777" w:rsidR="00D17EBF" w:rsidRDefault="00D17EBF">
      <w:pPr>
        <w:widowControl w:val="0"/>
        <w:autoSpaceDE w:val="0"/>
        <w:spacing w:line="292" w:lineRule="atLeast"/>
        <w:ind w:left="15"/>
        <w:jc w:val="center"/>
      </w:pPr>
    </w:p>
    <w:p w14:paraId="1A76ECD4" w14:textId="77777777" w:rsidR="00D17EBF" w:rsidRDefault="00D17EBF">
      <w:pPr>
        <w:widowControl w:val="0"/>
        <w:autoSpaceDE w:val="0"/>
        <w:spacing w:line="292" w:lineRule="atLeast"/>
        <w:ind w:left="1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 Smluvní strany</w:t>
      </w:r>
    </w:p>
    <w:p w14:paraId="5F684B1E" w14:textId="77777777" w:rsidR="00D17EBF" w:rsidRDefault="00D17EBF">
      <w:pPr>
        <w:widowControl w:val="0"/>
        <w:autoSpaceDE w:val="0"/>
        <w:spacing w:line="288" w:lineRule="atLeast"/>
        <w:ind w:left="15"/>
        <w:jc w:val="both"/>
        <w:rPr>
          <w:rFonts w:ascii="Arial" w:hAnsi="Arial" w:cs="Arial"/>
          <w:b/>
          <w:sz w:val="22"/>
          <w:szCs w:val="22"/>
        </w:rPr>
      </w:pPr>
    </w:p>
    <w:p w14:paraId="3F16B064" w14:textId="77777777" w:rsidR="00D17EBF" w:rsidRDefault="00D17EBF">
      <w:pPr>
        <w:widowControl w:val="0"/>
        <w:autoSpaceDE w:val="0"/>
        <w:spacing w:line="278" w:lineRule="atLeast"/>
        <w:ind w:left="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Město Hořice</w:t>
      </w:r>
    </w:p>
    <w:p w14:paraId="6479B4C8" w14:textId="77777777" w:rsidR="00D17EBF" w:rsidRDefault="00D17EBF">
      <w:pPr>
        <w:widowControl w:val="0"/>
        <w:autoSpaceDE w:val="0"/>
        <w:spacing w:line="278" w:lineRule="atLeast"/>
        <w:ind w:left="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 náměstí Jiřího z Poděbrad 342, 508 01 Hořice</w:t>
      </w:r>
    </w:p>
    <w:p w14:paraId="2C194F4C" w14:textId="77777777" w:rsidR="00D17EBF" w:rsidRDefault="00D17EBF">
      <w:pPr>
        <w:widowControl w:val="0"/>
        <w:autoSpaceDE w:val="0"/>
        <w:spacing w:line="278" w:lineRule="atLeast"/>
        <w:ind w:left="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zastoupené: starostou Ing. arch. Martinem Pourem </w:t>
      </w:r>
    </w:p>
    <w:p w14:paraId="6203ED00" w14:textId="77777777" w:rsidR="00D17EBF" w:rsidRDefault="00D17EBF">
      <w:pPr>
        <w:widowControl w:val="0"/>
        <w:autoSpaceDE w:val="0"/>
        <w:spacing w:line="278" w:lineRule="atLeast"/>
        <w:ind w:left="15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IČ:  00271560</w:t>
      </w:r>
      <w:proofErr w:type="gramEnd"/>
    </w:p>
    <w:p w14:paraId="4BA80366" w14:textId="77777777" w:rsidR="00D17EBF" w:rsidRDefault="00D17EBF">
      <w:pPr>
        <w:widowControl w:val="0"/>
        <w:autoSpaceDE w:val="0"/>
        <w:spacing w:line="278" w:lineRule="atLeast"/>
        <w:ind w:left="15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DIČ:  CZ</w:t>
      </w:r>
      <w:proofErr w:type="gramEnd"/>
      <w:r>
        <w:rPr>
          <w:rFonts w:ascii="Arial" w:hAnsi="Arial" w:cs="Arial"/>
          <w:sz w:val="22"/>
          <w:szCs w:val="22"/>
        </w:rPr>
        <w:t>699005965</w:t>
      </w:r>
    </w:p>
    <w:p w14:paraId="07973733" w14:textId="77777777" w:rsidR="00D17EBF" w:rsidRDefault="00D17EBF">
      <w:pPr>
        <w:widowControl w:val="0"/>
        <w:autoSpaceDE w:val="0"/>
        <w:spacing w:line="278" w:lineRule="atLeast"/>
        <w:ind w:left="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číslo účtu 1222-1161157329/0800  </w:t>
      </w:r>
    </w:p>
    <w:p w14:paraId="4F2D5C85" w14:textId="77777777" w:rsidR="00D17EBF" w:rsidRDefault="00D17EBF">
      <w:pPr>
        <w:widowControl w:val="0"/>
        <w:autoSpaceDE w:val="0"/>
        <w:spacing w:line="278" w:lineRule="atLeast"/>
        <w:ind w:left="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"poskytovatel")</w:t>
      </w:r>
    </w:p>
    <w:p w14:paraId="1A432E9D" w14:textId="77777777" w:rsidR="00D17EBF" w:rsidRDefault="00D17EBF">
      <w:pPr>
        <w:widowControl w:val="0"/>
        <w:autoSpaceDE w:val="0"/>
        <w:spacing w:line="278" w:lineRule="atLeast"/>
        <w:ind w:left="15"/>
        <w:rPr>
          <w:rFonts w:ascii="Arial" w:hAnsi="Arial" w:cs="Arial"/>
          <w:sz w:val="22"/>
          <w:szCs w:val="22"/>
        </w:rPr>
      </w:pPr>
    </w:p>
    <w:p w14:paraId="1E5FFDC7" w14:textId="77777777" w:rsidR="00D17EBF" w:rsidRDefault="00D17EBF">
      <w:pPr>
        <w:widowControl w:val="0"/>
        <w:autoSpaceDE w:val="0"/>
        <w:spacing w:line="278" w:lineRule="atLeast"/>
        <w:ind w:left="15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63976C5F" w14:textId="77777777" w:rsidR="00D17EBF" w:rsidRDefault="00D17EBF">
      <w:pPr>
        <w:widowControl w:val="0"/>
        <w:tabs>
          <w:tab w:val="left" w:pos="375"/>
        </w:tabs>
        <w:autoSpaceDE w:val="0"/>
        <w:ind w:left="1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</w:t>
      </w:r>
    </w:p>
    <w:p w14:paraId="43255160" w14:textId="77777777" w:rsidR="00D17EBF" w:rsidRDefault="00D17EBF">
      <w:pPr>
        <w:widowControl w:val="0"/>
        <w:tabs>
          <w:tab w:val="left" w:pos="30"/>
        </w:tabs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Náboženská obec Církve československé husitské ve Velkém </w:t>
      </w:r>
      <w:proofErr w:type="spellStart"/>
      <w:r>
        <w:rPr>
          <w:rFonts w:ascii="Arial" w:hAnsi="Arial" w:cs="Arial"/>
          <w:b/>
          <w:sz w:val="22"/>
          <w:szCs w:val="22"/>
        </w:rPr>
        <w:t>Vřešťově</w:t>
      </w:r>
      <w:proofErr w:type="spellEnd"/>
    </w:p>
    <w:p w14:paraId="09AFBA0D" w14:textId="77777777" w:rsidR="00D17EBF" w:rsidRDefault="00D17EBF">
      <w:pPr>
        <w:widowControl w:val="0"/>
        <w:tabs>
          <w:tab w:val="left" w:pos="30"/>
        </w:tabs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65715489</w:t>
      </w:r>
    </w:p>
    <w:p w14:paraId="358146F6" w14:textId="77777777" w:rsidR="00D17EBF" w:rsidRDefault="00D17EBF">
      <w:pPr>
        <w:widowControl w:val="0"/>
        <w:tabs>
          <w:tab w:val="left" w:pos="30"/>
        </w:tabs>
        <w:autoSpaceDE w:val="0"/>
        <w:ind w:left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 Velký Vřešťov 94, 544 54 Velký Vřešťov</w:t>
      </w:r>
    </w:p>
    <w:p w14:paraId="3B8C14B9" w14:textId="77777777" w:rsidR="00D17EBF" w:rsidRDefault="00D17EBF">
      <w:pPr>
        <w:widowControl w:val="0"/>
        <w:tabs>
          <w:tab w:val="left" w:pos="30"/>
        </w:tabs>
        <w:autoSpaceDE w:val="0"/>
        <w:ind w:left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zastoupený: Mgr. Eliškou Zapletalovou, farářkou</w:t>
      </w:r>
    </w:p>
    <w:p w14:paraId="0803D062" w14:textId="77777777" w:rsidR="00D17EBF" w:rsidRDefault="00D17EBF">
      <w:pPr>
        <w:widowControl w:val="0"/>
        <w:tabs>
          <w:tab w:val="left" w:pos="30"/>
        </w:tabs>
        <w:autoSpaceDE w:val="0"/>
        <w:ind w:left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Vojtěchem Jonášem, předsedou rady starších</w:t>
      </w:r>
    </w:p>
    <w:p w14:paraId="155DE48B" w14:textId="77777777" w:rsidR="00D17EBF" w:rsidRDefault="00D17EBF">
      <w:pPr>
        <w:widowControl w:val="0"/>
        <w:tabs>
          <w:tab w:val="left" w:pos="30"/>
        </w:tabs>
        <w:autoSpaceDE w:val="0"/>
        <w:ind w:left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PhDr. Oldřiškou Tomíčkovou, finanční zpravodajkou</w:t>
      </w:r>
    </w:p>
    <w:p w14:paraId="4E157107" w14:textId="77777777" w:rsidR="00D17EBF" w:rsidRDefault="00D17EBF">
      <w:pPr>
        <w:widowControl w:val="0"/>
        <w:tabs>
          <w:tab w:val="left" w:pos="30"/>
        </w:tabs>
        <w:autoSpaceDE w:val="0"/>
        <w:spacing w:line="264" w:lineRule="atLeast"/>
        <w:ind w:left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ČSOB, č. účtu: 196834372/0300</w:t>
      </w:r>
    </w:p>
    <w:p w14:paraId="279DECCA" w14:textId="77777777" w:rsidR="00D17EBF" w:rsidRDefault="00D17EBF">
      <w:pPr>
        <w:widowControl w:val="0"/>
        <w:tabs>
          <w:tab w:val="left" w:pos="30"/>
        </w:tabs>
        <w:autoSpaceDE w:val="0"/>
        <w:ind w:left="15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</w:t>
      </w:r>
      <w:proofErr w:type="gramStart"/>
      <w:r>
        <w:rPr>
          <w:rFonts w:ascii="Arial" w:hAnsi="Arial" w:cs="Arial"/>
          <w:sz w:val="22"/>
          <w:szCs w:val="22"/>
        </w:rPr>
        <w:t>jen  "</w:t>
      </w:r>
      <w:proofErr w:type="gramEnd"/>
      <w:r>
        <w:rPr>
          <w:rFonts w:ascii="Arial" w:hAnsi="Arial" w:cs="Arial"/>
          <w:sz w:val="22"/>
          <w:szCs w:val="22"/>
        </w:rPr>
        <w:t>příjemce" )</w:t>
      </w:r>
    </w:p>
    <w:p w14:paraId="7091D3A7" w14:textId="77777777" w:rsidR="00D17EBF" w:rsidRDefault="00D17EBF">
      <w:pPr>
        <w:widowControl w:val="0"/>
        <w:autoSpaceDE w:val="0"/>
        <w:spacing w:line="278" w:lineRule="atLeast"/>
        <w:ind w:left="1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25719871" w14:textId="77777777" w:rsidR="00D17EBF" w:rsidRDefault="00D17EBF">
      <w:pPr>
        <w:widowControl w:val="0"/>
        <w:autoSpaceDE w:val="0"/>
        <w:spacing w:line="278" w:lineRule="atLeast"/>
        <w:ind w:left="15"/>
        <w:rPr>
          <w:rFonts w:ascii="Arial" w:hAnsi="Arial" w:cs="Arial"/>
          <w:b/>
          <w:bCs/>
          <w:sz w:val="22"/>
          <w:szCs w:val="22"/>
        </w:rPr>
      </w:pPr>
    </w:p>
    <w:p w14:paraId="11F1FAC0" w14:textId="77777777" w:rsidR="00D17EBF" w:rsidRDefault="00D17EBF">
      <w:pPr>
        <w:widowControl w:val="0"/>
        <w:autoSpaceDE w:val="0"/>
        <w:spacing w:line="268" w:lineRule="atLeast"/>
        <w:ind w:left="15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II. Předmět smlouvy</w:t>
      </w:r>
    </w:p>
    <w:p w14:paraId="0B2D471C" w14:textId="77777777" w:rsidR="00D17EBF" w:rsidRDefault="00D17EBF">
      <w:pPr>
        <w:widowControl w:val="0"/>
        <w:autoSpaceDE w:val="0"/>
        <w:spacing w:line="268" w:lineRule="atLeast"/>
        <w:ind w:left="15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30DA8DA" w14:textId="77777777" w:rsidR="00D17EBF" w:rsidRDefault="00D17EBF">
      <w:pPr>
        <w:widowControl w:val="0"/>
        <w:autoSpaceDE w:val="0"/>
        <w:spacing w:line="278" w:lineRule="atLeast"/>
        <w:ind w:left="1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Předmětem smlouvy je poskytnutí dotace příjemci z rozpočtu poskytovatele (fond oprav a údržby kulturních památek) v souladu </w:t>
      </w:r>
      <w:r>
        <w:rPr>
          <w:rFonts w:ascii="Arial" w:hAnsi="Arial" w:cs="Arial"/>
          <w:bCs/>
          <w:sz w:val="22"/>
          <w:szCs w:val="22"/>
        </w:rPr>
        <w:t>se zákonem č. 128/2000 Sb., o obcích (obecní zřízení), ve znění pozdějších předpisů a zákonem č. 250/2000 Sb., o rozpočtových pravidlech územních rozpočtů, ve znění pozdějších předpisů.</w:t>
      </w:r>
    </w:p>
    <w:p w14:paraId="1E13AF6E" w14:textId="77777777" w:rsidR="00D17EBF" w:rsidRDefault="00D17EBF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743DC894" w14:textId="77777777" w:rsidR="00D17EBF" w:rsidRDefault="00D17EBF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14:paraId="0144C9C2" w14:textId="77777777" w:rsidR="00D17EBF" w:rsidRDefault="00D17EBF">
      <w:pPr>
        <w:widowControl w:val="0"/>
        <w:autoSpaceDE w:val="0"/>
        <w:spacing w:line="278" w:lineRule="atLeast"/>
        <w:ind w:left="1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14:paraId="46FCD1D8" w14:textId="77777777" w:rsidR="00D17EBF" w:rsidRDefault="00D17EBF">
      <w:pPr>
        <w:widowControl w:val="0"/>
        <w:autoSpaceDE w:val="0"/>
        <w:spacing w:line="278" w:lineRule="atLeast"/>
        <w:ind w:left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>Účel a doba použití dotace</w:t>
      </w:r>
    </w:p>
    <w:p w14:paraId="6C0B386A" w14:textId="77777777" w:rsidR="00D17EBF" w:rsidRDefault="00D17EBF">
      <w:pPr>
        <w:pStyle w:val="Standard"/>
        <w:spacing w:before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Poskytovatel podle této smlouvy poskytne za podmínek stanovených touto smlouvou příjemci neinvestiční dotaci k následujícímu účelu: </w:t>
      </w:r>
    </w:p>
    <w:p w14:paraId="058023DC" w14:textId="77777777" w:rsidR="00D17EBF" w:rsidRDefault="00D17EBF">
      <w:pPr>
        <w:pStyle w:val="Standard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 opravu tzv. ženské galerie (dřevo, ochrana, výměna poškozených částí, nátěr, …) v objektu bývalé synagogy v Hořicích. </w:t>
      </w:r>
    </w:p>
    <w:p w14:paraId="1FEC7163" w14:textId="77777777" w:rsidR="00D17EBF" w:rsidRDefault="00D17EBF">
      <w:pPr>
        <w:pStyle w:val="Standard"/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Doba, v níž má být dosaženo účelu (příprava, realizace, </w:t>
      </w:r>
      <w:proofErr w:type="gramStart"/>
      <w:r>
        <w:rPr>
          <w:rFonts w:ascii="Arial" w:hAnsi="Arial" w:cs="Arial"/>
          <w:sz w:val="22"/>
          <w:szCs w:val="22"/>
        </w:rPr>
        <w:t>ukončení - časové</w:t>
      </w:r>
      <w:proofErr w:type="gramEnd"/>
      <w:r>
        <w:rPr>
          <w:rFonts w:ascii="Arial" w:hAnsi="Arial" w:cs="Arial"/>
          <w:sz w:val="22"/>
          <w:szCs w:val="22"/>
        </w:rPr>
        <w:t xml:space="preserve"> období pro uznatelnost výdajů):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od 1. 4. 2024 </w:t>
      </w:r>
      <w:r>
        <w:rPr>
          <w:rFonts w:ascii="Arial" w:hAnsi="Arial" w:cs="Arial"/>
          <w:b/>
          <w:sz w:val="22"/>
          <w:szCs w:val="22"/>
        </w:rPr>
        <w:t>do 15. 12. 2024</w:t>
      </w:r>
      <w:r>
        <w:rPr>
          <w:rFonts w:ascii="Arial" w:hAnsi="Arial" w:cs="Arial"/>
          <w:sz w:val="22"/>
          <w:szCs w:val="22"/>
        </w:rPr>
        <w:t>.</w:t>
      </w:r>
    </w:p>
    <w:p w14:paraId="4CC69ADC" w14:textId="77777777" w:rsidR="00D17EBF" w:rsidRDefault="00D17EBF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A2FD717" w14:textId="77777777" w:rsidR="00D17EBF" w:rsidRDefault="00D17EBF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85B8026" w14:textId="77777777" w:rsidR="00D17EBF" w:rsidRDefault="00D17EBF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IV.</w:t>
      </w:r>
    </w:p>
    <w:p w14:paraId="094FEFC6" w14:textId="77777777" w:rsidR="00D17EBF" w:rsidRDefault="00D17EB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Výše dotace</w:t>
      </w:r>
    </w:p>
    <w:p w14:paraId="5AAE3AB9" w14:textId="77777777" w:rsidR="00D17EBF" w:rsidRDefault="00D17EBF">
      <w:pPr>
        <w:pStyle w:val="Standard"/>
        <w:widowControl w:val="0"/>
        <w:autoSpaceDE w:val="0"/>
        <w:spacing w:before="120" w:line="278" w:lineRule="atLeast"/>
        <w:ind w:left="1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dotace činí</w:t>
      </w:r>
      <w:r w:rsidR="00C16A9E">
        <w:rPr>
          <w:rFonts w:ascii="Arial" w:hAnsi="Arial" w:cs="Arial"/>
          <w:sz w:val="22"/>
          <w:szCs w:val="22"/>
        </w:rPr>
        <w:t xml:space="preserve"> </w:t>
      </w:r>
      <w:r w:rsidR="00C16A9E" w:rsidRPr="00C16A9E">
        <w:rPr>
          <w:rFonts w:ascii="Arial" w:hAnsi="Arial" w:cs="Arial"/>
          <w:b/>
          <w:bCs/>
          <w:sz w:val="22"/>
          <w:szCs w:val="22"/>
        </w:rPr>
        <w:t>100.000</w:t>
      </w:r>
      <w:r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(slovy: </w:t>
      </w:r>
      <w:r w:rsidR="00C16A9E">
        <w:rPr>
          <w:rFonts w:ascii="Arial" w:hAnsi="Arial" w:cs="Arial"/>
          <w:sz w:val="22"/>
          <w:szCs w:val="22"/>
        </w:rPr>
        <w:t>stotisíc</w:t>
      </w:r>
      <w:r>
        <w:rPr>
          <w:rFonts w:ascii="Arial" w:hAnsi="Arial" w:cs="Arial"/>
          <w:sz w:val="22"/>
          <w:szCs w:val="22"/>
        </w:rPr>
        <w:t xml:space="preserve"> korun českých). Peněžní prostředky budou poskytnuty jednorázově. Poskytnutá dotace bude poukázána na účet příjemce uvedený v záhlaví této smlouvy nejpozději do 30 dnů po nabytí účinnosti této smlouvy.</w:t>
      </w:r>
    </w:p>
    <w:p w14:paraId="690FA319" w14:textId="77777777" w:rsidR="00D17EBF" w:rsidRDefault="00D17EBF">
      <w:pPr>
        <w:pStyle w:val="Standard"/>
        <w:spacing w:before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V.</w:t>
      </w:r>
    </w:p>
    <w:p w14:paraId="17F0D265" w14:textId="77777777" w:rsidR="00D17EBF" w:rsidRDefault="00D17EBF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Podmínky použití dotace</w:t>
      </w:r>
    </w:p>
    <w:p w14:paraId="0CC43E24" w14:textId="77777777" w:rsidR="00D17EBF" w:rsidRDefault="00D17EBF">
      <w:pPr>
        <w:pStyle w:val="Standard"/>
        <w:tabs>
          <w:tab w:val="left" w:pos="360"/>
        </w:tabs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 Příjemce je povinen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použít dotaci výhradně ke sjednanému účelu, s maximální hospodárností a efektivností a za podmínek uvedených v této smlouvě. </w:t>
      </w:r>
    </w:p>
    <w:p w14:paraId="5F90AF90" w14:textId="77777777" w:rsidR="00D17EBF" w:rsidRDefault="00D17EBF">
      <w:pPr>
        <w:pStyle w:val="Standard"/>
        <w:tabs>
          <w:tab w:val="left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2. Je-li příjemce zadavatelem veřejné zakázky nebo splní-li příjemce definici zadavatele veřejné zakázky podle § 2 zákona č. 137/2006 Sb., o veřejných zakázkách, ve znění pozdějších předpisů, je povinen postupovat při výběru dodavatele podle tohoto zákona.</w:t>
      </w:r>
    </w:p>
    <w:p w14:paraId="4CAC01E6" w14:textId="77777777" w:rsidR="00D17EBF" w:rsidRDefault="00D17EBF">
      <w:pPr>
        <w:pStyle w:val="Standard"/>
        <w:tabs>
          <w:tab w:val="left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Příjemce je povinen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vést řádnou evidenci čerpání dotace v souladu se zákonem č. 563/1991 Sb., o účetnictví, ve znění pozdějších předpisů.  Tato evidence musí být podložena účetními záznamy, z nichž musí být zřejmé, které náklady byly hrazené z dotace poskytnuté touto smlouvou. Čestné prohlášení příjemce o vynaložení finančních prostředků v rámci uznatelných výdajů není považováno za účetní záznam.</w:t>
      </w:r>
    </w:p>
    <w:p w14:paraId="7DD1C58B" w14:textId="77777777" w:rsidR="00D17EBF" w:rsidRDefault="00D17EBF">
      <w:pPr>
        <w:pStyle w:val="Standard"/>
        <w:tabs>
          <w:tab w:val="left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14:paraId="73946266" w14:textId="77777777" w:rsidR="00D17EBF" w:rsidRDefault="00D17EBF">
      <w:pPr>
        <w:pStyle w:val="Standard"/>
        <w:autoSpaceDE w:val="0"/>
        <w:ind w:left="360"/>
        <w:jc w:val="both"/>
        <w:rPr>
          <w:rFonts w:ascii="Arial" w:hAnsi="Arial" w:cs="Arial"/>
          <w:sz w:val="22"/>
          <w:szCs w:val="22"/>
        </w:rPr>
      </w:pPr>
    </w:p>
    <w:p w14:paraId="1E8FDB78" w14:textId="77777777" w:rsidR="00D17EBF" w:rsidRDefault="00D17EBF">
      <w:pPr>
        <w:pStyle w:val="Standard"/>
        <w:autoSpaceDE w:val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rFonts w:ascii="Arial" w:hAnsi="Arial" w:cs="Arial"/>
          <w:i/>
          <w:sz w:val="22"/>
          <w:szCs w:val="22"/>
        </w:rPr>
        <w:t>.</w:t>
      </w:r>
    </w:p>
    <w:p w14:paraId="0FE33A2D" w14:textId="77777777" w:rsidR="00D17EBF" w:rsidRDefault="00D17EBF">
      <w:pPr>
        <w:pStyle w:val="Standard"/>
        <w:autoSpaceDE w:val="0"/>
        <w:jc w:val="both"/>
        <w:rPr>
          <w:rFonts w:ascii="Arial" w:hAnsi="Arial" w:cs="Arial"/>
          <w:i/>
          <w:sz w:val="22"/>
          <w:szCs w:val="22"/>
        </w:rPr>
      </w:pPr>
    </w:p>
    <w:p w14:paraId="1B3B90F0" w14:textId="77777777" w:rsidR="00D17EBF" w:rsidRDefault="00D17EBF">
      <w:pPr>
        <w:pStyle w:val="Standard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14:paraId="573410B1" w14:textId="77777777" w:rsidR="00D17EBF" w:rsidRDefault="00D17EBF">
      <w:pPr>
        <w:pStyle w:val="Standard"/>
        <w:tabs>
          <w:tab w:val="left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14:paraId="03713769" w14:textId="77777777" w:rsidR="00D17EBF" w:rsidRDefault="00D17EBF">
      <w:pPr>
        <w:pStyle w:val="Standard"/>
        <w:tabs>
          <w:tab w:val="left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Příjemce je povinen po dobu 10 let od skončení čerpání dotace archivovat originály dokladů, prokazující čerpání dotace.</w:t>
      </w:r>
    </w:p>
    <w:p w14:paraId="29677A35" w14:textId="77777777" w:rsidR="00D17EBF" w:rsidRDefault="00D17EBF">
      <w:pPr>
        <w:pStyle w:val="Standard"/>
        <w:tabs>
          <w:tab w:val="left" w:pos="36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14:paraId="01C80C8A" w14:textId="77777777" w:rsidR="00D17EBF" w:rsidRDefault="00D17EBF">
      <w:pPr>
        <w:pStyle w:val="Standard"/>
        <w:tabs>
          <w:tab w:val="left" w:pos="360"/>
        </w:tabs>
        <w:spacing w:before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Příjemce je povinen do 15 dnů oznámit poskytovateli zahájení insolvenčního řízení nebo vstup do likvidace. Příjemce, který je obchodní korporací, je povinen písemně informovat poskytovatele o přeměně </w:t>
      </w:r>
      <w:proofErr w:type="gramStart"/>
      <w:r>
        <w:rPr>
          <w:rFonts w:ascii="Arial" w:hAnsi="Arial" w:cs="Arial"/>
          <w:sz w:val="22"/>
          <w:szCs w:val="22"/>
        </w:rPr>
        <w:t>společnosti</w:t>
      </w:r>
      <w:proofErr w:type="gramEnd"/>
      <w:r>
        <w:rPr>
          <w:rFonts w:ascii="Arial" w:hAnsi="Arial" w:cs="Arial"/>
          <w:sz w:val="22"/>
          <w:szCs w:val="22"/>
        </w:rPr>
        <w:t xml:space="preserve"> a to alespoň l měsíc přede dnem, kdy má být přeměna schválena způsobem stanoveným zákonem. U ostatních právnických osob, je příjemce povinen oznámit poskytovateli přeměnu právnické osoby do 15 dnů od rozhodnutí příslušného orgánu.</w:t>
      </w:r>
    </w:p>
    <w:p w14:paraId="7295AFF8" w14:textId="0164D63A" w:rsidR="00D17EBF" w:rsidRDefault="00D17EBF">
      <w:pPr>
        <w:pStyle w:val="Standard"/>
        <w:tabs>
          <w:tab w:val="left" w:pos="360"/>
        </w:tabs>
        <w:spacing w:before="120"/>
        <w:jc w:val="both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11. Příjemce je povinen do 7 dnů po kulturní a sportovní akci zajistit článek na webové stránky města zasláním na email: </w:t>
      </w:r>
      <w:r w:rsidR="00593CFE">
        <w:rPr>
          <w:rFonts w:ascii="Arial" w:hAnsi="Arial" w:cs="Arial"/>
          <w:i/>
          <w:sz w:val="22"/>
          <w:szCs w:val="22"/>
        </w:rPr>
        <w:t>XXXXXXXXXXXXXX</w:t>
      </w:r>
      <w:r>
        <w:rPr>
          <w:rFonts w:ascii="Arial" w:hAnsi="Arial" w:cs="Arial"/>
          <w:i/>
          <w:sz w:val="22"/>
          <w:szCs w:val="22"/>
        </w:rPr>
        <w:t xml:space="preserve">. </w:t>
      </w:r>
    </w:p>
    <w:p w14:paraId="738CB2E1" w14:textId="77777777" w:rsidR="00D17EBF" w:rsidRDefault="00D17EBF">
      <w:pPr>
        <w:pStyle w:val="Standard"/>
        <w:tabs>
          <w:tab w:val="left" w:pos="360"/>
        </w:tabs>
        <w:spacing w:before="12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77B76755" w14:textId="77777777" w:rsidR="00D17EBF" w:rsidRDefault="00D17EBF">
      <w:pPr>
        <w:pStyle w:val="Standard"/>
        <w:spacing w:before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VI.</w:t>
      </w:r>
    </w:p>
    <w:p w14:paraId="520422FC" w14:textId="77777777" w:rsidR="00D17EBF" w:rsidRDefault="00D17EB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Finanční vypořádání a vyúčtování dotace</w:t>
      </w:r>
    </w:p>
    <w:p w14:paraId="03BF082D" w14:textId="77777777" w:rsidR="00D17EBF" w:rsidRDefault="00D17EB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2A945AB" w14:textId="77777777" w:rsidR="00D17EBF" w:rsidRDefault="00D17EBF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b/>
          <w:sz w:val="22"/>
          <w:szCs w:val="22"/>
        </w:rPr>
        <w:t>Nejdéle do 15. 1. 2025</w:t>
      </w:r>
      <w:r>
        <w:rPr>
          <w:rFonts w:ascii="Arial" w:hAnsi="Arial" w:cs="Arial"/>
          <w:sz w:val="22"/>
          <w:szCs w:val="22"/>
        </w:rPr>
        <w:t xml:space="preserve"> předloží příjemce poskytovateli finanční vypořádání a vyúčtování výše uvedeného příspěvku. </w:t>
      </w:r>
    </w:p>
    <w:p w14:paraId="42E2881D" w14:textId="77777777" w:rsidR="00D17EBF" w:rsidRDefault="00D17EBF">
      <w:pPr>
        <w:pStyle w:val="Standard"/>
        <w:jc w:val="both"/>
      </w:pPr>
    </w:p>
    <w:p w14:paraId="078C95F5" w14:textId="77777777" w:rsidR="00D17EBF" w:rsidRDefault="00D17EBF">
      <w:pPr>
        <w:pStyle w:val="Standard"/>
        <w:jc w:val="both"/>
        <w:rPr>
          <w:rFonts w:ascii="Arial" w:hAnsi="Arial" w:cs="Arial"/>
          <w:strike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Finanční vypořádání a vyúčtování obsahuje soupis účetních dokladů souvisejících s čerpáním dotace, s uvedením výše částky a účelu platby u jednotlivých dokladů s přiložením kopií účetních dokladů. Faktury musí být vystaveny na příjemce příspěvku. Dokladem o proplacení faktury je výpis z účtu příjemce. Příjemce se zavazuje označovat veškeré doklady týkající se dotace slovy: </w:t>
      </w:r>
      <w:r>
        <w:rPr>
          <w:rFonts w:ascii="Arial" w:hAnsi="Arial" w:cs="Arial"/>
          <w:i/>
          <w:sz w:val="22"/>
          <w:szCs w:val="22"/>
        </w:rPr>
        <w:t xml:space="preserve">„Hrazeno </w:t>
      </w:r>
      <w:r>
        <w:rPr>
          <w:rFonts w:ascii="Arial" w:hAnsi="Arial" w:cs="Arial"/>
          <w:i/>
          <w:sz w:val="22"/>
          <w:szCs w:val="22"/>
        </w:rPr>
        <w:lastRenderedPageBreak/>
        <w:t>z dotace města Hořice“.</w:t>
      </w:r>
      <w:r>
        <w:rPr>
          <w:rFonts w:ascii="Arial" w:hAnsi="Arial" w:cs="Arial"/>
          <w:sz w:val="22"/>
          <w:szCs w:val="22"/>
        </w:rPr>
        <w:t xml:space="preserve"> U dokladů, které nejsou plně hrazeny z dotace, je třeba uvést výši částky hrazené z dotace.</w:t>
      </w:r>
    </w:p>
    <w:p w14:paraId="37618E2E" w14:textId="77777777" w:rsidR="00D17EBF" w:rsidRDefault="00D17EBF">
      <w:pPr>
        <w:pStyle w:val="Standard"/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p w14:paraId="34983AB3" w14:textId="77777777" w:rsidR="00D17EBF" w:rsidRDefault="00D17EB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Pokud příjemce nebude schopen dodržet termín pro finanční vypořádání a vyúčtování, musí před koncem lhůty požádat o její prodloužení, a to pouze z objektivních důvodů, které musí prokázat.</w:t>
      </w:r>
    </w:p>
    <w:p w14:paraId="4F10C383" w14:textId="77777777" w:rsidR="00D17EBF" w:rsidRDefault="00D17EB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129544D" w14:textId="77777777" w:rsidR="00D17EBF" w:rsidRDefault="00D17EBF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Nevyčerpané, resp. neproinvestované finanční prostředky poskytnuté v souladu s touto smlouvou, jsou-li vyšší než 10 Kč, je příjemce povinen nejpozději do 14 dnů od termínu finančního vypořádání a vyúčtování uvedeného v oddílu VI. odst. 1 vrátit na účet poskytovatele uvedený v záhlaví smlouvy, jako VS uvede IČ/ datum narození příjemce. Příjemce je také povinen vrátit poskytovatelem poskytnuté finanční prostředky nebo jejich část na účet uvedený v záhlaví smlouvy, pokud je užil v rozporu s účelem, na který mu byly tyto finanční prostředky poskytovatelem poskytnuty, a to nejpozději do 14 dnů od doručení písemného zjištění poskytovatele o porušení některého účelu, včetně výše přiznané vratky do rozpočtu poskytovatele. Příjemce je dále povinen vrátit veškeré poskytnuté finanční prostředky na účet poskytovatele uvedený v záhlaví smlouvy v případě, že se účel (projekt) nerealizoval, a to nejpozději do 14 dnů od termínu vyúčtování v oddílu VI. odst. 1. </w:t>
      </w:r>
    </w:p>
    <w:p w14:paraId="3993F466" w14:textId="77777777" w:rsidR="00D17EBF" w:rsidRDefault="00D17EBF">
      <w:pPr>
        <w:pStyle w:val="Standard"/>
        <w:spacing w:before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7C13D281" w14:textId="77777777" w:rsidR="00D17EBF" w:rsidRDefault="00D17EBF">
      <w:pPr>
        <w:pStyle w:val="Standard"/>
        <w:spacing w:before="360"/>
        <w:jc w:val="both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VII.</w:t>
      </w:r>
    </w:p>
    <w:p w14:paraId="1F7F9CD2" w14:textId="77777777" w:rsidR="00D17EBF" w:rsidRDefault="00D17EBF">
      <w:pPr>
        <w:pStyle w:val="Heading2"/>
      </w:pPr>
      <w:r>
        <w:rPr>
          <w:sz w:val="22"/>
          <w:szCs w:val="22"/>
        </w:rPr>
        <w:t>Kontrola</w:t>
      </w:r>
    </w:p>
    <w:p w14:paraId="7DAFE4CD" w14:textId="77777777" w:rsidR="00D17EBF" w:rsidRDefault="00D17EBF">
      <w:pPr>
        <w:pStyle w:val="Zkladntextodsazen31"/>
        <w:tabs>
          <w:tab w:val="left" w:pos="36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14:paraId="5FE9755F" w14:textId="77777777" w:rsidR="00D17EBF" w:rsidRDefault="00D17EBF">
      <w:pPr>
        <w:pStyle w:val="Zkladntextodsazen31"/>
        <w:tabs>
          <w:tab w:val="left" w:pos="36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14:paraId="1A48A2BE" w14:textId="77777777" w:rsidR="00D17EBF" w:rsidRDefault="00D17EBF">
      <w:pPr>
        <w:pStyle w:val="Zkladntextodsazen31"/>
        <w:tabs>
          <w:tab w:val="left" w:pos="360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</w:rPr>
        <w:t>3. Příjemce je povinen zajistit, aby osoby povinné spolupůsobit dle zákona č. 320/2001 Sb. o finanční kontrole (zejména dodavatelé zboží, prací a služeb pro příjemce) poskytly kontrolnímu orgánu součinnost v rozsahu nezbytném ke splnění účelu kontroly využití dotace dle této smlouvy.</w:t>
      </w:r>
    </w:p>
    <w:p w14:paraId="6F9815B5" w14:textId="77777777" w:rsidR="00D17EBF" w:rsidRDefault="00D17EBF">
      <w:pPr>
        <w:pStyle w:val="Standard"/>
        <w:spacing w:before="360"/>
        <w:jc w:val="both"/>
        <w:rPr>
          <w:rFonts w:ascii="Arial" w:hAnsi="Arial" w:cs="Arial"/>
          <w:b/>
          <w:sz w:val="22"/>
          <w:szCs w:val="22"/>
        </w:rPr>
      </w:pPr>
    </w:p>
    <w:p w14:paraId="3885B3EB" w14:textId="77777777" w:rsidR="00D17EBF" w:rsidRDefault="00D17EBF">
      <w:pPr>
        <w:pStyle w:val="Standard"/>
        <w:spacing w:before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VIII.</w:t>
      </w:r>
    </w:p>
    <w:p w14:paraId="7C541F40" w14:textId="77777777" w:rsidR="00D17EBF" w:rsidRDefault="00D17EBF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Důsledky porušení povinností příjemce</w:t>
      </w:r>
    </w:p>
    <w:p w14:paraId="423FD522" w14:textId="77777777" w:rsidR="00D17EBF" w:rsidRDefault="00D17EBF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5E04EFF" w14:textId="77777777" w:rsidR="00D17EBF" w:rsidRDefault="00D17EB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14:paraId="294357B7" w14:textId="77777777" w:rsidR="00D17EBF" w:rsidRDefault="00D17EBF">
      <w:pPr>
        <w:pStyle w:val="Zkladntextodsazen31"/>
        <w:tabs>
          <w:tab w:val="left" w:pos="360"/>
        </w:tabs>
        <w:ind w:left="0" w:firstLine="0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>2. Pokud příjemce poruší rozpočtovou kázeň, je povinen provést poskytovateli odvod ve výši neoprávněně použitých nebo zadržených prostředků.</w:t>
      </w:r>
    </w:p>
    <w:p w14:paraId="1788E179" w14:textId="77777777" w:rsidR="00D17EBF" w:rsidRDefault="00D17EBF">
      <w:pPr>
        <w:pStyle w:val="Zkladntextodsazen31"/>
        <w:tabs>
          <w:tab w:val="left" w:pos="360"/>
        </w:tabs>
        <w:ind w:left="0" w:firstLine="0"/>
        <w:rPr>
          <w:rFonts w:ascii="Arial" w:hAnsi="Arial" w:cs="Arial"/>
          <w:bCs w:val="0"/>
          <w:color w:val="000000"/>
        </w:rPr>
      </w:pPr>
      <w:r>
        <w:rPr>
          <w:rFonts w:ascii="Arial" w:hAnsi="Arial" w:cs="Arial"/>
          <w:bCs w:val="0"/>
        </w:rPr>
        <w:t>3. Při rozhodování o uložení odvodu za porušení rozpočtové kázně a penále za prodlení s odvodem postupuje poskytovatel podle zákona č.  250/2000 Sb., o rozpočtových pravidlech územních rozpočtů, ve znění pozdějších předpisů a daňového řádu.</w:t>
      </w:r>
    </w:p>
    <w:p w14:paraId="793E9833" w14:textId="77777777" w:rsidR="00D17EBF" w:rsidRDefault="00D17EBF">
      <w:pPr>
        <w:pStyle w:val="Zkladntextodsazen31"/>
        <w:tabs>
          <w:tab w:val="left" w:pos="360"/>
        </w:tabs>
        <w:ind w:left="0" w:firstLine="0"/>
        <w:rPr>
          <w:rFonts w:ascii="Arial" w:hAnsi="Arial" w:cs="Arial"/>
          <w:bCs w:val="0"/>
          <w:color w:val="000000"/>
        </w:rPr>
      </w:pPr>
      <w:r>
        <w:rPr>
          <w:rFonts w:ascii="Arial" w:hAnsi="Arial" w:cs="Arial"/>
          <w:bCs w:val="0"/>
          <w:color w:val="000000"/>
        </w:rPr>
        <w:t>4. Podmínky, jejichž porušení je považováno za méně závažné, a výše odvodů za porušení rozpočtové kázně ve smyslu ustanovení § 10a odst. 6 zákona č. 250/2000 Sb., jsou vymezeny takto:</w:t>
      </w:r>
    </w:p>
    <w:p w14:paraId="7161D409" w14:textId="77777777" w:rsidR="00D17EBF" w:rsidRDefault="00D17EBF">
      <w:pPr>
        <w:pStyle w:val="Zkladntextodsazen31"/>
        <w:tabs>
          <w:tab w:val="left" w:pos="360"/>
        </w:tabs>
        <w:ind w:left="0" w:firstLine="0"/>
        <w:rPr>
          <w:rFonts w:ascii="Arial" w:eastAsia="Arial" w:hAnsi="Arial" w:cs="Arial"/>
          <w:bCs w:val="0"/>
          <w:color w:val="000000"/>
        </w:rPr>
      </w:pPr>
      <w:r>
        <w:rPr>
          <w:rFonts w:ascii="Arial" w:hAnsi="Arial" w:cs="Arial"/>
          <w:bCs w:val="0"/>
          <w:color w:val="000000"/>
        </w:rPr>
        <w:t>a) nepředání vyúčtování dotace z rozpočtu města Hořice ve lhůtě stanovené touto smlouvou (viz</w:t>
      </w:r>
    </w:p>
    <w:p w14:paraId="511052AE" w14:textId="77777777" w:rsidR="00D17EBF" w:rsidRDefault="00D17EBF">
      <w:pPr>
        <w:pStyle w:val="Zkladntextodsazen31"/>
        <w:tabs>
          <w:tab w:val="left" w:pos="360"/>
        </w:tabs>
        <w:ind w:left="0" w:firstLine="0"/>
        <w:rPr>
          <w:rFonts w:ascii="Arial" w:eastAsia="Arial" w:hAnsi="Arial" w:cs="Arial"/>
          <w:bCs w:val="0"/>
          <w:color w:val="000000"/>
        </w:rPr>
      </w:pPr>
      <w:r>
        <w:rPr>
          <w:rFonts w:ascii="Arial" w:eastAsia="Arial" w:hAnsi="Arial" w:cs="Arial"/>
          <w:bCs w:val="0"/>
          <w:color w:val="000000"/>
        </w:rPr>
        <w:t xml:space="preserve">    </w:t>
      </w:r>
      <w:r>
        <w:rPr>
          <w:rFonts w:ascii="Arial" w:hAnsi="Arial" w:cs="Arial"/>
          <w:bCs w:val="0"/>
          <w:color w:val="000000"/>
        </w:rPr>
        <w:t>oddíl VI. odst.1):</w:t>
      </w:r>
    </w:p>
    <w:p w14:paraId="7A40CF53" w14:textId="77777777" w:rsidR="00D17EBF" w:rsidRDefault="00D17EBF">
      <w:pPr>
        <w:pStyle w:val="Zkladntextodsazen31"/>
        <w:tabs>
          <w:tab w:val="left" w:pos="360"/>
        </w:tabs>
        <w:ind w:left="0" w:firstLine="0"/>
        <w:rPr>
          <w:rFonts w:ascii="Arial" w:eastAsia="Arial" w:hAnsi="Arial" w:cs="Arial"/>
          <w:bCs w:val="0"/>
        </w:rPr>
      </w:pPr>
      <w:r>
        <w:rPr>
          <w:rFonts w:ascii="Arial" w:eastAsia="Arial" w:hAnsi="Arial" w:cs="Arial"/>
          <w:bCs w:val="0"/>
          <w:color w:val="000000"/>
        </w:rPr>
        <w:lastRenderedPageBreak/>
        <w:t xml:space="preserve">          </w:t>
      </w:r>
      <w:r>
        <w:rPr>
          <w:rFonts w:ascii="Arial" w:eastAsia="Arial" w:hAnsi="Arial" w:cs="Arial"/>
          <w:bCs w:val="0"/>
        </w:rPr>
        <w:t xml:space="preserve">    </w:t>
      </w:r>
      <w:r>
        <w:rPr>
          <w:rFonts w:ascii="Arial" w:hAnsi="Arial" w:cs="Arial"/>
          <w:bCs w:val="0"/>
        </w:rPr>
        <w:t>1. odvod ve výši 5 % z celkové částky poskytnuté dotace při překročení o max. 5</w:t>
      </w:r>
    </w:p>
    <w:p w14:paraId="235E957F" w14:textId="77777777" w:rsidR="00D17EBF" w:rsidRDefault="00D17EBF">
      <w:pPr>
        <w:pStyle w:val="Zkladntextodsazen31"/>
        <w:tabs>
          <w:tab w:val="left" w:pos="360"/>
        </w:tabs>
        <w:ind w:left="0" w:firstLine="0"/>
        <w:rPr>
          <w:rFonts w:ascii="Arial" w:eastAsia="Arial" w:hAnsi="Arial" w:cs="Arial"/>
          <w:bCs w:val="0"/>
        </w:rPr>
      </w:pPr>
      <w:r>
        <w:rPr>
          <w:rFonts w:ascii="Arial" w:eastAsia="Arial" w:hAnsi="Arial" w:cs="Arial"/>
          <w:bCs w:val="0"/>
        </w:rPr>
        <w:t xml:space="preserve">                  </w:t>
      </w:r>
      <w:r>
        <w:rPr>
          <w:rFonts w:ascii="Arial" w:hAnsi="Arial" w:cs="Arial"/>
          <w:bCs w:val="0"/>
        </w:rPr>
        <w:t>pracovních dnů,</w:t>
      </w:r>
    </w:p>
    <w:p w14:paraId="7E99E3CD" w14:textId="77777777" w:rsidR="00D17EBF" w:rsidRDefault="00D17EBF">
      <w:pPr>
        <w:pStyle w:val="Zkladntextodsazen31"/>
        <w:tabs>
          <w:tab w:val="left" w:pos="360"/>
        </w:tabs>
        <w:ind w:left="0" w:firstLine="0"/>
        <w:rPr>
          <w:rFonts w:ascii="Arial" w:eastAsia="Arial" w:hAnsi="Arial" w:cs="Arial"/>
          <w:bCs w:val="0"/>
        </w:rPr>
      </w:pPr>
      <w:r>
        <w:rPr>
          <w:rFonts w:ascii="Arial" w:eastAsia="Arial" w:hAnsi="Arial" w:cs="Arial"/>
          <w:bCs w:val="0"/>
        </w:rPr>
        <w:t xml:space="preserve">              </w:t>
      </w:r>
      <w:r>
        <w:rPr>
          <w:rFonts w:ascii="Arial" w:hAnsi="Arial" w:cs="Arial"/>
          <w:bCs w:val="0"/>
        </w:rPr>
        <w:t>2. odvod ve výši 10 % z celkové částky poskytnuté dotace při překročení lhůty o max.</w:t>
      </w:r>
    </w:p>
    <w:p w14:paraId="70C5384A" w14:textId="77777777" w:rsidR="00D17EBF" w:rsidRDefault="00D17EBF">
      <w:pPr>
        <w:pStyle w:val="Zkladntextodsazen31"/>
        <w:tabs>
          <w:tab w:val="left" w:pos="360"/>
        </w:tabs>
        <w:ind w:left="0" w:firstLine="0"/>
        <w:rPr>
          <w:rFonts w:ascii="Arial" w:eastAsia="Arial" w:hAnsi="Arial" w:cs="Arial"/>
          <w:bCs w:val="0"/>
        </w:rPr>
      </w:pPr>
      <w:r>
        <w:rPr>
          <w:rFonts w:ascii="Arial" w:eastAsia="Arial" w:hAnsi="Arial" w:cs="Arial"/>
          <w:bCs w:val="0"/>
        </w:rPr>
        <w:t xml:space="preserve">                  </w:t>
      </w:r>
      <w:r>
        <w:rPr>
          <w:rFonts w:ascii="Arial" w:hAnsi="Arial" w:cs="Arial"/>
          <w:bCs w:val="0"/>
        </w:rPr>
        <w:t xml:space="preserve">20 pracovních dnů, </w:t>
      </w:r>
    </w:p>
    <w:p w14:paraId="590D62CC" w14:textId="77777777" w:rsidR="00D17EBF" w:rsidRDefault="00D17EBF">
      <w:pPr>
        <w:pStyle w:val="Zkladntextodsazen31"/>
        <w:tabs>
          <w:tab w:val="left" w:pos="360"/>
        </w:tabs>
        <w:ind w:left="0" w:firstLine="0"/>
        <w:rPr>
          <w:rFonts w:ascii="Arial" w:eastAsia="Arial" w:hAnsi="Arial" w:cs="Arial"/>
          <w:bCs w:val="0"/>
        </w:rPr>
      </w:pPr>
      <w:r>
        <w:rPr>
          <w:rFonts w:ascii="Arial" w:eastAsia="Arial" w:hAnsi="Arial" w:cs="Arial"/>
          <w:bCs w:val="0"/>
        </w:rPr>
        <w:t xml:space="preserve">              </w:t>
      </w:r>
      <w:r>
        <w:rPr>
          <w:rFonts w:ascii="Arial" w:hAnsi="Arial" w:cs="Arial"/>
          <w:bCs w:val="0"/>
        </w:rPr>
        <w:t>3. odvod ve výši 20 % z celkové částky poskytnuté dotace při překročení lhůty o max.</w:t>
      </w:r>
    </w:p>
    <w:p w14:paraId="719405F2" w14:textId="77777777" w:rsidR="00D17EBF" w:rsidRDefault="00D17EBF">
      <w:pPr>
        <w:pStyle w:val="Zkladntextodsazen31"/>
        <w:tabs>
          <w:tab w:val="left" w:pos="360"/>
        </w:tabs>
        <w:ind w:left="0" w:firstLine="0"/>
        <w:rPr>
          <w:rFonts w:ascii="Arial" w:hAnsi="Arial" w:cs="Arial"/>
          <w:bCs w:val="0"/>
        </w:rPr>
      </w:pPr>
      <w:r>
        <w:rPr>
          <w:rFonts w:ascii="Arial" w:eastAsia="Arial" w:hAnsi="Arial" w:cs="Arial"/>
          <w:bCs w:val="0"/>
        </w:rPr>
        <w:t xml:space="preserve">                  </w:t>
      </w:r>
      <w:r>
        <w:rPr>
          <w:rFonts w:ascii="Arial" w:hAnsi="Arial" w:cs="Arial"/>
          <w:bCs w:val="0"/>
        </w:rPr>
        <w:t xml:space="preserve">30 pracovních dnů, </w:t>
      </w:r>
    </w:p>
    <w:p w14:paraId="56B50CF3" w14:textId="77777777" w:rsidR="00D17EBF" w:rsidRDefault="00D17EBF">
      <w:pPr>
        <w:pStyle w:val="Zkladntextodsazen31"/>
        <w:tabs>
          <w:tab w:val="left" w:pos="360"/>
        </w:tabs>
        <w:ind w:left="0" w:firstLine="0"/>
        <w:rPr>
          <w:rFonts w:ascii="Arial" w:eastAsia="Arial" w:hAnsi="Arial" w:cs="Arial"/>
          <w:bCs w:val="0"/>
        </w:rPr>
      </w:pPr>
      <w:r>
        <w:rPr>
          <w:rFonts w:ascii="Arial" w:hAnsi="Arial" w:cs="Arial"/>
          <w:bCs w:val="0"/>
        </w:rPr>
        <w:t xml:space="preserve">b) porušení oddílu VI. odst. 2 této </w:t>
      </w:r>
      <w:proofErr w:type="gramStart"/>
      <w:r>
        <w:rPr>
          <w:rFonts w:ascii="Arial" w:hAnsi="Arial" w:cs="Arial"/>
          <w:bCs w:val="0"/>
        </w:rPr>
        <w:t>smlouvy- odvod</w:t>
      </w:r>
      <w:proofErr w:type="gramEnd"/>
      <w:r>
        <w:rPr>
          <w:rFonts w:ascii="Arial" w:hAnsi="Arial" w:cs="Arial"/>
          <w:bCs w:val="0"/>
        </w:rPr>
        <w:t xml:space="preserve"> ve výši 5 % z celkové částky poskytnuté</w:t>
      </w:r>
    </w:p>
    <w:p w14:paraId="7ABE9FD0" w14:textId="77777777" w:rsidR="00D17EBF" w:rsidRDefault="00D17EBF">
      <w:pPr>
        <w:pStyle w:val="Zkladntextodsazen31"/>
        <w:tabs>
          <w:tab w:val="left" w:pos="360"/>
        </w:tabs>
        <w:ind w:left="0" w:firstLine="0"/>
        <w:rPr>
          <w:rFonts w:ascii="Arial" w:hAnsi="Arial" w:cs="Arial"/>
          <w:bCs w:val="0"/>
        </w:rPr>
      </w:pPr>
      <w:r>
        <w:rPr>
          <w:rFonts w:ascii="Arial" w:eastAsia="Arial" w:hAnsi="Arial" w:cs="Arial"/>
          <w:bCs w:val="0"/>
        </w:rPr>
        <w:t xml:space="preserve">    </w:t>
      </w:r>
      <w:r>
        <w:rPr>
          <w:rFonts w:ascii="Arial" w:hAnsi="Arial" w:cs="Arial"/>
          <w:bCs w:val="0"/>
        </w:rPr>
        <w:t>dotace,</w:t>
      </w:r>
    </w:p>
    <w:p w14:paraId="7E05F116" w14:textId="77777777" w:rsidR="00D17EBF" w:rsidRDefault="00D17EBF">
      <w:pPr>
        <w:pStyle w:val="Zkladntextodsazen31"/>
        <w:tabs>
          <w:tab w:val="left" w:pos="360"/>
        </w:tabs>
        <w:ind w:left="0" w:firstLine="0"/>
        <w:rPr>
          <w:rFonts w:ascii="Arial" w:eastAsia="Arial" w:hAnsi="Arial" w:cs="Arial"/>
          <w:bCs w:val="0"/>
        </w:rPr>
      </w:pPr>
      <w:r>
        <w:rPr>
          <w:rFonts w:ascii="Arial" w:hAnsi="Arial" w:cs="Arial"/>
          <w:bCs w:val="0"/>
        </w:rPr>
        <w:t xml:space="preserve">c) porušení oddílu V. odst. 6 této </w:t>
      </w:r>
      <w:proofErr w:type="gramStart"/>
      <w:r>
        <w:rPr>
          <w:rFonts w:ascii="Arial" w:hAnsi="Arial" w:cs="Arial"/>
          <w:bCs w:val="0"/>
        </w:rPr>
        <w:t>smlouvy- odvod</w:t>
      </w:r>
      <w:proofErr w:type="gramEnd"/>
      <w:r>
        <w:rPr>
          <w:rFonts w:ascii="Arial" w:hAnsi="Arial" w:cs="Arial"/>
          <w:bCs w:val="0"/>
        </w:rPr>
        <w:t xml:space="preserve"> ve výši 5 % z celkové částky poskytnuté</w:t>
      </w:r>
    </w:p>
    <w:p w14:paraId="44FEC304" w14:textId="77777777" w:rsidR="00D17EBF" w:rsidRDefault="00D17EBF">
      <w:pPr>
        <w:pStyle w:val="Zkladntextodsazen31"/>
        <w:tabs>
          <w:tab w:val="left" w:pos="360"/>
        </w:tabs>
        <w:ind w:left="0" w:firstLine="0"/>
        <w:rPr>
          <w:rFonts w:ascii="Arial" w:hAnsi="Arial" w:cs="Arial"/>
          <w:bCs w:val="0"/>
        </w:rPr>
      </w:pPr>
      <w:r>
        <w:rPr>
          <w:rFonts w:ascii="Arial" w:eastAsia="Arial" w:hAnsi="Arial" w:cs="Arial"/>
          <w:bCs w:val="0"/>
        </w:rPr>
        <w:t xml:space="preserve">    </w:t>
      </w:r>
      <w:r>
        <w:rPr>
          <w:rFonts w:ascii="Arial" w:hAnsi="Arial" w:cs="Arial"/>
          <w:bCs w:val="0"/>
        </w:rPr>
        <w:t>dotace,</w:t>
      </w:r>
    </w:p>
    <w:p w14:paraId="7C8C4B30" w14:textId="77777777" w:rsidR="00D17EBF" w:rsidRDefault="00D17EBF">
      <w:pPr>
        <w:pStyle w:val="Zkladntextodsazen31"/>
        <w:tabs>
          <w:tab w:val="left" w:pos="360"/>
        </w:tabs>
        <w:ind w:left="0" w:firstLine="0"/>
        <w:rPr>
          <w:rFonts w:ascii="Arial" w:eastAsia="Arial" w:hAnsi="Arial" w:cs="Arial"/>
          <w:bCs w:val="0"/>
        </w:rPr>
      </w:pPr>
      <w:r>
        <w:rPr>
          <w:rFonts w:ascii="Arial" w:hAnsi="Arial" w:cs="Arial"/>
          <w:bCs w:val="0"/>
        </w:rPr>
        <w:t xml:space="preserve">d) porušení oddílu V. odst. 7 této </w:t>
      </w:r>
      <w:proofErr w:type="gramStart"/>
      <w:r>
        <w:rPr>
          <w:rFonts w:ascii="Arial" w:hAnsi="Arial" w:cs="Arial"/>
          <w:bCs w:val="0"/>
        </w:rPr>
        <w:t>smlouvy- odvod</w:t>
      </w:r>
      <w:proofErr w:type="gramEnd"/>
      <w:r>
        <w:rPr>
          <w:rFonts w:ascii="Arial" w:hAnsi="Arial" w:cs="Arial"/>
          <w:bCs w:val="0"/>
        </w:rPr>
        <w:t xml:space="preserve"> ve výši 5 % z celkové částky poskytnuté</w:t>
      </w:r>
    </w:p>
    <w:p w14:paraId="2D2D6F5E" w14:textId="77777777" w:rsidR="00D17EBF" w:rsidRDefault="00D17EBF">
      <w:pPr>
        <w:pStyle w:val="Zkladntextodsazen31"/>
        <w:tabs>
          <w:tab w:val="left" w:pos="360"/>
        </w:tabs>
        <w:ind w:left="0" w:firstLine="0"/>
        <w:rPr>
          <w:rFonts w:ascii="Arial" w:hAnsi="Arial" w:cs="Arial"/>
          <w:b/>
          <w:bCs w:val="0"/>
          <w:color w:val="000000"/>
        </w:rPr>
      </w:pPr>
      <w:r>
        <w:rPr>
          <w:rFonts w:ascii="Arial" w:eastAsia="Arial" w:hAnsi="Arial" w:cs="Arial"/>
          <w:bCs w:val="0"/>
        </w:rPr>
        <w:t xml:space="preserve">    </w:t>
      </w:r>
      <w:r>
        <w:rPr>
          <w:rFonts w:ascii="Arial" w:hAnsi="Arial" w:cs="Arial"/>
          <w:bCs w:val="0"/>
        </w:rPr>
        <w:t>dotace.</w:t>
      </w:r>
    </w:p>
    <w:p w14:paraId="43163799" w14:textId="77777777" w:rsidR="00D17EBF" w:rsidRDefault="00D17EBF">
      <w:pPr>
        <w:pStyle w:val="Zkladntextodsazen31"/>
        <w:tabs>
          <w:tab w:val="left" w:pos="426"/>
        </w:tabs>
        <w:ind w:left="0" w:firstLine="0"/>
        <w:rPr>
          <w:rFonts w:ascii="Arial" w:hAnsi="Arial" w:cs="Arial"/>
          <w:b/>
          <w:bCs w:val="0"/>
          <w:color w:val="000000"/>
        </w:rPr>
      </w:pPr>
    </w:p>
    <w:p w14:paraId="465FC93D" w14:textId="77777777" w:rsidR="00D17EBF" w:rsidRDefault="00D17EBF">
      <w:pPr>
        <w:pStyle w:val="Zkladntextodsazen31"/>
        <w:tabs>
          <w:tab w:val="left" w:pos="426"/>
        </w:tabs>
        <w:ind w:left="0" w:firstLine="0"/>
        <w:rPr>
          <w:rFonts w:ascii="Arial" w:hAnsi="Arial" w:cs="Arial"/>
          <w:b/>
          <w:bCs w:val="0"/>
          <w:color w:val="000000"/>
        </w:rPr>
      </w:pPr>
    </w:p>
    <w:p w14:paraId="63B80F23" w14:textId="77777777" w:rsidR="00D17EBF" w:rsidRDefault="00D17EBF">
      <w:pPr>
        <w:pStyle w:val="Zkladntextodsazen31"/>
        <w:tabs>
          <w:tab w:val="left" w:pos="426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IX.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Ukončení smlouvy </w:t>
      </w:r>
    </w:p>
    <w:p w14:paraId="272993B9" w14:textId="77777777" w:rsidR="00D17EBF" w:rsidRDefault="00D17EBF">
      <w:pPr>
        <w:pStyle w:val="Zkladntextodsazen31"/>
        <w:tabs>
          <w:tab w:val="left" w:pos="0"/>
          <w:tab w:val="left" w:pos="709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1. Tuto smlouvu lze ukončit dohodou obou smluvních stran. </w:t>
      </w:r>
    </w:p>
    <w:p w14:paraId="0114EA2A" w14:textId="77777777" w:rsidR="00D17EBF" w:rsidRDefault="00D17EBF">
      <w:pPr>
        <w:pStyle w:val="Zkladntextodsazen31"/>
        <w:tabs>
          <w:tab w:val="left" w:pos="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2. Při ukončení smlouvy dohodou je příjemce povinen vrátit bezhotovostním převodem na účet poskytovatele poskytnutou dotaci, která byla již vyplacena, a to bez zbytečného odkladu, nejpozději do 30 dnů ode dne uzavření dohody o ukončení smlouvy oběma smluvními stranami.  </w:t>
      </w:r>
    </w:p>
    <w:p w14:paraId="1A680B73" w14:textId="77777777" w:rsidR="00D17EBF" w:rsidRDefault="00D17EBF">
      <w:pPr>
        <w:pStyle w:val="Zkladntextodsazen31"/>
        <w:tabs>
          <w:tab w:val="left" w:pos="0"/>
        </w:tabs>
        <w:ind w:left="0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  </w:t>
      </w:r>
    </w:p>
    <w:p w14:paraId="248C0B7A" w14:textId="77777777" w:rsidR="00D17EBF" w:rsidRDefault="00D17EBF">
      <w:pPr>
        <w:pStyle w:val="Standard"/>
        <w:spacing w:before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X.</w:t>
      </w:r>
    </w:p>
    <w:p w14:paraId="2BA11E5A" w14:textId="77777777" w:rsidR="00D17EBF" w:rsidRDefault="00D17EB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5F16286A" w14:textId="77777777" w:rsidR="00D17EBF" w:rsidRDefault="00D17EBF">
      <w:pPr>
        <w:pStyle w:val="Standard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Tato smlouva nabývá platnosti a účinnosti dnem podpisu oprávněnými zástupci obou smluvních stran s výjimkou případu, kdy se povinně zveřejňuje v registru smluv. V takovém případě smlouva nabývá účinnosti dnem zveřejnění v registru smluv.</w:t>
      </w:r>
    </w:p>
    <w:p w14:paraId="7019582A" w14:textId="77777777" w:rsidR="00D17EBF" w:rsidRDefault="00D17EBF">
      <w:pPr>
        <w:pStyle w:val="Standard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14:paraId="175829C3" w14:textId="77777777" w:rsidR="00D17EBF" w:rsidRDefault="00D17EBF">
      <w:pPr>
        <w:pStyle w:val="Standard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Poskytovatel zveřejní tuto smlouvu o poskytnutí dotace a její dodatky na své úřední desce způsobem umožňujícím dálkový přístup do 30 dnů ode dne uzavření, nejméně po dobu 3 let ode dne zveřejnění (platí pouze pro smlouvy o poskytnutí dotace převyšující 50 tis. Kč).</w:t>
      </w:r>
    </w:p>
    <w:p w14:paraId="2C46E3E6" w14:textId="77777777" w:rsidR="00D17EBF" w:rsidRDefault="00D17EBF">
      <w:pPr>
        <w:pStyle w:val="Standard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Příjemce bere na vědomí, že město Hořice je osobou povinnou zveřejňovat smlouvu o poskytnutí dotace nad 50.000 Kč bez DPH v registru smluv. Poskytovatel (město Hořice) se zavazuje v souladu se zákonem č. 340/2015 Sb., zákon o registru smluv, smlouvu zveřejnit.</w:t>
      </w:r>
    </w:p>
    <w:p w14:paraId="36A1C207" w14:textId="77777777" w:rsidR="00D17EBF" w:rsidRDefault="00D17EBF">
      <w:pPr>
        <w:pStyle w:val="Standard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Změnit nebo doplnit tuto smlouvu mohou smluvní strany pouze formou písemných dodatků, které budou vzestupně číslovány, výslovně prohlášeny za dodatek této smlouvy a podepsány oprávněnými zástupci smluvních stran.</w:t>
      </w:r>
    </w:p>
    <w:p w14:paraId="769D475A" w14:textId="77777777" w:rsidR="00D17EBF" w:rsidRDefault="00D17EBF">
      <w:pPr>
        <w:pStyle w:val="Standard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V otázkách neupravených veřejnoprávními předpisy se použije úpravy obsažené v občanském zákoníku.</w:t>
      </w:r>
    </w:p>
    <w:p w14:paraId="0AC74C79" w14:textId="77777777" w:rsidR="00D17EBF" w:rsidRDefault="00D17EBF">
      <w:pPr>
        <w:pStyle w:val="Standard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Smlouva je sepsána ve 2 stejnopisech s platností originálu, z nichž 1 vyhotovení obdrží poskytovatel a 1 příjemce.</w:t>
      </w:r>
    </w:p>
    <w:p w14:paraId="1ACD6C57" w14:textId="77777777" w:rsidR="00D17EBF" w:rsidRDefault="00D17EBF">
      <w:pPr>
        <w:pStyle w:val="Standard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8. 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55C209CA" w14:textId="77777777" w:rsidR="00D17EBF" w:rsidRDefault="00D17EBF">
      <w:pPr>
        <w:pStyle w:val="Standard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 Smluvní strany prohlašují, že osoby podepisující tuto smlouvu jsou k tomuto úkonu oprávněny.</w:t>
      </w:r>
    </w:p>
    <w:p w14:paraId="0FFE6F77" w14:textId="77777777" w:rsidR="00D17EBF" w:rsidRDefault="00D17EBF">
      <w:pPr>
        <w:pStyle w:val="Standard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 O uzavření této smlouvy o poskytnutí dotace rozhodlo zastupitelstvo města Hořice usnesením č. ZM</w:t>
      </w:r>
      <w:r w:rsidR="00C16A9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/</w:t>
      </w:r>
      <w:r w:rsidR="00C16A9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/2023 ze dne 11. 12. 2023.</w:t>
      </w:r>
    </w:p>
    <w:p w14:paraId="2F06DCFB" w14:textId="77777777" w:rsidR="00D17EBF" w:rsidRDefault="00D17EBF">
      <w:pPr>
        <w:pStyle w:val="Standard"/>
        <w:spacing w:before="120"/>
        <w:ind w:left="360"/>
        <w:jc w:val="both"/>
        <w:rPr>
          <w:rFonts w:ascii="Arial" w:hAnsi="Arial" w:cs="Arial"/>
          <w:sz w:val="22"/>
          <w:szCs w:val="22"/>
        </w:rPr>
      </w:pPr>
    </w:p>
    <w:p w14:paraId="35585E3A" w14:textId="77777777" w:rsidR="00D17EBF" w:rsidRDefault="00D17EBF">
      <w:pPr>
        <w:pStyle w:val="Standard"/>
        <w:spacing w:before="120"/>
        <w:ind w:left="360"/>
        <w:jc w:val="both"/>
        <w:rPr>
          <w:rFonts w:ascii="Arial" w:hAnsi="Arial" w:cs="Arial"/>
          <w:sz w:val="22"/>
          <w:szCs w:val="22"/>
        </w:rPr>
      </w:pPr>
    </w:p>
    <w:p w14:paraId="1A23B722" w14:textId="16B93A92" w:rsidR="00D17EBF" w:rsidRDefault="00D17EBF">
      <w:pPr>
        <w:pStyle w:val="Heading3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Hořicích dne </w:t>
      </w:r>
      <w:r w:rsidR="00C16A9E">
        <w:rPr>
          <w:rFonts w:ascii="Arial" w:hAnsi="Arial" w:cs="Arial"/>
          <w:sz w:val="22"/>
          <w:szCs w:val="22"/>
        </w:rPr>
        <w:t>3. 1.</w:t>
      </w:r>
      <w:r>
        <w:rPr>
          <w:rFonts w:ascii="Arial" w:hAnsi="Arial" w:cs="Arial"/>
          <w:sz w:val="22"/>
          <w:szCs w:val="22"/>
        </w:rPr>
        <w:t xml:space="preserve"> 202</w:t>
      </w:r>
      <w:r w:rsidR="00C16A9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 Hořicích dne </w:t>
      </w:r>
      <w:r w:rsidR="00593CFE">
        <w:rPr>
          <w:rFonts w:ascii="Arial" w:hAnsi="Arial" w:cs="Arial"/>
          <w:sz w:val="22"/>
          <w:szCs w:val="22"/>
        </w:rPr>
        <w:t xml:space="preserve">13. 2. </w:t>
      </w:r>
      <w:r>
        <w:rPr>
          <w:rFonts w:ascii="Arial" w:hAnsi="Arial" w:cs="Arial"/>
          <w:sz w:val="22"/>
          <w:szCs w:val="22"/>
        </w:rPr>
        <w:t>202</w:t>
      </w:r>
      <w:r w:rsidR="00C16A9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14:paraId="67354195" w14:textId="77777777" w:rsidR="00D17EBF" w:rsidRDefault="00D17EBF">
      <w:pPr>
        <w:pStyle w:val="Standard"/>
        <w:ind w:firstLine="360"/>
        <w:jc w:val="both"/>
        <w:rPr>
          <w:rFonts w:ascii="Arial" w:hAnsi="Arial" w:cs="Arial"/>
          <w:sz w:val="22"/>
          <w:szCs w:val="22"/>
        </w:rPr>
      </w:pPr>
    </w:p>
    <w:p w14:paraId="0121CDBF" w14:textId="77777777" w:rsidR="00D17EBF" w:rsidRDefault="00D17EBF">
      <w:pPr>
        <w:pStyle w:val="Standard"/>
        <w:ind w:firstLine="360"/>
        <w:jc w:val="both"/>
        <w:rPr>
          <w:rFonts w:ascii="Arial" w:hAnsi="Arial" w:cs="Arial"/>
          <w:sz w:val="22"/>
          <w:szCs w:val="22"/>
        </w:rPr>
      </w:pPr>
    </w:p>
    <w:p w14:paraId="08DEB8FC" w14:textId="77777777" w:rsidR="00D17EBF" w:rsidRDefault="00D17EBF">
      <w:pPr>
        <w:pStyle w:val="Standard"/>
        <w:ind w:firstLine="360"/>
        <w:jc w:val="both"/>
        <w:rPr>
          <w:rFonts w:ascii="Arial" w:hAnsi="Arial" w:cs="Arial"/>
          <w:sz w:val="22"/>
          <w:szCs w:val="22"/>
        </w:rPr>
      </w:pPr>
    </w:p>
    <w:p w14:paraId="636B4F8C" w14:textId="77777777" w:rsidR="00D17EBF" w:rsidRDefault="00D17EBF">
      <w:pPr>
        <w:pStyle w:val="Standard"/>
        <w:ind w:firstLine="360"/>
        <w:jc w:val="both"/>
        <w:rPr>
          <w:rFonts w:ascii="Arial" w:hAnsi="Arial" w:cs="Arial"/>
          <w:sz w:val="22"/>
          <w:szCs w:val="22"/>
        </w:rPr>
      </w:pPr>
    </w:p>
    <w:p w14:paraId="26D79573" w14:textId="77777777" w:rsidR="00D17EBF" w:rsidRDefault="00D17EB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poskytovatele: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příjemce:</w:t>
      </w:r>
    </w:p>
    <w:p w14:paraId="378D2802" w14:textId="77777777" w:rsidR="00D17EBF" w:rsidRDefault="00D17EB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D44964A" w14:textId="77777777" w:rsidR="00D17EBF" w:rsidRDefault="00D17EB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B466C41" w14:textId="77777777" w:rsidR="00D17EBF" w:rsidRDefault="00D17EB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7B3A526" w14:textId="77777777" w:rsidR="00D17EBF" w:rsidRDefault="00D17EB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1D36ABD" w14:textId="77777777" w:rsidR="00D17EBF" w:rsidRDefault="00D17EBF">
      <w:pPr>
        <w:pStyle w:val="Standard"/>
        <w:tabs>
          <w:tab w:val="left" w:pos="450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14:paraId="16B29686" w14:textId="77777777" w:rsidR="00D17EBF" w:rsidRDefault="00D17EBF">
      <w:pPr>
        <w:pStyle w:val="Standard"/>
        <w:tabs>
          <w:tab w:val="left" w:pos="900"/>
          <w:tab w:val="left" w:pos="5220"/>
          <w:tab w:val="left" w:pos="6840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  <w:t xml:space="preserve">Ing. arch. Martin Pour </w:t>
      </w:r>
      <w:r>
        <w:rPr>
          <w:rFonts w:ascii="Arial" w:hAnsi="Arial" w:cs="Arial"/>
          <w:sz w:val="22"/>
          <w:szCs w:val="22"/>
        </w:rPr>
        <w:tab/>
        <w:t>Mgr. Eliška Zapletalová, farářka</w:t>
      </w:r>
    </w:p>
    <w:p w14:paraId="5C455F8E" w14:textId="77777777" w:rsidR="00D17EBF" w:rsidRDefault="00D17EBF">
      <w:pPr>
        <w:pStyle w:val="Standard"/>
        <w:tabs>
          <w:tab w:val="left" w:pos="900"/>
          <w:tab w:val="left" w:pos="5220"/>
          <w:tab w:val="left" w:pos="68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starosta</w:t>
      </w:r>
      <w:r>
        <w:rPr>
          <w:rFonts w:ascii="Arial" w:hAnsi="Arial" w:cs="Arial"/>
          <w:sz w:val="22"/>
          <w:szCs w:val="22"/>
        </w:rPr>
        <w:tab/>
      </w:r>
    </w:p>
    <w:p w14:paraId="6C6FB25C" w14:textId="77777777" w:rsidR="00D17EBF" w:rsidRDefault="00D17EBF">
      <w:pPr>
        <w:pStyle w:val="Standard"/>
        <w:tabs>
          <w:tab w:val="left" w:pos="900"/>
          <w:tab w:val="left" w:pos="5220"/>
          <w:tab w:val="left" w:pos="68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.………………………………………</w:t>
      </w:r>
    </w:p>
    <w:p w14:paraId="141A6338" w14:textId="77777777" w:rsidR="00D17EBF" w:rsidRDefault="00D17EBF">
      <w:pPr>
        <w:pStyle w:val="Standard"/>
        <w:tabs>
          <w:tab w:val="left" w:pos="900"/>
          <w:tab w:val="left" w:pos="5220"/>
          <w:tab w:val="left" w:pos="6840"/>
        </w:tabs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</w:rPr>
        <w:t>Vojtěch Jonáš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předseda rady starších</w:t>
      </w:r>
    </w:p>
    <w:p w14:paraId="535D0F1E" w14:textId="77777777" w:rsidR="00D17EBF" w:rsidRDefault="00D17EBF">
      <w:pPr>
        <w:pStyle w:val="Standard"/>
        <w:tabs>
          <w:tab w:val="left" w:pos="900"/>
          <w:tab w:val="left" w:pos="5220"/>
          <w:tab w:val="left" w:pos="6840"/>
        </w:tabs>
      </w:pPr>
    </w:p>
    <w:p w14:paraId="3419DF72" w14:textId="77777777" w:rsidR="00D17EBF" w:rsidRDefault="00D17EBF">
      <w:pPr>
        <w:pStyle w:val="Standard"/>
        <w:tabs>
          <w:tab w:val="left" w:pos="900"/>
          <w:tab w:val="left" w:pos="5220"/>
          <w:tab w:val="left" w:pos="68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…………………………………………..</w:t>
      </w:r>
    </w:p>
    <w:p w14:paraId="5F9DE151" w14:textId="77777777" w:rsidR="00D17EBF" w:rsidRDefault="00D17EBF">
      <w:pPr>
        <w:pStyle w:val="Standard"/>
        <w:tabs>
          <w:tab w:val="left" w:pos="900"/>
          <w:tab w:val="left" w:pos="5220"/>
          <w:tab w:val="left" w:pos="68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PhDr. Oldřiška Tomíčková, finanční zpravodajka</w:t>
      </w:r>
    </w:p>
    <w:p w14:paraId="46D9D683" w14:textId="77777777" w:rsidR="00D17EBF" w:rsidRDefault="00D17EBF">
      <w:pPr>
        <w:widowControl w:val="0"/>
        <w:autoSpaceDE w:val="0"/>
        <w:spacing w:line="278" w:lineRule="atLeast"/>
        <w:ind w:left="15"/>
        <w:rPr>
          <w:rFonts w:ascii="Arial" w:hAnsi="Arial" w:cs="Arial"/>
          <w:b/>
          <w:sz w:val="22"/>
          <w:szCs w:val="22"/>
        </w:rPr>
      </w:pPr>
    </w:p>
    <w:p w14:paraId="2E07439F" w14:textId="77777777" w:rsidR="00D17EBF" w:rsidRDefault="00D17EBF">
      <w:pPr>
        <w:widowControl w:val="0"/>
        <w:autoSpaceDE w:val="0"/>
        <w:spacing w:line="278" w:lineRule="atLeast"/>
        <w:ind w:left="15"/>
        <w:rPr>
          <w:rFonts w:ascii="Arial" w:hAnsi="Arial" w:cs="Arial"/>
          <w:b/>
          <w:sz w:val="22"/>
          <w:szCs w:val="22"/>
        </w:rPr>
      </w:pPr>
    </w:p>
    <w:p w14:paraId="67B9F10B" w14:textId="77777777" w:rsidR="00D17EBF" w:rsidRDefault="00D17EBF">
      <w:pPr>
        <w:widowControl w:val="0"/>
        <w:autoSpaceDE w:val="0"/>
        <w:spacing w:line="278" w:lineRule="atLeast"/>
        <w:ind w:left="15"/>
        <w:rPr>
          <w:rFonts w:ascii="Arial" w:hAnsi="Arial" w:cs="Arial"/>
          <w:b/>
          <w:sz w:val="22"/>
          <w:szCs w:val="22"/>
        </w:rPr>
      </w:pPr>
    </w:p>
    <w:p w14:paraId="63611B5F" w14:textId="77777777" w:rsidR="00D17EBF" w:rsidRDefault="00D17EBF">
      <w:pPr>
        <w:widowControl w:val="0"/>
        <w:autoSpaceDE w:val="0"/>
        <w:spacing w:line="278" w:lineRule="atLeast"/>
        <w:ind w:left="15"/>
        <w:rPr>
          <w:rFonts w:ascii="Arial" w:hAnsi="Arial" w:cs="Arial"/>
          <w:b/>
          <w:sz w:val="22"/>
          <w:szCs w:val="22"/>
        </w:rPr>
      </w:pPr>
    </w:p>
    <w:p w14:paraId="1F63E654" w14:textId="77777777" w:rsidR="00D17EBF" w:rsidRDefault="00D17EBF">
      <w:pPr>
        <w:widowControl w:val="0"/>
        <w:autoSpaceDE w:val="0"/>
        <w:spacing w:line="278" w:lineRule="atLeast"/>
        <w:ind w:left="15"/>
      </w:pPr>
    </w:p>
    <w:sectPr w:rsidR="00D17EBF">
      <w:footerReference w:type="default" r:id="rId6"/>
      <w:footerReference w:type="first" r:id="rId7"/>
      <w:pgSz w:w="11906" w:h="16838"/>
      <w:pgMar w:top="1417" w:right="1121" w:bottom="1021" w:left="1185" w:header="708" w:footer="5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D500C" w14:textId="77777777" w:rsidR="00D17EBF" w:rsidRDefault="00D17EBF">
      <w:r>
        <w:separator/>
      </w:r>
    </w:p>
  </w:endnote>
  <w:endnote w:type="continuationSeparator" w:id="0">
    <w:p w14:paraId="54639D66" w14:textId="77777777" w:rsidR="00D17EBF" w:rsidRDefault="00D1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C4FD5" w14:textId="3C02CE4D" w:rsidR="00D17EBF" w:rsidRDefault="00E033C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07C350EE" wp14:editId="6DADB4E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9850" cy="168275"/>
              <wp:effectExtent l="3175" t="635" r="3175" b="2540"/>
              <wp:wrapSquare wrapText="largest"/>
              <wp:docPr id="200950064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" cy="1682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47E7E" w14:textId="77777777" w:rsidR="00D17EBF" w:rsidRDefault="00D17EBF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C350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5pt;height:13.2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" o:allowincell="f" stroked="f">
              <v:fill opacity="0"/>
              <v:textbox inset=".1pt,.1pt,.1pt,.1pt">
                <w:txbxContent>
                  <w:p w14:paraId="6B047E7E" w14:textId="77777777" w:rsidR="00D17EBF" w:rsidRDefault="00D17EBF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8292D" w14:textId="77777777" w:rsidR="00D17EBF" w:rsidRDefault="00D17E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0731E" w14:textId="77777777" w:rsidR="00D17EBF" w:rsidRDefault="00D17EBF">
      <w:r>
        <w:separator/>
      </w:r>
    </w:p>
  </w:footnote>
  <w:footnote w:type="continuationSeparator" w:id="0">
    <w:p w14:paraId="1094B2F9" w14:textId="77777777" w:rsidR="00D17EBF" w:rsidRDefault="00D17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A9E"/>
    <w:rsid w:val="00593CFE"/>
    <w:rsid w:val="00C16A9E"/>
    <w:rsid w:val="00D17EBF"/>
    <w:rsid w:val="00E0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244DF613"/>
  <w15:chartTrackingRefBased/>
  <w15:docId w15:val="{6F39F8D7-13C6-4B1A-A9D2-D5E54B33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">
    <w:name w:val="WW-Absatz-Standardschriftart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customStyle="1" w:styleId="Odkaznavysvtlivky1">
    <w:name w:val="Odkaz na vysvětlivky1"/>
    <w:rPr>
      <w:vertAlign w:val="superscript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bsahrmce">
    <w:name w:val="Obsah rámce"/>
    <w:basedOn w:val="Zkladntext"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ab">
    <w:name w:val="a)b)"/>
    <w:basedOn w:val="Normln"/>
    <w:pPr>
      <w:keepLines/>
      <w:tabs>
        <w:tab w:val="center" w:pos="1560"/>
        <w:tab w:val="left" w:pos="5103"/>
        <w:tab w:val="center" w:pos="7371"/>
      </w:tabs>
      <w:jc w:val="both"/>
    </w:pPr>
    <w:rPr>
      <w:rFonts w:eastAsia="Arial"/>
      <w:kern w:val="2"/>
      <w:sz w:val="22"/>
      <w:szCs w:val="20"/>
    </w:rPr>
  </w:style>
  <w:style w:type="paragraph" w:customStyle="1" w:styleId="Standard">
    <w:name w:val="Standard"/>
    <w:pPr>
      <w:suppressAutoHyphens/>
      <w:textAlignment w:val="baseline"/>
    </w:pPr>
    <w:rPr>
      <w:kern w:val="2"/>
      <w:lang w:eastAsia="zh-CN"/>
    </w:rPr>
  </w:style>
  <w:style w:type="paragraph" w:styleId="Textpoznpodarou">
    <w:name w:val="footnote text"/>
    <w:basedOn w:val="Normln"/>
    <w:pPr>
      <w:suppressLineNumbers/>
      <w:ind w:left="339" w:hanging="339"/>
    </w:pPr>
    <w:rPr>
      <w:sz w:val="20"/>
      <w:szCs w:val="20"/>
    </w:rPr>
  </w:style>
  <w:style w:type="paragraph" w:customStyle="1" w:styleId="Heading2">
    <w:name w:val="Heading 2"/>
    <w:basedOn w:val="Standard"/>
    <w:next w:val="Standard"/>
    <w:pPr>
      <w:keepNext/>
      <w:jc w:val="both"/>
    </w:pPr>
    <w:rPr>
      <w:rFonts w:ascii="Arial" w:hAnsi="Arial" w:cs="Arial"/>
      <w:b/>
      <w:bCs/>
      <w:sz w:val="24"/>
      <w:szCs w:val="24"/>
    </w:rPr>
  </w:style>
  <w:style w:type="paragraph" w:customStyle="1" w:styleId="Zkladntextodsazen31">
    <w:name w:val="Základní text odsazený 31"/>
    <w:basedOn w:val="Standard"/>
    <w:pPr>
      <w:spacing w:before="120"/>
      <w:ind w:left="357" w:hanging="357"/>
      <w:jc w:val="both"/>
    </w:pPr>
    <w:rPr>
      <w:bCs/>
      <w:sz w:val="22"/>
      <w:szCs w:val="22"/>
    </w:rPr>
  </w:style>
  <w:style w:type="paragraph" w:customStyle="1" w:styleId="Heading3">
    <w:name w:val="Heading 3"/>
    <w:basedOn w:val="Standard"/>
    <w:next w:val="Standard"/>
    <w:pPr>
      <w:keepNext/>
    </w:pPr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1691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PŘÍSPĚVKU</vt:lpstr>
    </vt:vector>
  </TitlesOfParts>
  <Company/>
  <LinksUpToDate>false</LinksUpToDate>
  <CharactersWithSpaces>11646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PŘÍSPĚVKU</dc:title>
  <dc:subject/>
  <dc:creator>karpovicova</dc:creator>
  <cp:keywords/>
  <cp:lastModifiedBy>Adéla Solichová</cp:lastModifiedBy>
  <cp:revision>3</cp:revision>
  <cp:lastPrinted>2022-12-05T12:15:00Z</cp:lastPrinted>
  <dcterms:created xsi:type="dcterms:W3CDTF">2024-02-19T15:25:00Z</dcterms:created>
  <dcterms:modified xsi:type="dcterms:W3CDTF">2024-02-19T15:27:00Z</dcterms:modified>
</cp:coreProperties>
</file>