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7221300504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ind w:right="0"/>
        <w:jc w:val="left"/>
      </w:pPr>
      <w:r>
        <w:rPr/>
        <w:t>obec</w:t>
      </w:r>
      <w:r>
        <w:rPr>
          <w:spacing w:val="-7"/>
        </w:rPr>
        <w:t> </w:t>
      </w:r>
      <w:r>
        <w:rPr>
          <w:spacing w:val="-2"/>
        </w:rPr>
        <w:t>Ratiboř</w:t>
      </w:r>
    </w:p>
    <w:p>
      <w:pPr>
        <w:pStyle w:val="BodyText"/>
        <w:tabs>
          <w:tab w:pos="2982" w:val="left" w:leader="none"/>
        </w:tabs>
        <w:ind w:left="102" w:right="2050"/>
      </w:pPr>
      <w:r>
        <w:rPr/>
        <w:t>kontaktní adresa:</w:t>
        <w:tab/>
        <w:t>Obecní</w:t>
      </w:r>
      <w:r>
        <w:rPr>
          <w:spacing w:val="-6"/>
        </w:rPr>
        <w:t> </w:t>
      </w:r>
      <w:r>
        <w:rPr/>
        <w:t>úřad</w:t>
      </w:r>
      <w:r>
        <w:rPr>
          <w:spacing w:val="-6"/>
        </w:rPr>
        <w:t> </w:t>
      </w:r>
      <w:r>
        <w:rPr/>
        <w:t>Ratiboř,</w:t>
      </w:r>
      <w:r>
        <w:rPr>
          <w:spacing w:val="-5"/>
        </w:rPr>
        <w:t> </w:t>
      </w:r>
      <w:r>
        <w:rPr/>
        <w:t>Ratiboř</w:t>
      </w:r>
      <w:r>
        <w:rPr>
          <w:spacing w:val="-3"/>
        </w:rPr>
        <w:t> </w:t>
      </w:r>
      <w:r>
        <w:rPr/>
        <w:t>č.</w:t>
      </w:r>
      <w:r>
        <w:rPr>
          <w:spacing w:val="-5"/>
        </w:rPr>
        <w:t> </w:t>
      </w:r>
      <w:r>
        <w:rPr/>
        <w:t>p.</w:t>
      </w:r>
      <w:r>
        <w:rPr>
          <w:spacing w:val="-5"/>
        </w:rPr>
        <w:t> </w:t>
      </w:r>
      <w:r>
        <w:rPr/>
        <w:t>75,</w:t>
      </w:r>
      <w:r>
        <w:rPr>
          <w:spacing w:val="-6"/>
        </w:rPr>
        <w:t> </w:t>
      </w:r>
      <w:r>
        <w:rPr/>
        <w:t>756</w:t>
      </w:r>
      <w:r>
        <w:rPr>
          <w:spacing w:val="-3"/>
        </w:rPr>
        <w:t> </w:t>
      </w:r>
      <w:r>
        <w:rPr/>
        <w:t>21</w:t>
      </w:r>
      <w:r>
        <w:rPr>
          <w:spacing w:val="-5"/>
        </w:rPr>
        <w:t> </w:t>
      </w:r>
      <w:r>
        <w:rPr/>
        <w:t>Ratiboř </w:t>
      </w:r>
      <w:r>
        <w:rPr>
          <w:spacing w:val="-4"/>
        </w:rPr>
        <w:t>IČO:</w:t>
      </w:r>
      <w:r>
        <w:rPr/>
        <w:tab/>
      </w:r>
      <w:r>
        <w:rPr>
          <w:spacing w:val="-2"/>
        </w:rPr>
        <w:t>00304263</w:t>
      </w:r>
    </w:p>
    <w:p>
      <w:pPr>
        <w:pStyle w:val="BodyText"/>
        <w:tabs>
          <w:tab w:pos="2982" w:val="left" w:leader="none"/>
        </w:tabs>
        <w:spacing w:line="265" w:lineRule="exact"/>
        <w:ind w:left="102"/>
      </w:pPr>
      <w:r>
        <w:rPr>
          <w:spacing w:val="-2"/>
        </w:rPr>
        <w:t>zastoupená:</w:t>
      </w:r>
      <w:r>
        <w:rPr/>
        <w:tab/>
        <w:t>Martinem</w:t>
      </w:r>
      <w:r>
        <w:rPr>
          <w:spacing w:val="-2"/>
        </w:rPr>
        <w:t> </w:t>
      </w:r>
      <w:r>
        <w:rPr/>
        <w:t>Ž</w:t>
      </w:r>
      <w:r>
        <w:rPr>
          <w:spacing w:val="-3"/>
        </w:rPr>
        <w:t> </w:t>
      </w:r>
      <w:r>
        <w:rPr/>
        <w:t>a</w:t>
      </w:r>
      <w:r>
        <w:rPr>
          <w:spacing w:val="-3"/>
        </w:rPr>
        <w:t> </w:t>
      </w:r>
      <w:r>
        <w:rPr/>
        <w:t>b</w:t>
      </w:r>
      <w:r>
        <w:rPr>
          <w:spacing w:val="-3"/>
        </w:rPr>
        <w:t> </w:t>
      </w:r>
      <w:r>
        <w:rPr/>
        <w:t>č</w:t>
      </w:r>
      <w:r>
        <w:rPr>
          <w:spacing w:val="-3"/>
        </w:rPr>
        <w:t> </w:t>
      </w:r>
      <w:r>
        <w:rPr/>
        <w:t>í</w:t>
      </w:r>
      <w:r>
        <w:rPr>
          <w:spacing w:val="-2"/>
        </w:rPr>
        <w:t> </w:t>
      </w:r>
      <w:r>
        <w:rPr/>
        <w:t>k</w:t>
      </w:r>
      <w:r>
        <w:rPr>
          <w:spacing w:val="-1"/>
        </w:rPr>
        <w:t> </w:t>
      </w:r>
      <w:r>
        <w:rPr/>
        <w:t>e</w:t>
      </w:r>
      <w:r>
        <w:rPr>
          <w:spacing w:val="-3"/>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94-6417851/0710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7221300504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37"/>
      </w:pPr>
      <w:r>
        <w:rPr/>
        <w:t>„FVE</w:t>
      </w:r>
      <w:r>
        <w:rPr>
          <w:spacing w:val="-8"/>
        </w:rPr>
        <w:t> </w:t>
      </w:r>
      <w:r>
        <w:rPr/>
        <w:t>Obec</w:t>
      </w:r>
      <w:r>
        <w:rPr>
          <w:spacing w:val="-7"/>
        </w:rPr>
        <w:t> </w:t>
      </w:r>
      <w:r>
        <w:rPr/>
        <w:t>Ratiboř</w:t>
      </w:r>
      <w:r>
        <w:rPr>
          <w:spacing w:val="-9"/>
        </w:rPr>
        <w:t> </w:t>
      </w:r>
      <w:r>
        <w:rPr>
          <w:spacing w:val="-4"/>
        </w:rPr>
        <w:t>361“</w:t>
      </w:r>
    </w:p>
    <w:p>
      <w:pPr>
        <w:pStyle w:val="BodyText"/>
        <w:spacing w:before="118"/>
        <w:ind w:left="383" w:right="6434"/>
        <w:jc w:val="center"/>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cente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311 250,00 Kč </w:t>
      </w:r>
      <w:r>
        <w:rPr>
          <w:sz w:val="20"/>
        </w:rPr>
        <w:t>(slovy: tři sta jedenáct tisíc dvě stě padesát korun českých).</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415 000,00 Kč.</w:t>
      </w:r>
    </w:p>
    <w:p>
      <w:pPr>
        <w:pStyle w:val="ListParagraph"/>
        <w:numPr>
          <w:ilvl w:val="0"/>
          <w:numId w:val="2"/>
        </w:numPr>
        <w:tabs>
          <w:tab w:pos="386" w:val="left" w:leader="none"/>
        </w:tabs>
        <w:spacing w:line="240" w:lineRule="auto" w:before="118"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0"/>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spacing w:before="1"/>
        <w:ind w:left="3135"/>
      </w:pPr>
      <w:r>
        <w:rPr/>
        <w:t>Platební</w:t>
      </w:r>
      <w:r>
        <w:rPr>
          <w:spacing w:val="-8"/>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7"/>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V případě, že došlo k zápočtu pohledávek/závazků mezi příjemcem podpory a zhotovitelem (úhrada faktury</w:t>
      </w:r>
      <w:r>
        <w:rPr>
          <w:spacing w:val="78"/>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8"/>
          <w:w w:val="150"/>
          <w:sz w:val="20"/>
        </w:rPr>
        <w:t> </w:t>
      </w:r>
      <w:r>
        <w:rPr>
          <w:sz w:val="20"/>
        </w:rPr>
        <w:t>výši</w:t>
      </w:r>
      <w:r>
        <w:rPr>
          <w:spacing w:val="80"/>
          <w:w w:val="150"/>
          <w:sz w:val="20"/>
        </w:rPr>
        <w:t> </w:t>
      </w:r>
      <w:r>
        <w:rPr>
          <w:sz w:val="20"/>
        </w:rPr>
        <w:t>doložena</w:t>
      </w:r>
      <w:r>
        <w:rPr>
          <w:spacing w:val="78"/>
          <w:w w:val="150"/>
          <w:sz w:val="20"/>
        </w:rPr>
        <w:t> </w:t>
      </w:r>
      <w:r>
        <w:rPr>
          <w:sz w:val="20"/>
        </w:rPr>
        <w:t>bankovním</w:t>
      </w:r>
      <w:r>
        <w:rPr>
          <w:spacing w:val="77"/>
          <w:w w:val="150"/>
          <w:sz w:val="20"/>
        </w:rPr>
        <w:t> </w:t>
      </w:r>
      <w:r>
        <w:rPr>
          <w:sz w:val="20"/>
        </w:rPr>
        <w:t>výpisem),</w:t>
      </w:r>
      <w:r>
        <w:rPr>
          <w:spacing w:val="78"/>
          <w:w w:val="150"/>
          <w:sz w:val="20"/>
        </w:rPr>
        <w:t> </w:t>
      </w:r>
      <w:r>
        <w:rPr>
          <w:sz w:val="20"/>
        </w:rPr>
        <w:t>je</w:t>
      </w:r>
      <w:r>
        <w:rPr>
          <w:spacing w:val="78"/>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8"/>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07" w:hanging="360"/>
        <w:jc w:val="left"/>
        <w:rPr>
          <w:sz w:val="20"/>
        </w:rPr>
      </w:pPr>
      <w:r>
        <w:rPr>
          <w:sz w:val="20"/>
        </w:rPr>
        <w:t>splní účel akce „FVE Obec Ratiboř 361“ tím, že akce bude provedena v souladu s Výzvou, žádostí o podporu a jejími přílohami a touto Smlouvou,</w:t>
      </w:r>
    </w:p>
    <w:p>
      <w:pPr>
        <w:pStyle w:val="ListParagraph"/>
        <w:numPr>
          <w:ilvl w:val="1"/>
          <w:numId w:val="4"/>
        </w:numPr>
        <w:tabs>
          <w:tab w:pos="746" w:val="left" w:leader="none"/>
          <w:tab w:pos="1687" w:val="left" w:leader="none"/>
          <w:tab w:pos="2665" w:val="left" w:leader="none"/>
          <w:tab w:pos="4386" w:val="left" w:leader="none"/>
          <w:tab w:pos="5057" w:val="left" w:leader="none"/>
          <w:tab w:pos="6436" w:val="left" w:leader="none"/>
          <w:tab w:pos="7552" w:val="left" w:leader="none"/>
          <w:tab w:pos="7981" w:val="left" w:leader="none"/>
          <w:tab w:pos="8796" w:val="left" w:leader="none"/>
        </w:tabs>
        <w:spacing w:line="240" w:lineRule="auto" w:before="1" w:after="0"/>
        <w:ind w:left="745" w:right="111" w:hanging="360"/>
        <w:jc w:val="left"/>
        <w:rPr>
          <w:sz w:val="20"/>
        </w:rPr>
      </w:pPr>
      <w:r>
        <w:rPr>
          <w:spacing w:val="-2"/>
          <w:sz w:val="20"/>
        </w:rPr>
        <w:t>realizací</w:t>
      </w:r>
      <w:r>
        <w:rPr>
          <w:sz w:val="20"/>
        </w:rPr>
        <w:tab/>
      </w:r>
      <w:r>
        <w:rPr>
          <w:spacing w:val="-2"/>
          <w:sz w:val="20"/>
        </w:rPr>
        <w:t>projektu</w:t>
      </w:r>
      <w:r>
        <w:rPr>
          <w:sz w:val="20"/>
        </w:rPr>
        <w:tab/>
        <w:t>dojde 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14,85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14.85</w:t>
            </w:r>
          </w:p>
        </w:tc>
      </w:tr>
      <w:tr>
        <w:trPr>
          <w:trHeight w:val="506"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11.09</w:t>
            </w:r>
          </w:p>
        </w:tc>
      </w:tr>
      <w:tr>
        <w:trPr>
          <w:trHeight w:val="530" w:hRule="atLeast"/>
        </w:trPr>
        <w:tc>
          <w:tcPr>
            <w:tcW w:w="3771" w:type="dxa"/>
          </w:tcPr>
          <w:p>
            <w:pPr>
              <w:pStyle w:val="TableParagraph"/>
              <w:spacing w:line="264"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33.54</w:t>
            </w:r>
          </w:p>
        </w:tc>
      </w:tr>
      <w:tr>
        <w:trPr>
          <w:trHeight w:val="508"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16.10</w:t>
            </w:r>
          </w:p>
        </w:tc>
      </w:tr>
    </w:tbl>
    <w:p>
      <w:pPr>
        <w:pStyle w:val="BodyText"/>
        <w:spacing w:before="12"/>
        <w:rPr>
          <w:sz w:val="37"/>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0"/>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1" w:hanging="360"/>
        <w:jc w:val="both"/>
        <w:rPr>
          <w:sz w:val="20"/>
        </w:rPr>
      </w:pPr>
      <w:r>
        <w:rPr>
          <w:sz w:val="20"/>
        </w:rPr>
        <w:t>předloží Fondu současně s žádostí o platbu podklady k ZVA podle čl. čl. 14.4 Výzvy, a to nejpozději do 3 měsíců, počítáno od celého kalendářního měsíce, následujícího po dni, kdy tato Smlouva nabude účinnosti,</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6"/>
          <w:sz w:val="20"/>
        </w:rPr>
        <w:t> </w:t>
      </w:r>
      <w:r>
        <w:rPr>
          <w:sz w:val="20"/>
        </w:rPr>
        <w:t>výjimkou</w:t>
      </w:r>
      <w:r>
        <w:rPr>
          <w:spacing w:val="-14"/>
          <w:sz w:val="20"/>
        </w:rPr>
        <w:t> </w:t>
      </w:r>
      <w:r>
        <w:rPr>
          <w:sz w:val="20"/>
        </w:rPr>
        <w:t>nemovitých věcí,</w:t>
      </w:r>
      <w:r>
        <w:rPr>
          <w:spacing w:val="-1"/>
          <w:sz w:val="20"/>
        </w:rPr>
        <w:t> </w:t>
      </w:r>
      <w:r>
        <w:rPr>
          <w:sz w:val="20"/>
        </w:rPr>
        <w:t>kterými</w:t>
      </w:r>
      <w:r>
        <w:rPr>
          <w:spacing w:val="-4"/>
          <w:sz w:val="20"/>
        </w:rPr>
        <w:t> </w:t>
      </w:r>
      <w:r>
        <w:rPr>
          <w:sz w:val="20"/>
        </w:rPr>
        <w:t>je</w:t>
      </w:r>
      <w:r>
        <w:rPr>
          <w:spacing w:val="-4"/>
          <w:sz w:val="20"/>
        </w:rPr>
        <w:t> </w:t>
      </w:r>
      <w:r>
        <w:rPr>
          <w:sz w:val="20"/>
        </w:rPr>
        <w:t>pouze</w:t>
      </w:r>
      <w:r>
        <w:rPr>
          <w:spacing w:val="-4"/>
          <w:sz w:val="20"/>
        </w:rPr>
        <w:t> </w:t>
      </w:r>
      <w:r>
        <w:rPr>
          <w:sz w:val="20"/>
        </w:rPr>
        <w:t>vedena</w:t>
      </w:r>
      <w:r>
        <w:rPr>
          <w:spacing w:val="-4"/>
          <w:sz w:val="20"/>
        </w:rPr>
        <w:t> </w:t>
      </w:r>
      <w:r>
        <w:rPr>
          <w:sz w:val="20"/>
        </w:rPr>
        <w:t>liniová</w:t>
      </w:r>
      <w:r>
        <w:rPr>
          <w:spacing w:val="-1"/>
          <w:sz w:val="20"/>
        </w:rPr>
        <w:t> </w:t>
      </w:r>
      <w:r>
        <w:rPr>
          <w:sz w:val="20"/>
        </w:rPr>
        <w:t>stavba a</w:t>
      </w:r>
      <w:r>
        <w:rPr>
          <w:spacing w:val="-4"/>
          <w:sz w:val="20"/>
        </w:rPr>
        <w:t> </w:t>
      </w:r>
      <w:r>
        <w:rPr>
          <w:sz w:val="20"/>
        </w:rPr>
        <w:t>dále</w:t>
      </w:r>
      <w:r>
        <w:rPr>
          <w:spacing w:val="-4"/>
          <w:sz w:val="20"/>
        </w:rPr>
        <w:t> </w:t>
      </w:r>
      <w:r>
        <w:rPr>
          <w:sz w:val="20"/>
        </w:rPr>
        <w:t>nemovitých</w:t>
      </w:r>
      <w:r>
        <w:rPr>
          <w:spacing w:val="-3"/>
          <w:sz w:val="20"/>
        </w:rPr>
        <w:t> </w:t>
      </w:r>
      <w:r>
        <w:rPr>
          <w:sz w:val="20"/>
        </w:rPr>
        <w:t>věcí,</w:t>
      </w:r>
      <w:r>
        <w:rPr>
          <w:spacing w:val="-4"/>
          <w:sz w:val="20"/>
        </w:rPr>
        <w:t> </w:t>
      </w:r>
      <w:r>
        <w:rPr>
          <w:sz w:val="20"/>
        </w:rPr>
        <w:t>ve</w:t>
      </w:r>
      <w:r>
        <w:rPr>
          <w:spacing w:val="-4"/>
          <w:sz w:val="20"/>
        </w:rPr>
        <w:t> </w:t>
      </w:r>
      <w:r>
        <w:rPr>
          <w:sz w:val="20"/>
        </w:rPr>
        <w:t>kterých</w:t>
      </w:r>
      <w:r>
        <w:rPr>
          <w:spacing w:val="-3"/>
          <w:sz w:val="20"/>
        </w:rPr>
        <w:t> </w:t>
      </w:r>
      <w:r>
        <w:rPr>
          <w:sz w:val="20"/>
        </w:rPr>
        <w:t>(na</w:t>
      </w:r>
      <w:r>
        <w:rPr>
          <w:spacing w:val="-4"/>
          <w:sz w:val="20"/>
        </w:rPr>
        <w:t> </w:t>
      </w:r>
      <w:r>
        <w:rPr>
          <w:sz w:val="20"/>
        </w:rPr>
        <w:t>kterých)</w:t>
      </w:r>
      <w:r>
        <w:rPr>
          <w:spacing w:val="-1"/>
          <w:sz w:val="20"/>
        </w:rPr>
        <w:t> </w:t>
      </w:r>
      <w:r>
        <w:rPr>
          <w:sz w:val="20"/>
        </w:rPr>
        <w:t>mají 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4"/>
          <w:sz w:val="20"/>
        </w:rPr>
        <w:t> </w:t>
      </w:r>
      <w:r>
        <w:rPr>
          <w:sz w:val="20"/>
        </w:rPr>
        <w:t>dobu</w:t>
      </w:r>
      <w:r>
        <w:rPr>
          <w:spacing w:val="-4"/>
          <w:sz w:val="20"/>
        </w:rPr>
        <w:t> </w:t>
      </w:r>
      <w:r>
        <w:rPr>
          <w:sz w:val="20"/>
        </w:rPr>
        <w:t>udržitelnosti</w:t>
      </w:r>
      <w:r>
        <w:rPr>
          <w:spacing w:val="-4"/>
          <w:sz w:val="20"/>
        </w:rPr>
        <w:t> </w:t>
      </w:r>
      <w:r>
        <w:rPr>
          <w:sz w:val="20"/>
        </w:rPr>
        <w:t>projektu</w:t>
      </w:r>
      <w:r>
        <w:rPr>
          <w:spacing w:val="-4"/>
          <w:sz w:val="20"/>
        </w:rPr>
        <w:t> </w:t>
      </w:r>
      <w:r>
        <w:rPr>
          <w:sz w:val="20"/>
        </w:rPr>
        <w:t>nejméně</w:t>
      </w:r>
      <w:r>
        <w:rPr>
          <w:spacing w:val="-5"/>
          <w:sz w:val="20"/>
        </w:rPr>
        <w:t> </w:t>
      </w:r>
      <w:r>
        <w:rPr>
          <w:sz w:val="20"/>
        </w:rPr>
        <w:t>5</w:t>
      </w:r>
      <w:r>
        <w:rPr>
          <w:spacing w:val="-3"/>
          <w:sz w:val="20"/>
        </w:rPr>
        <w:t> </w:t>
      </w:r>
      <w:r>
        <w:rPr>
          <w:sz w:val="20"/>
        </w:rPr>
        <w:t>let</w:t>
      </w:r>
      <w:r>
        <w:rPr>
          <w:spacing w:val="-4"/>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4"/>
          <w:sz w:val="20"/>
        </w:rPr>
        <w:t> </w:t>
      </w:r>
      <w:r>
        <w:rPr>
          <w:sz w:val="20"/>
        </w:rPr>
        <w:t>že</w:t>
      </w:r>
      <w:r>
        <w:rPr>
          <w:spacing w:val="-3"/>
          <w:sz w:val="20"/>
        </w:rPr>
        <w:t> </w:t>
      </w:r>
      <w:r>
        <w:rPr>
          <w:sz w:val="20"/>
        </w:rPr>
        <w:t>účel,</w:t>
      </w:r>
      <w:r>
        <w:rPr>
          <w:spacing w:val="-4"/>
          <w:sz w:val="20"/>
        </w:rPr>
        <w:t> </w:t>
      </w:r>
      <w:r>
        <w:rPr>
          <w:sz w:val="20"/>
        </w:rPr>
        <w:t>pro</w:t>
      </w:r>
      <w:r>
        <w:rPr>
          <w:spacing w:val="-3"/>
          <w:sz w:val="20"/>
        </w:rPr>
        <w:t> </w:t>
      </w:r>
      <w:r>
        <w:rPr>
          <w:sz w:val="20"/>
        </w:rPr>
        <w:t>který</w:t>
      </w:r>
      <w:r>
        <w:rPr>
          <w:spacing w:val="-4"/>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0" w:hanging="284"/>
        <w:jc w:val="both"/>
        <w:rPr>
          <w:sz w:val="20"/>
        </w:rPr>
      </w:pPr>
      <w:r>
        <w:rPr>
          <w:sz w:val="20"/>
        </w:rPr>
        <w:t>vrátit</w:t>
      </w:r>
      <w:r>
        <w:rPr>
          <w:spacing w:val="-14"/>
          <w:sz w:val="20"/>
        </w:rPr>
        <w:t> </w:t>
      </w:r>
      <w:r>
        <w:rPr>
          <w:sz w:val="20"/>
        </w:rPr>
        <w:t>částku</w:t>
      </w:r>
      <w:r>
        <w:rPr>
          <w:spacing w:val="-13"/>
          <w:sz w:val="20"/>
        </w:rPr>
        <w:t> </w:t>
      </w:r>
      <w:r>
        <w:rPr>
          <w:sz w:val="20"/>
        </w:rPr>
        <w:t>DPH</w:t>
      </w:r>
      <w:r>
        <w:rPr>
          <w:spacing w:val="-14"/>
          <w:sz w:val="20"/>
        </w:rPr>
        <w:t> </w:t>
      </w:r>
      <w:r>
        <w:rPr>
          <w:sz w:val="20"/>
        </w:rPr>
        <w:t>nebo</w:t>
      </w:r>
      <w:r>
        <w:rPr>
          <w:spacing w:val="-12"/>
          <w:sz w:val="20"/>
        </w:rPr>
        <w:t> </w:t>
      </w:r>
      <w:r>
        <w:rPr>
          <w:sz w:val="20"/>
        </w:rPr>
        <w:t>její</w:t>
      </w:r>
      <w:r>
        <w:rPr>
          <w:spacing w:val="-14"/>
          <w:sz w:val="20"/>
        </w:rPr>
        <w:t> </w:t>
      </w:r>
      <w:r>
        <w:rPr>
          <w:sz w:val="20"/>
        </w:rPr>
        <w:t>část,</w:t>
      </w:r>
      <w:r>
        <w:rPr>
          <w:spacing w:val="-13"/>
          <w:sz w:val="20"/>
        </w:rPr>
        <w:t> </w:t>
      </w:r>
      <w:r>
        <w:rPr>
          <w:sz w:val="20"/>
        </w:rPr>
        <w:t>pokud</w:t>
      </w:r>
      <w:r>
        <w:rPr>
          <w:spacing w:val="-12"/>
          <w:sz w:val="20"/>
        </w:rPr>
        <w:t> </w:t>
      </w:r>
      <w:r>
        <w:rPr>
          <w:sz w:val="20"/>
        </w:rPr>
        <w:t>existuje</w:t>
      </w:r>
      <w:r>
        <w:rPr>
          <w:spacing w:val="-13"/>
          <w:sz w:val="20"/>
        </w:rPr>
        <w:t> </w:t>
      </w:r>
      <w:r>
        <w:rPr>
          <w:sz w:val="20"/>
        </w:rPr>
        <w:t>zákonný</w:t>
      </w:r>
      <w:r>
        <w:rPr>
          <w:spacing w:val="-12"/>
          <w:sz w:val="20"/>
        </w:rPr>
        <w:t> </w:t>
      </w:r>
      <w:r>
        <w:rPr>
          <w:sz w:val="20"/>
        </w:rPr>
        <w:t>nárok</w:t>
      </w:r>
      <w:r>
        <w:rPr>
          <w:spacing w:val="-14"/>
          <w:sz w:val="20"/>
        </w:rPr>
        <w:t> </w:t>
      </w:r>
      <w:r>
        <w:rPr>
          <w:sz w:val="20"/>
        </w:rPr>
        <w:t>(i</w:t>
      </w:r>
      <w:r>
        <w:rPr>
          <w:spacing w:val="-14"/>
          <w:sz w:val="20"/>
        </w:rPr>
        <w:t> </w:t>
      </w:r>
      <w:r>
        <w:rPr>
          <w:sz w:val="20"/>
        </w:rPr>
        <w:t>zpětně)</w:t>
      </w:r>
      <w:r>
        <w:rPr>
          <w:spacing w:val="-13"/>
          <w:sz w:val="20"/>
        </w:rPr>
        <w:t> </w:t>
      </w:r>
      <w:r>
        <w:rPr>
          <w:sz w:val="20"/>
        </w:rPr>
        <w:t>na</w:t>
      </w:r>
      <w:r>
        <w:rPr>
          <w:spacing w:val="-14"/>
          <w:sz w:val="20"/>
        </w:rPr>
        <w:t> </w:t>
      </w:r>
      <w:r>
        <w:rPr>
          <w:sz w:val="20"/>
        </w:rPr>
        <w:t>její</w:t>
      </w:r>
      <w:r>
        <w:rPr>
          <w:spacing w:val="-14"/>
          <w:sz w:val="20"/>
        </w:rPr>
        <w:t> </w:t>
      </w:r>
      <w:r>
        <w:rPr>
          <w:sz w:val="20"/>
        </w:rPr>
        <w:t>odpočet,</w:t>
      </w:r>
      <w:r>
        <w:rPr>
          <w:spacing w:val="-12"/>
          <w:sz w:val="20"/>
        </w:rPr>
        <w:t> </w:t>
      </w:r>
      <w:r>
        <w:rPr>
          <w:sz w:val="20"/>
        </w:rPr>
        <w:t>tj.</w:t>
      </w:r>
      <w:r>
        <w:rPr>
          <w:spacing w:val="-14"/>
          <w:sz w:val="20"/>
        </w:rPr>
        <w:t> </w:t>
      </w:r>
      <w:r>
        <w:rPr>
          <w:sz w:val="20"/>
        </w:rPr>
        <w:t>bez</w:t>
      </w:r>
      <w:r>
        <w:rPr>
          <w:spacing w:val="-13"/>
          <w:sz w:val="20"/>
        </w:rPr>
        <w:t> </w:t>
      </w:r>
      <w:r>
        <w:rPr>
          <w:spacing w:val="-2"/>
          <w:sz w:val="20"/>
        </w:rPr>
        <w:t>ohledu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right="119"/>
        <w:jc w:val="both"/>
      </w:pPr>
      <w:r>
        <w:rPr/>
        <w:t>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8"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4"/>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3"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19"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6"/>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6"/>
          <w:sz w:val="20"/>
        </w:rPr>
        <w:t> </w:t>
      </w:r>
      <w:r>
        <w:rPr>
          <w:sz w:val="20"/>
        </w:rPr>
        <w:t>uvedenými</w:t>
      </w:r>
      <w:r>
        <w:rPr>
          <w:spacing w:val="-7"/>
          <w:sz w:val="20"/>
        </w:rPr>
        <w:t> </w:t>
      </w:r>
      <w:r>
        <w:rPr>
          <w:sz w:val="20"/>
        </w:rPr>
        <w:t>v</w:t>
      </w:r>
      <w:r>
        <w:rPr>
          <w:spacing w:val="-4"/>
          <w:sz w:val="20"/>
        </w:rPr>
        <w:t> </w:t>
      </w:r>
      <w:r>
        <w:rPr>
          <w:sz w:val="20"/>
        </w:rPr>
        <w:t>článku</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383" w:right="395"/>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pPr>
      <w:r>
        <w:rPr/>
        <w:t>V</w:t>
      </w:r>
      <w:r>
        <w:rPr>
          <w:spacing w:val="16"/>
        </w:rPr>
        <w:t> </w:t>
      </w:r>
      <w:r>
        <w:rPr/>
        <w:t>případě</w:t>
      </w:r>
      <w:r>
        <w:rPr>
          <w:spacing w:val="14"/>
        </w:rPr>
        <w:t> </w:t>
      </w:r>
      <w:r>
        <w:rPr/>
        <w:t>nesplnění</w:t>
      </w:r>
      <w:r>
        <w:rPr>
          <w:spacing w:val="15"/>
        </w:rPr>
        <w:t> </w:t>
      </w:r>
      <w:r>
        <w:rPr/>
        <w:t>nebo</w:t>
      </w:r>
      <w:r>
        <w:rPr>
          <w:spacing w:val="17"/>
        </w:rPr>
        <w:t> </w:t>
      </w:r>
      <w:r>
        <w:rPr/>
        <w:t>částečného</w:t>
      </w:r>
      <w:r>
        <w:rPr>
          <w:spacing w:val="16"/>
        </w:rPr>
        <w:t> </w:t>
      </w:r>
      <w:r>
        <w:rPr/>
        <w:t>naplnění</w:t>
      </w:r>
      <w:r>
        <w:rPr>
          <w:spacing w:val="15"/>
        </w:rPr>
        <w:t> </w:t>
      </w:r>
      <w:r>
        <w:rPr/>
        <w:t>více</w:t>
      </w:r>
      <w:r>
        <w:rPr>
          <w:spacing w:val="14"/>
        </w:rPr>
        <w:t> </w:t>
      </w:r>
      <w:r>
        <w:rPr/>
        <w:t>než</w:t>
      </w:r>
      <w:r>
        <w:rPr>
          <w:spacing w:val="16"/>
        </w:rPr>
        <w:t> </w:t>
      </w:r>
      <w:r>
        <w:rPr/>
        <w:t>jednoho</w:t>
      </w:r>
      <w:r>
        <w:rPr>
          <w:spacing w:val="16"/>
        </w:rPr>
        <w:t> </w:t>
      </w:r>
      <w:r>
        <w:rPr/>
        <w:t>ze</w:t>
      </w:r>
      <w:r>
        <w:rPr>
          <w:spacing w:val="14"/>
        </w:rPr>
        <w:t> </w:t>
      </w:r>
      <w:r>
        <w:rPr/>
        <w:t>závazných</w:t>
      </w:r>
      <w:r>
        <w:rPr>
          <w:spacing w:val="15"/>
        </w:rPr>
        <w:t> </w:t>
      </w:r>
      <w:r>
        <w:rPr/>
        <w:t>indikátorů</w:t>
      </w:r>
      <w:r>
        <w:rPr>
          <w:spacing w:val="18"/>
        </w:rPr>
        <w:t> </w:t>
      </w:r>
      <w:r>
        <w:rPr/>
        <w:t>akce</w:t>
      </w:r>
      <w:r>
        <w:rPr>
          <w:spacing w:val="14"/>
        </w:rPr>
        <w:t> </w:t>
      </w:r>
      <w:r>
        <w:rPr>
          <w:spacing w:val="-2"/>
        </w:rPr>
        <w:t>podle</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385" w:right="119"/>
        <w:jc w:val="both"/>
      </w:pPr>
      <w:r>
        <w:rPr/>
        <w:t>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2"/>
        <w:rPr>
          <w:sz w:val="19"/>
        </w:rPr>
      </w:pPr>
    </w:p>
    <w:p>
      <w:pPr>
        <w:pStyle w:val="Heading1"/>
        <w:ind w:left="3140"/>
      </w:pPr>
      <w:r>
        <w:rPr>
          <w:spacing w:val="-5"/>
        </w:rPr>
        <w:t>VI.</w:t>
      </w:r>
    </w:p>
    <w:p>
      <w:pPr>
        <w:pStyle w:val="Heading2"/>
        <w:spacing w:before="1"/>
        <w:ind w:left="3137"/>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14" w:hanging="284"/>
        <w:jc w:val="left"/>
        <w:rPr>
          <w:sz w:val="20"/>
        </w:rPr>
      </w:pPr>
      <w:r>
        <w:rPr>
          <w:sz w:val="20"/>
        </w:rPr>
        <w:t>Jednostranně je možno tuto Smlouvu vypovědět pouze za podmínek</w:t>
      </w:r>
      <w:r>
        <w:rPr>
          <w:spacing w:val="30"/>
          <w:sz w:val="20"/>
        </w:rPr>
        <w:t> </w:t>
      </w:r>
      <w:r>
        <w:rPr>
          <w:sz w:val="20"/>
        </w:rPr>
        <w:t>stanovených zákonem či touto</w:t>
      </w:r>
      <w:r>
        <w:rPr>
          <w:spacing w:val="80"/>
          <w:sz w:val="20"/>
        </w:rPr>
        <w:t> </w:t>
      </w:r>
      <w:r>
        <w:rPr>
          <w:spacing w:val="-2"/>
          <w:sz w:val="20"/>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18" w:after="0"/>
        <w:ind w:left="385" w:right="12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4"/>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7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2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right="3148"/>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383" w:right="396"/>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2024-02-14T11:52:48Z</dcterms:created>
  <dcterms:modified xsi:type="dcterms:W3CDTF">2024-02-14T11:52:48Z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2016</vt:lpwstr>
  </property>
  <property fmtid="{D5CDD505-2E9C-101B-9397-08002B2CF9AE}" pid="4" name="LastSaved">
    <vt:filetime>2024-02-14T00:00:00Z</vt:filetime>
  </property>
</Properties>
</file>