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EE305" w14:textId="77777777" w:rsidR="006E1E82" w:rsidRDefault="00AA7F87">
      <w:pPr>
        <w:pStyle w:val="Nadpis1"/>
        <w:rPr>
          <w:szCs w:val="32"/>
        </w:rPr>
      </w:pPr>
      <w:r>
        <w:rPr>
          <w:szCs w:val="32"/>
        </w:rPr>
        <w:t>Smlouva</w:t>
      </w:r>
    </w:p>
    <w:p w14:paraId="3BF7D9CF" w14:textId="32B0B97F" w:rsidR="006E1E82" w:rsidRDefault="00AA7F87">
      <w:pPr>
        <w:pStyle w:val="Zkladntext"/>
        <w:rPr>
          <w:sz w:val="28"/>
          <w:szCs w:val="28"/>
        </w:rPr>
      </w:pPr>
      <w:r>
        <w:rPr>
          <w:sz w:val="28"/>
          <w:szCs w:val="28"/>
        </w:rPr>
        <w:t xml:space="preserve">o poskytnutí finanční dotace v roce </w:t>
      </w:r>
      <w:r w:rsidR="00741366">
        <w:rPr>
          <w:sz w:val="28"/>
          <w:szCs w:val="28"/>
        </w:rPr>
        <w:t>2024</w:t>
      </w:r>
    </w:p>
    <w:p w14:paraId="2E6BAD5F" w14:textId="77777777" w:rsidR="006E1E82" w:rsidRDefault="006E1E82">
      <w:pPr>
        <w:pStyle w:val="Zkladntext"/>
        <w:rPr>
          <w:sz w:val="28"/>
          <w:szCs w:val="28"/>
        </w:rPr>
      </w:pPr>
    </w:p>
    <w:p w14:paraId="73E6EF33" w14:textId="77777777" w:rsidR="006E1E82" w:rsidRDefault="00AA7F87">
      <w:pPr>
        <w:pStyle w:val="Zkladntext"/>
        <w:jc w:val="both"/>
        <w:rPr>
          <w:b w:val="0"/>
          <w:sz w:val="22"/>
          <w:szCs w:val="22"/>
        </w:rPr>
      </w:pPr>
      <w:r>
        <w:rPr>
          <w:b w:val="0"/>
          <w:sz w:val="22"/>
          <w:szCs w:val="22"/>
        </w:rPr>
        <w:t>uzavřená podle § 10a zákona č. 250/2000 Sb., o rozpočtových pravidlech územních rozpočtů, ve znění pozdějších předpisů a podle § 159 a násl. zákona č. 500/2004 Sb., správní řád, ve znění pozdějších předpisů.</w:t>
      </w:r>
    </w:p>
    <w:p w14:paraId="7D73619F" w14:textId="77777777" w:rsidR="006E1E82" w:rsidRDefault="006E1E82">
      <w:pPr>
        <w:jc w:val="center"/>
        <w:rPr>
          <w:b/>
          <w:sz w:val="28"/>
          <w:szCs w:val="28"/>
        </w:rPr>
      </w:pPr>
    </w:p>
    <w:p w14:paraId="4E7518C2" w14:textId="77777777" w:rsidR="006E1E82" w:rsidRDefault="00AA7F87">
      <w:pPr>
        <w:ind w:left="-11"/>
        <w:jc w:val="center"/>
        <w:rPr>
          <w:b/>
          <w:sz w:val="24"/>
        </w:rPr>
      </w:pPr>
      <w:r>
        <w:rPr>
          <w:b/>
          <w:sz w:val="24"/>
        </w:rPr>
        <w:t xml:space="preserve">I.   </w:t>
      </w:r>
    </w:p>
    <w:p w14:paraId="7D439806" w14:textId="77777777" w:rsidR="006E1E82" w:rsidRDefault="00AA7F87">
      <w:pPr>
        <w:ind w:left="-11"/>
        <w:jc w:val="center"/>
        <w:rPr>
          <w:b/>
          <w:sz w:val="24"/>
        </w:rPr>
      </w:pPr>
      <w:r>
        <w:rPr>
          <w:b/>
          <w:sz w:val="24"/>
        </w:rPr>
        <w:t>SMLUVNÍ STRANY</w:t>
      </w:r>
    </w:p>
    <w:p w14:paraId="252C1E4F" w14:textId="77777777" w:rsidR="006E1E82" w:rsidRDefault="006E1E82">
      <w:pPr>
        <w:rPr>
          <w:b/>
          <w:sz w:val="24"/>
        </w:rPr>
      </w:pPr>
    </w:p>
    <w:p w14:paraId="2893878E" w14:textId="77777777" w:rsidR="006E1E82" w:rsidRDefault="00AA7F87">
      <w:pPr>
        <w:jc w:val="both"/>
        <w:rPr>
          <w:b/>
          <w:sz w:val="22"/>
        </w:rPr>
      </w:pPr>
      <w:r>
        <w:rPr>
          <w:b/>
          <w:sz w:val="22"/>
        </w:rPr>
        <w:t xml:space="preserve"> 1. Město Česká Třebová                            </w:t>
      </w:r>
    </w:p>
    <w:p w14:paraId="3EC417AC" w14:textId="2D5840F6" w:rsidR="006E1E82" w:rsidRPr="00DB7DA3" w:rsidRDefault="00AA7F87">
      <w:pPr>
        <w:jc w:val="both"/>
        <w:rPr>
          <w:color w:val="FF0000"/>
        </w:rPr>
      </w:pPr>
      <w:r>
        <w:t xml:space="preserve">        zastoupené </w:t>
      </w:r>
      <w:r w:rsidR="00DB7DA3" w:rsidRPr="004F52D6">
        <w:t>panem Zdeňkem Řehákem, starostou</w:t>
      </w:r>
    </w:p>
    <w:p w14:paraId="03CCE719" w14:textId="77777777" w:rsidR="006E1E82" w:rsidRDefault="00AA7F87">
      <w:pPr>
        <w:jc w:val="both"/>
      </w:pPr>
      <w:r>
        <w:t xml:space="preserve">        </w:t>
      </w:r>
      <w:proofErr w:type="gramStart"/>
      <w:r>
        <w:t xml:space="preserve">sídlo:   </w:t>
      </w:r>
      <w:proofErr w:type="gramEnd"/>
      <w:r>
        <w:t xml:space="preserve">  Staré náměstí 78, 560 02 Česká Třebová</w:t>
      </w:r>
    </w:p>
    <w:p w14:paraId="66CA53BD" w14:textId="77777777" w:rsidR="006E1E82" w:rsidRDefault="00AA7F87">
      <w:pPr>
        <w:jc w:val="both"/>
      </w:pPr>
      <w:r>
        <w:t xml:space="preserve">        </w:t>
      </w:r>
      <w:proofErr w:type="gramStart"/>
      <w:r>
        <w:t xml:space="preserve">IČ:   </w:t>
      </w:r>
      <w:proofErr w:type="gramEnd"/>
      <w:r>
        <w:t xml:space="preserve">      00278653</w:t>
      </w:r>
    </w:p>
    <w:p w14:paraId="7AFB798F" w14:textId="77777777" w:rsidR="006E1E82" w:rsidRDefault="00AA7F87">
      <w:pPr>
        <w:jc w:val="both"/>
      </w:pPr>
      <w:r>
        <w:t xml:space="preserve">        č. </w:t>
      </w:r>
      <w:proofErr w:type="gramStart"/>
      <w:r>
        <w:t>účtu:  826611</w:t>
      </w:r>
      <w:proofErr w:type="gramEnd"/>
      <w:r>
        <w:t>/0100 u Komerční banky, a.s.</w:t>
      </w:r>
    </w:p>
    <w:p w14:paraId="1C73657A" w14:textId="77777777" w:rsidR="006E1E82" w:rsidRDefault="00AA7F87">
      <w:pPr>
        <w:jc w:val="both"/>
      </w:pPr>
      <w:r>
        <w:t xml:space="preserve">        </w:t>
      </w:r>
    </w:p>
    <w:p w14:paraId="1208BCFC" w14:textId="77777777" w:rsidR="006E1E82" w:rsidRDefault="00AA7F87">
      <w:pPr>
        <w:ind w:firstLine="426"/>
        <w:jc w:val="both"/>
      </w:pPr>
      <w:r>
        <w:t>dále jen „</w:t>
      </w:r>
      <w:r>
        <w:rPr>
          <w:b/>
        </w:rPr>
        <w:t>poskytovatel</w:t>
      </w:r>
      <w:r>
        <w:t>“</w:t>
      </w:r>
      <w:r>
        <w:tab/>
      </w:r>
    </w:p>
    <w:p w14:paraId="7446C3D8" w14:textId="77777777" w:rsidR="006E1E82" w:rsidRDefault="00AA7F87">
      <w:pPr>
        <w:jc w:val="both"/>
        <w:rPr>
          <w:sz w:val="22"/>
          <w:szCs w:val="22"/>
        </w:rPr>
      </w:pPr>
      <w:r>
        <w:rPr>
          <w:sz w:val="22"/>
          <w:szCs w:val="22"/>
        </w:rPr>
        <w:t>a</w:t>
      </w:r>
    </w:p>
    <w:p w14:paraId="59D42D6D" w14:textId="77777777" w:rsidR="006E1E82" w:rsidRDefault="006E1E82">
      <w:pPr>
        <w:jc w:val="both"/>
      </w:pPr>
    </w:p>
    <w:p w14:paraId="6C4BD8D3" w14:textId="77777777" w:rsidR="008B03B5" w:rsidRDefault="008B03B5" w:rsidP="008B03B5">
      <w:pPr>
        <w:jc w:val="both"/>
        <w:rPr>
          <w:b/>
          <w:sz w:val="22"/>
        </w:rPr>
      </w:pPr>
      <w:r w:rsidRPr="0067479F">
        <w:rPr>
          <w:b/>
          <w:sz w:val="22"/>
          <w:szCs w:val="22"/>
        </w:rPr>
        <w:t>2</w:t>
      </w:r>
      <w:r>
        <w:t>.</w:t>
      </w:r>
      <w:r>
        <w:rPr>
          <w:b/>
          <w:sz w:val="22"/>
        </w:rPr>
        <w:t xml:space="preserve"> Pro vás od nás, </w:t>
      </w:r>
      <w:r w:rsidRPr="00944D87">
        <w:rPr>
          <w:b/>
          <w:sz w:val="22"/>
        </w:rPr>
        <w:t>z. s.</w:t>
      </w:r>
    </w:p>
    <w:p w14:paraId="34CA01A7" w14:textId="77777777" w:rsidR="008B03B5" w:rsidRDefault="008B03B5" w:rsidP="008B03B5">
      <w:pPr>
        <w:tabs>
          <w:tab w:val="left" w:pos="360"/>
        </w:tabs>
        <w:ind w:firstLine="425"/>
        <w:jc w:val="both"/>
      </w:pPr>
      <w:r>
        <w:t>zastoupený panem Tomášem Kupkou, předsedou</w:t>
      </w:r>
    </w:p>
    <w:p w14:paraId="44AE25D4" w14:textId="77777777" w:rsidR="008B03B5" w:rsidRDefault="008B03B5" w:rsidP="008B03B5">
      <w:pPr>
        <w:tabs>
          <w:tab w:val="left" w:pos="360"/>
        </w:tabs>
        <w:ind w:firstLine="425"/>
        <w:jc w:val="both"/>
      </w:pPr>
      <w:r>
        <w:t>sídlo: Farská 2107, 560 02 Česká Třebová</w:t>
      </w:r>
    </w:p>
    <w:p w14:paraId="67EE1EC3" w14:textId="77777777" w:rsidR="008B03B5" w:rsidRDefault="008B03B5" w:rsidP="008B03B5">
      <w:pPr>
        <w:tabs>
          <w:tab w:val="left" w:pos="360"/>
        </w:tabs>
        <w:ind w:firstLine="425"/>
        <w:jc w:val="both"/>
      </w:pPr>
      <w:r>
        <w:t>IČ: 11823976</w:t>
      </w:r>
    </w:p>
    <w:p w14:paraId="351F1C7F" w14:textId="77777777" w:rsidR="008B03B5" w:rsidRPr="001273C6" w:rsidRDefault="008B03B5" w:rsidP="008B03B5">
      <w:pPr>
        <w:tabs>
          <w:tab w:val="left" w:pos="360"/>
          <w:tab w:val="left" w:pos="1980"/>
        </w:tabs>
        <w:ind w:firstLine="425"/>
        <w:jc w:val="both"/>
      </w:pPr>
      <w:r w:rsidRPr="001273C6">
        <w:t>č. účtu: 5938715309/0800</w:t>
      </w:r>
      <w:r w:rsidRPr="001273C6">
        <w:tab/>
      </w:r>
      <w:r w:rsidRPr="001273C6">
        <w:tab/>
      </w:r>
    </w:p>
    <w:p w14:paraId="0594FF12" w14:textId="77777777" w:rsidR="008B03B5" w:rsidRDefault="008B03B5" w:rsidP="008B03B5">
      <w:pPr>
        <w:jc w:val="both"/>
      </w:pPr>
    </w:p>
    <w:p w14:paraId="4009FB3A" w14:textId="77777777" w:rsidR="008B03B5" w:rsidRDefault="008B03B5" w:rsidP="008B03B5">
      <w:pPr>
        <w:jc w:val="both"/>
      </w:pPr>
      <w:r>
        <w:t xml:space="preserve">        dále </w:t>
      </w:r>
      <w:proofErr w:type="gramStart"/>
      <w:r>
        <w:t>jen  „</w:t>
      </w:r>
      <w:proofErr w:type="gramEnd"/>
      <w:r w:rsidRPr="00CC0974">
        <w:rPr>
          <w:b/>
        </w:rPr>
        <w:t>příjemce</w:t>
      </w:r>
      <w:r>
        <w:t>“</w:t>
      </w:r>
    </w:p>
    <w:p w14:paraId="49BA94C2" w14:textId="77777777" w:rsidR="006E1E82" w:rsidRDefault="006E1E82">
      <w:pPr>
        <w:pStyle w:val="Zkladntext2"/>
        <w:rPr>
          <w:color w:val="70AD47" w:themeColor="accent6"/>
        </w:rPr>
      </w:pPr>
    </w:p>
    <w:p w14:paraId="15E9B32A" w14:textId="77777777" w:rsidR="006E1E82" w:rsidRDefault="00AA7F87">
      <w:pPr>
        <w:jc w:val="center"/>
        <w:rPr>
          <w:b/>
          <w:sz w:val="24"/>
        </w:rPr>
      </w:pPr>
      <w:r>
        <w:rPr>
          <w:b/>
          <w:sz w:val="24"/>
        </w:rPr>
        <w:t>II.</w:t>
      </w:r>
    </w:p>
    <w:p w14:paraId="418B202F" w14:textId="77777777" w:rsidR="006E1E82" w:rsidRDefault="00AA7F87">
      <w:pPr>
        <w:jc w:val="center"/>
        <w:rPr>
          <w:b/>
          <w:sz w:val="24"/>
        </w:rPr>
      </w:pPr>
      <w:r>
        <w:rPr>
          <w:b/>
          <w:sz w:val="24"/>
        </w:rPr>
        <w:t xml:space="preserve"> PŘEDMĚT SMLOUVY</w:t>
      </w:r>
    </w:p>
    <w:p w14:paraId="115E8152" w14:textId="77777777" w:rsidR="006E1E82" w:rsidRDefault="006E1E82">
      <w:pPr>
        <w:rPr>
          <w:sz w:val="24"/>
          <w:szCs w:val="24"/>
        </w:rPr>
      </w:pPr>
    </w:p>
    <w:p w14:paraId="7193DCE2" w14:textId="77777777" w:rsidR="006E1E82" w:rsidRPr="00C8222C" w:rsidRDefault="00AA7F87">
      <w:pPr>
        <w:pStyle w:val="Zkladntext2"/>
        <w:numPr>
          <w:ilvl w:val="0"/>
          <w:numId w:val="1"/>
        </w:numPr>
        <w:tabs>
          <w:tab w:val="left" w:pos="426"/>
        </w:tabs>
        <w:ind w:left="426" w:hanging="426"/>
      </w:pPr>
      <w:r w:rsidRPr="00C8222C">
        <w:t>Předmětem této smlouvy, v souladu se zákonem č. 128/2000 sb. o obcích (obecní zřízení), ve znění pozdějších předpisů, zákonem č. 250/2000 Sb., o rozpočtových pravidlech územních rozpočtů, ve znění pozdějších předpisů (dále jen „zákon č. 250/2000 Sb.“), je účelové poskytnutí neinvestiční dotace z rozpočtových prostředků města Česká Třebová.</w:t>
      </w:r>
    </w:p>
    <w:p w14:paraId="508DCFD9" w14:textId="77777777" w:rsidR="006E1E82" w:rsidRPr="00C8222C" w:rsidRDefault="006E1E82">
      <w:pPr>
        <w:pStyle w:val="Zkladntext2"/>
        <w:ind w:left="426"/>
      </w:pPr>
    </w:p>
    <w:p w14:paraId="6B6B9A83" w14:textId="77777777" w:rsidR="006E1E82" w:rsidRPr="00C8222C" w:rsidRDefault="00AA7F87">
      <w:pPr>
        <w:pStyle w:val="Zkladntext2"/>
        <w:numPr>
          <w:ilvl w:val="0"/>
          <w:numId w:val="1"/>
        </w:numPr>
        <w:tabs>
          <w:tab w:val="left" w:pos="426"/>
        </w:tabs>
        <w:ind w:left="426" w:hanging="426"/>
      </w:pPr>
      <w:r w:rsidRPr="00C8222C">
        <w:t>Dotace je ve smyslu zákona č. 320/2001 Sb., o finanční kontrole ve veřejné správě a o změně některých zákonů (zákon o finanční kontrole), ve znění pozdějších předpisů (dále jen „zákon o finanční kontrole“) veřejnou finanční podporou a vztahují se na ni ustanovení tohoto zákona.</w:t>
      </w:r>
    </w:p>
    <w:p w14:paraId="1A1375E6" w14:textId="77777777" w:rsidR="006E1E82" w:rsidRDefault="006E1E82">
      <w:pPr>
        <w:rPr>
          <w:b/>
          <w:sz w:val="24"/>
          <w:szCs w:val="24"/>
        </w:rPr>
      </w:pPr>
    </w:p>
    <w:p w14:paraId="779EB804" w14:textId="77777777" w:rsidR="006E1E82" w:rsidRDefault="00AA7F87">
      <w:pPr>
        <w:jc w:val="center"/>
        <w:rPr>
          <w:b/>
          <w:sz w:val="24"/>
          <w:szCs w:val="24"/>
        </w:rPr>
      </w:pPr>
      <w:r>
        <w:rPr>
          <w:b/>
          <w:sz w:val="24"/>
          <w:szCs w:val="24"/>
        </w:rPr>
        <w:t>III.</w:t>
      </w:r>
    </w:p>
    <w:p w14:paraId="1F066BE3" w14:textId="77777777" w:rsidR="006E1E82" w:rsidRDefault="00AA7F87">
      <w:pPr>
        <w:jc w:val="center"/>
        <w:rPr>
          <w:b/>
          <w:sz w:val="24"/>
          <w:szCs w:val="24"/>
        </w:rPr>
      </w:pPr>
      <w:r>
        <w:rPr>
          <w:b/>
          <w:sz w:val="24"/>
          <w:szCs w:val="24"/>
        </w:rPr>
        <w:t>ÚČELOVÉ URČENÍ, VÝŠE DOTACE A DOBA, V NÍŽ MÁ BÝT DOSAŽENO ÚČELU</w:t>
      </w:r>
    </w:p>
    <w:p w14:paraId="5465B5CF" w14:textId="77777777" w:rsidR="006E1E82" w:rsidRDefault="006E1E82">
      <w:pPr>
        <w:jc w:val="center"/>
        <w:rPr>
          <w:b/>
          <w:sz w:val="24"/>
          <w:szCs w:val="24"/>
        </w:rPr>
      </w:pPr>
    </w:p>
    <w:p w14:paraId="5CFCB7F0" w14:textId="77777777" w:rsidR="006E1E82" w:rsidRDefault="00AA7F87">
      <w:pPr>
        <w:pStyle w:val="Zkladntext2"/>
        <w:numPr>
          <w:ilvl w:val="0"/>
          <w:numId w:val="2"/>
        </w:numPr>
        <w:tabs>
          <w:tab w:val="left" w:pos="426"/>
        </w:tabs>
        <w:ind w:left="426" w:hanging="426"/>
      </w:pPr>
      <w:r>
        <w:t>Poskytovatel podle této smlouvy poskytne příjemci neinvestiční</w:t>
      </w:r>
      <w:r>
        <w:rPr>
          <w:iCs/>
        </w:rPr>
        <w:t xml:space="preserve"> </w:t>
      </w:r>
      <w:r>
        <w:t xml:space="preserve">dotaci, účelově určenou k úhradě skutečně vynaložených uznatelných nákladů vymezených v čl. V. této smlouvy. </w:t>
      </w:r>
    </w:p>
    <w:p w14:paraId="6629680C" w14:textId="77777777" w:rsidR="006E1E82" w:rsidRDefault="006E1E82">
      <w:pPr>
        <w:pStyle w:val="Zkladntext2"/>
        <w:jc w:val="center"/>
      </w:pPr>
    </w:p>
    <w:p w14:paraId="5D8989D8" w14:textId="47885C10" w:rsidR="006E1E82" w:rsidRDefault="00AA7F87">
      <w:pPr>
        <w:pStyle w:val="Zkladntext2"/>
        <w:numPr>
          <w:ilvl w:val="0"/>
          <w:numId w:val="2"/>
        </w:numPr>
        <w:tabs>
          <w:tab w:val="left" w:pos="426"/>
        </w:tabs>
        <w:ind w:left="426" w:hanging="426"/>
      </w:pPr>
      <w:r>
        <w:t xml:space="preserve">Dotace se poskytne ve výši </w:t>
      </w:r>
      <w:r w:rsidR="008B03B5" w:rsidRPr="008C5366">
        <w:t>1</w:t>
      </w:r>
      <w:r w:rsidR="00522103" w:rsidRPr="008C5366">
        <w:t>0</w:t>
      </w:r>
      <w:r w:rsidR="008B03B5" w:rsidRPr="008C5366">
        <w:t>0</w:t>
      </w:r>
      <w:r w:rsidRPr="008C5366">
        <w:t xml:space="preserve"> 000 </w:t>
      </w:r>
      <w:r w:rsidRPr="004F52D6">
        <w:t xml:space="preserve">Kč slovy: </w:t>
      </w:r>
      <w:r w:rsidR="0052796C" w:rsidRPr="004F52D6">
        <w:t xml:space="preserve">jedno </w:t>
      </w:r>
      <w:r w:rsidR="008B03B5" w:rsidRPr="004F52D6">
        <w:t xml:space="preserve">sto </w:t>
      </w:r>
      <w:r w:rsidRPr="004F52D6">
        <w:t xml:space="preserve">tisíc korun českých, </w:t>
      </w:r>
      <w:r>
        <w:t xml:space="preserve">za účelem podpory realizace </w:t>
      </w:r>
      <w:r w:rsidR="008B03B5">
        <w:t xml:space="preserve">hudebního festivalu </w:t>
      </w:r>
      <w:r>
        <w:t>„</w:t>
      </w:r>
      <w:r w:rsidR="008B03B5">
        <w:t>Dozvuky léta</w:t>
      </w:r>
      <w:r>
        <w:t>“, a to zejména na:</w:t>
      </w:r>
    </w:p>
    <w:p w14:paraId="007A1C7B" w14:textId="77777777" w:rsidR="006E1E82" w:rsidRDefault="006E1E82">
      <w:pPr>
        <w:pStyle w:val="Zkladntext2"/>
        <w:ind w:left="1070"/>
      </w:pPr>
    </w:p>
    <w:p w14:paraId="67A35B92" w14:textId="28A36A36" w:rsidR="006E1E82" w:rsidRDefault="008B03B5">
      <w:pPr>
        <w:pStyle w:val="Zkladntext2"/>
        <w:numPr>
          <w:ilvl w:val="2"/>
          <w:numId w:val="2"/>
        </w:numPr>
      </w:pPr>
      <w:r>
        <w:t>pronájem prostor,</w:t>
      </w:r>
    </w:p>
    <w:p w14:paraId="00FCD56C" w14:textId="3163CBC6" w:rsidR="006E1E82" w:rsidRDefault="00AA7F87">
      <w:pPr>
        <w:pStyle w:val="Zkladntext2"/>
        <w:numPr>
          <w:ilvl w:val="2"/>
          <w:numId w:val="2"/>
        </w:numPr>
      </w:pPr>
      <w:r>
        <w:t xml:space="preserve">odměny pro </w:t>
      </w:r>
      <w:r w:rsidR="008B03B5">
        <w:t xml:space="preserve">vystupující, </w:t>
      </w:r>
    </w:p>
    <w:p w14:paraId="5C8D2599" w14:textId="5FF89B2B" w:rsidR="003F2714" w:rsidRDefault="003F2714">
      <w:pPr>
        <w:pStyle w:val="Zkladntext2"/>
        <w:numPr>
          <w:ilvl w:val="2"/>
          <w:numId w:val="2"/>
        </w:numPr>
      </w:pPr>
      <w:r>
        <w:t>ozvučení,</w:t>
      </w:r>
    </w:p>
    <w:p w14:paraId="194CAAEA" w14:textId="66953E65" w:rsidR="006E1E82" w:rsidRDefault="00AA7F87">
      <w:pPr>
        <w:pStyle w:val="Zkladntext2"/>
        <w:numPr>
          <w:ilvl w:val="2"/>
          <w:numId w:val="2"/>
        </w:numPr>
      </w:pPr>
      <w:r>
        <w:t>propagac</w:t>
      </w:r>
      <w:r w:rsidR="008B03B5">
        <w:t>i</w:t>
      </w:r>
      <w:r>
        <w:t xml:space="preserve">, </w:t>
      </w:r>
      <w:r w:rsidR="008B03B5">
        <w:t>materiální, technické a personální zabezpečení akce.</w:t>
      </w:r>
    </w:p>
    <w:p w14:paraId="2D458908" w14:textId="77777777" w:rsidR="006E1E82" w:rsidRDefault="006E1E82">
      <w:pPr>
        <w:pStyle w:val="Zkladntext2"/>
        <w:ind w:left="1496"/>
      </w:pPr>
    </w:p>
    <w:p w14:paraId="5FA6D052" w14:textId="3177F651" w:rsidR="006E1E82" w:rsidRPr="008C5366" w:rsidRDefault="00AA7F87">
      <w:pPr>
        <w:pStyle w:val="Zkladntext2"/>
        <w:numPr>
          <w:ilvl w:val="0"/>
          <w:numId w:val="2"/>
        </w:numPr>
        <w:tabs>
          <w:tab w:val="left" w:pos="426"/>
        </w:tabs>
        <w:ind w:left="426" w:hanging="426"/>
      </w:pPr>
      <w:r>
        <w:t>Doba, v níž má být dosaženo</w:t>
      </w:r>
      <w:r w:rsidR="008F604C">
        <w:t xml:space="preserve"> stanoveného</w:t>
      </w:r>
      <w:r>
        <w:t xml:space="preserve"> účelu dotace </w:t>
      </w:r>
      <w:r w:rsidRPr="00C50F16">
        <w:t>je</w:t>
      </w:r>
      <w:r w:rsidR="008F604C">
        <w:t xml:space="preserve"> srpen až září </w:t>
      </w:r>
      <w:r w:rsidR="008F604C" w:rsidRPr="008C5366">
        <w:t>2024</w:t>
      </w:r>
      <w:r w:rsidRPr="008C5366">
        <w:t>.</w:t>
      </w:r>
    </w:p>
    <w:p w14:paraId="1D92C085" w14:textId="54A5BDC6" w:rsidR="006E1E82" w:rsidRDefault="006E1E82">
      <w:pPr>
        <w:pStyle w:val="Zkladntext2"/>
      </w:pPr>
    </w:p>
    <w:p w14:paraId="756E4A44" w14:textId="77777777" w:rsidR="008B03B5" w:rsidRDefault="008B03B5">
      <w:pPr>
        <w:pStyle w:val="Zkladntext2"/>
      </w:pPr>
    </w:p>
    <w:p w14:paraId="21F062EB" w14:textId="77777777" w:rsidR="006E1E82" w:rsidRDefault="00AA7F87">
      <w:pPr>
        <w:jc w:val="center"/>
        <w:rPr>
          <w:b/>
          <w:sz w:val="24"/>
          <w:szCs w:val="24"/>
        </w:rPr>
      </w:pPr>
      <w:r>
        <w:rPr>
          <w:b/>
          <w:sz w:val="24"/>
          <w:szCs w:val="24"/>
        </w:rPr>
        <w:t>IV.</w:t>
      </w:r>
    </w:p>
    <w:p w14:paraId="1E0F987B" w14:textId="77777777" w:rsidR="006E1E82" w:rsidRDefault="00AA7F87">
      <w:pPr>
        <w:jc w:val="center"/>
        <w:rPr>
          <w:b/>
          <w:sz w:val="24"/>
          <w:szCs w:val="24"/>
        </w:rPr>
      </w:pPr>
      <w:r>
        <w:rPr>
          <w:b/>
          <w:sz w:val="24"/>
          <w:szCs w:val="24"/>
        </w:rPr>
        <w:t>ZÁVAZKY SMLUVNÍCH STRAN</w:t>
      </w:r>
    </w:p>
    <w:p w14:paraId="5759689F" w14:textId="77777777" w:rsidR="006E1E82" w:rsidRDefault="006E1E82">
      <w:pPr>
        <w:rPr>
          <w:sz w:val="24"/>
          <w:szCs w:val="24"/>
        </w:rPr>
      </w:pPr>
    </w:p>
    <w:p w14:paraId="1C0F6F9C" w14:textId="77777777" w:rsidR="006E1E82" w:rsidRDefault="00AA7F87">
      <w:pPr>
        <w:numPr>
          <w:ilvl w:val="0"/>
          <w:numId w:val="3"/>
        </w:numPr>
        <w:tabs>
          <w:tab w:val="left" w:pos="426"/>
        </w:tabs>
        <w:ind w:left="426" w:hanging="426"/>
        <w:jc w:val="both"/>
      </w:pPr>
      <w:r>
        <w:t xml:space="preserve">Poskytovatel se zavazuje poskytnout příjemci dotaci převodem na účet příjemce uvedený v čl. I této smlouvy, a to do 14 dnů po podpisu této smlouvy. </w:t>
      </w:r>
    </w:p>
    <w:p w14:paraId="173970F7" w14:textId="77777777" w:rsidR="006E1E82" w:rsidRDefault="006E1E82">
      <w:pPr>
        <w:jc w:val="both"/>
      </w:pPr>
    </w:p>
    <w:p w14:paraId="11AF7D8A" w14:textId="77777777" w:rsidR="006E1E82" w:rsidRDefault="00AA7F87">
      <w:pPr>
        <w:numPr>
          <w:ilvl w:val="0"/>
          <w:numId w:val="3"/>
        </w:numPr>
        <w:tabs>
          <w:tab w:val="left" w:pos="426"/>
        </w:tabs>
        <w:ind w:hanging="1070"/>
        <w:jc w:val="both"/>
      </w:pPr>
      <w:r>
        <w:t>Příjemce se zavazuje:</w:t>
      </w:r>
    </w:p>
    <w:p w14:paraId="146FC764" w14:textId="77777777" w:rsidR="006E1E82" w:rsidRDefault="00AA7F87">
      <w:pPr>
        <w:numPr>
          <w:ilvl w:val="1"/>
          <w:numId w:val="4"/>
        </w:numPr>
        <w:tabs>
          <w:tab w:val="left" w:pos="720"/>
        </w:tabs>
        <w:spacing w:before="60"/>
        <w:ind w:left="714" w:hanging="288"/>
        <w:jc w:val="both"/>
      </w:pPr>
      <w:r>
        <w:t>řídit se při použití a finančním vypořádání poskytnuté dotace touto smlouvou,</w:t>
      </w:r>
    </w:p>
    <w:p w14:paraId="1F40F9E8" w14:textId="3A9D5E41" w:rsidR="006E1E82" w:rsidRDefault="00AA7F87">
      <w:pPr>
        <w:numPr>
          <w:ilvl w:val="1"/>
          <w:numId w:val="4"/>
        </w:numPr>
        <w:tabs>
          <w:tab w:val="left" w:pos="720"/>
        </w:tabs>
        <w:spacing w:before="60"/>
        <w:ind w:left="714" w:hanging="288"/>
        <w:jc w:val="both"/>
      </w:pPr>
      <w:r>
        <w:t>použít poskytnutou dotaci výhradně v souladu s předmětem této smlouvy a účelovým určením dotace dle čl. III</w:t>
      </w:r>
      <w:r w:rsidR="00741366">
        <w:t xml:space="preserve"> </w:t>
      </w:r>
      <w:r>
        <w:t>této smlouvy,</w:t>
      </w:r>
    </w:p>
    <w:p w14:paraId="1AC00410" w14:textId="77777777" w:rsidR="006E1E82" w:rsidRDefault="00AA7F87">
      <w:pPr>
        <w:numPr>
          <w:ilvl w:val="1"/>
          <w:numId w:val="4"/>
        </w:numPr>
        <w:tabs>
          <w:tab w:val="left" w:pos="720"/>
        </w:tabs>
        <w:spacing w:before="60"/>
        <w:ind w:left="714" w:hanging="288"/>
        <w:jc w:val="both"/>
      </w:pPr>
      <w:r>
        <w:t xml:space="preserve">vést řádnou a oddělenou evidenci čerpání dotace </w:t>
      </w:r>
      <w:r w:rsidRPr="00C8222C">
        <w:t>ve svém účetnictví nebo jiné předepsané evidenci v souladu se zákonem č. 563/1991 Sb., o účetnictví, ve znění pozdějších předpisů,</w:t>
      </w:r>
    </w:p>
    <w:p w14:paraId="536897ED" w14:textId="77777777" w:rsidR="006E1E82" w:rsidRDefault="00AA7F87">
      <w:pPr>
        <w:numPr>
          <w:ilvl w:val="1"/>
          <w:numId w:val="4"/>
        </w:numPr>
        <w:tabs>
          <w:tab w:val="left" w:pos="720"/>
        </w:tabs>
        <w:spacing w:before="60"/>
        <w:ind w:left="714" w:hanging="288"/>
        <w:jc w:val="both"/>
      </w:pPr>
      <w:r>
        <w:t>při financování nákladů spojených s </w:t>
      </w:r>
      <w:r>
        <w:rPr>
          <w:color w:val="000000"/>
        </w:rPr>
        <w:t>činností</w:t>
      </w:r>
      <w:r>
        <w:t xml:space="preserve"> postupovat v souladu s platným zákonem o veřejných zakázkách,</w:t>
      </w:r>
    </w:p>
    <w:p w14:paraId="6E994F30" w14:textId="77777777" w:rsidR="006E1E82" w:rsidRDefault="00AA7F87">
      <w:pPr>
        <w:numPr>
          <w:ilvl w:val="1"/>
          <w:numId w:val="4"/>
        </w:numPr>
        <w:tabs>
          <w:tab w:val="left" w:pos="720"/>
        </w:tabs>
        <w:spacing w:before="60"/>
        <w:ind w:left="714" w:hanging="288"/>
        <w:jc w:val="both"/>
      </w:pPr>
      <w:r>
        <w:t>na požádání umožnit poskytovateli nahlédnutí do všech účetních dokladů týkajících se poskytnuté dotace,</w:t>
      </w:r>
    </w:p>
    <w:p w14:paraId="0A7FDA74" w14:textId="77777777" w:rsidR="006E1E82" w:rsidRDefault="00AA7F87">
      <w:pPr>
        <w:numPr>
          <w:ilvl w:val="1"/>
          <w:numId w:val="4"/>
        </w:numPr>
        <w:tabs>
          <w:tab w:val="left" w:pos="720"/>
        </w:tabs>
        <w:spacing w:before="60"/>
        <w:ind w:left="714" w:hanging="288"/>
        <w:jc w:val="both"/>
      </w:pPr>
      <w:r>
        <w:t>předložit poskytovateli na předepsaných formulářích závěrečné finanční vypořádání poskytnutých finančních prostředků včetně:</w:t>
      </w:r>
    </w:p>
    <w:p w14:paraId="65EC4AE9" w14:textId="77777777" w:rsidR="006E1E82" w:rsidRDefault="00AA7F87">
      <w:pPr>
        <w:numPr>
          <w:ilvl w:val="0"/>
          <w:numId w:val="5"/>
        </w:numPr>
        <w:tabs>
          <w:tab w:val="left" w:pos="1080"/>
        </w:tabs>
        <w:ind w:left="1080"/>
        <w:jc w:val="both"/>
      </w:pPr>
      <w:r>
        <w:t>seznamu účetních dokladů vztahujících se k poskytnuté dotaci včetně uvedení obsahu jednotlivých účetních dokladů</w:t>
      </w:r>
      <w:r>
        <w:rPr>
          <w:color w:val="FF0000"/>
        </w:rPr>
        <w:t xml:space="preserve"> </w:t>
      </w:r>
      <w:r w:rsidRPr="00C8222C">
        <w:t>a soupisu celkových příjmů souvisejících s realizací projektu.</w:t>
      </w:r>
    </w:p>
    <w:p w14:paraId="3502C462" w14:textId="77777777" w:rsidR="006E1E82" w:rsidRDefault="00AA7F87">
      <w:pPr>
        <w:numPr>
          <w:ilvl w:val="0"/>
          <w:numId w:val="5"/>
        </w:numPr>
        <w:tabs>
          <w:tab w:val="left" w:pos="1080"/>
        </w:tabs>
        <w:ind w:left="1080"/>
        <w:jc w:val="both"/>
      </w:pPr>
      <w:r>
        <w:t>kopií účetních dokladů týkajících se dotace a dokladů o jejich úhradě,</w:t>
      </w:r>
    </w:p>
    <w:p w14:paraId="4634A11E" w14:textId="32075C7F" w:rsidR="006E1E82" w:rsidRDefault="00AA7F87">
      <w:pPr>
        <w:ind w:left="720"/>
        <w:jc w:val="both"/>
      </w:pPr>
      <w:r>
        <w:t xml:space="preserve">a to </w:t>
      </w:r>
      <w:r>
        <w:rPr>
          <w:b/>
        </w:rPr>
        <w:t xml:space="preserve">nejpozději </w:t>
      </w:r>
      <w:r w:rsidRPr="009D5D27">
        <w:rPr>
          <w:b/>
        </w:rPr>
        <w:t xml:space="preserve">do </w:t>
      </w:r>
      <w:r w:rsidR="009D5D27" w:rsidRPr="009D5D27">
        <w:rPr>
          <w:b/>
        </w:rPr>
        <w:t>30</w:t>
      </w:r>
      <w:r w:rsidRPr="009D5D27">
        <w:rPr>
          <w:b/>
        </w:rPr>
        <w:t>.</w:t>
      </w:r>
      <w:r w:rsidR="009D5D27" w:rsidRPr="009D5D27">
        <w:rPr>
          <w:b/>
        </w:rPr>
        <w:t>1</w:t>
      </w:r>
      <w:r w:rsidR="00E548B5" w:rsidRPr="009D5D27">
        <w:rPr>
          <w:b/>
        </w:rPr>
        <w:t>1</w:t>
      </w:r>
      <w:r w:rsidRPr="009D5D27">
        <w:rPr>
          <w:b/>
        </w:rPr>
        <w:t>.</w:t>
      </w:r>
      <w:r w:rsidR="00741366">
        <w:rPr>
          <w:b/>
        </w:rPr>
        <w:t>2024</w:t>
      </w:r>
      <w:r w:rsidRPr="008C5366">
        <w:t xml:space="preserve">. </w:t>
      </w:r>
      <w:r w:rsidRPr="00C8222C">
        <w:t>Závěrečné finanční vypořádání se považuje za předložené dnem jeho doručení poskytovateli. Součástí finančního vypořádání je seznam úč</w:t>
      </w:r>
      <w:r w:rsidR="00365CFA">
        <w:t>etních dokladů vztahujících se k </w:t>
      </w:r>
      <w:r w:rsidRPr="00C8222C">
        <w:t xml:space="preserve">uznatelným nákladům poskytnuté dotace včetně uvedení obsahu jednotlivých účetních dokladů. </w:t>
      </w:r>
      <w:r>
        <w:t>Přílohu finančního vypořádání tvoří kopie účetních dokladů týkajících se poskytnuté dotace včetně dokladů o jejich úhradě. Příjemce dotace je povinen prvotní doklad prokazující použití dotace viditelně označit uvedením „financováno z rozpočtových prostředků města Česká Třebová a číslo smlouvy poskytnuté dotace“. Příjemce uvede toto označení zejména na originálech výdajových pokladních dokladů a dále pak na originále faktur, paragonů a smluv;</w:t>
      </w:r>
    </w:p>
    <w:p w14:paraId="6C15DA9B" w14:textId="59EB067C" w:rsidR="006E1E82" w:rsidRDefault="00AA7F87">
      <w:pPr>
        <w:numPr>
          <w:ilvl w:val="1"/>
          <w:numId w:val="4"/>
        </w:numPr>
        <w:tabs>
          <w:tab w:val="left" w:pos="720"/>
        </w:tabs>
        <w:spacing w:before="60"/>
        <w:ind w:left="714" w:hanging="288"/>
        <w:jc w:val="both"/>
      </w:pPr>
      <w:r w:rsidRPr="00C8222C">
        <w:t xml:space="preserve">vrátit nevyčerpané finanční prostředky poskytnuté dotace, jsou-li vyšší než Kč </w:t>
      </w:r>
      <w:proofErr w:type="gramStart"/>
      <w:r w:rsidRPr="00C8222C">
        <w:t>10,—</w:t>
      </w:r>
      <w:proofErr w:type="gramEnd"/>
      <w:r w:rsidRPr="00C8222C">
        <w:t xml:space="preserve">, </w:t>
      </w:r>
      <w:r>
        <w:t>zpět na účet poskytovatele, a to do 7 kalendářních dnů ode dne předložení závěrečného finančního vypořádání, nejpozději však do 7 kalendářních dnů od termínu stanoveného pro předložení závěrečného finančního vypořádání. Rozhodným okamžikem vrácení nevyčerpaných finančních prostředků dotace zpět na účet poskytovatele je den jejich připsání na účet poskytovatele. Číslo účtu, var</w:t>
      </w:r>
      <w:r w:rsidR="00C00E64">
        <w:t>iabilní a specifický symbol, na </w:t>
      </w:r>
      <w:r>
        <w:t xml:space="preserve">který mají být nevyčerpané finanční prostředky vráceny, </w:t>
      </w:r>
      <w:r w:rsidR="00694BA2">
        <w:t>sdělí příjemci odbor rozvoje, majetku města a školství, oddělení majetku a školství</w:t>
      </w:r>
      <w:r>
        <w:t>;</w:t>
      </w:r>
    </w:p>
    <w:p w14:paraId="1D705CEE" w14:textId="77777777" w:rsidR="006E1E82" w:rsidRDefault="00AA7F87">
      <w:pPr>
        <w:numPr>
          <w:ilvl w:val="1"/>
          <w:numId w:val="4"/>
        </w:numPr>
        <w:tabs>
          <w:tab w:val="left" w:pos="720"/>
        </w:tabs>
        <w:spacing w:before="60"/>
        <w:ind w:left="714" w:hanging="288"/>
        <w:jc w:val="both"/>
      </w:pPr>
      <w:r>
        <w:t>řádně v souladu s právními předpisy uschovat originály všech účetních dokladů vztahujících se k poskytnuté dotaci po dobu 10 let po obdržení dotace,</w:t>
      </w:r>
    </w:p>
    <w:p w14:paraId="7AA9CA3C" w14:textId="77777777" w:rsidR="006E1E82" w:rsidRDefault="00AA7F87">
      <w:pPr>
        <w:numPr>
          <w:ilvl w:val="1"/>
          <w:numId w:val="4"/>
        </w:numPr>
        <w:tabs>
          <w:tab w:val="left" w:pos="720"/>
        </w:tabs>
        <w:spacing w:before="60"/>
        <w:ind w:left="714" w:hanging="288"/>
        <w:jc w:val="both"/>
      </w:pPr>
      <w:r>
        <w:t>umožnit poskytovateli v souladu se zákonem o finanční kontrole řádné provedení průběžné a následné kontroly hospodaření s veřejnými prostředky z poskytnuté dotace, jejich použití dle účelového určení stanoveného touto smlouvou, provedení kontroly faktické realizace činnosti na místě a předložit při kontrole všechny potřebné účetní a jiné doklady,</w:t>
      </w:r>
    </w:p>
    <w:p w14:paraId="5EC04D57" w14:textId="77777777" w:rsidR="006E1E82" w:rsidRDefault="00AA7F87">
      <w:pPr>
        <w:numPr>
          <w:ilvl w:val="1"/>
          <w:numId w:val="4"/>
        </w:numPr>
        <w:tabs>
          <w:tab w:val="left" w:pos="720"/>
        </w:tabs>
        <w:spacing w:before="60"/>
        <w:ind w:left="714" w:hanging="288"/>
        <w:jc w:val="both"/>
      </w:pPr>
      <w:r>
        <w:t>nepřevést poskytnutou dotaci na jiný právní subjekt,</w:t>
      </w:r>
    </w:p>
    <w:p w14:paraId="1263F207" w14:textId="77777777" w:rsidR="006E1E82" w:rsidRDefault="00AA7F87">
      <w:pPr>
        <w:numPr>
          <w:ilvl w:val="1"/>
          <w:numId w:val="4"/>
        </w:numPr>
        <w:tabs>
          <w:tab w:val="left" w:pos="720"/>
        </w:tabs>
        <w:spacing w:before="60"/>
        <w:ind w:left="714" w:hanging="288"/>
        <w:jc w:val="both"/>
      </w:pPr>
      <w:r>
        <w:t>informovat neprodleně poskytovatele o všech změnách souvisejících s čerpáním poskytnuté dotace, identifikačními údaji příjemce uvedenými v této smlouvě a o změnách struktury příjemce včetně přeměny, nejpozději do 10 dnů ode dne, kdy tyto změny nastaly. V případě změny účtu je příjemce povinen rovněž doložit vlastnictví k účtu, a to kopií příslušné smlouvy nebo potvrzením peněžního ústavu. Z důvodu změn identifikačních údajů smluvních stran není nutné uzavírat ke smlouvě dodatek,</w:t>
      </w:r>
    </w:p>
    <w:p w14:paraId="1F48ADD8" w14:textId="77777777" w:rsidR="006E1E82" w:rsidRDefault="00AA7F87">
      <w:pPr>
        <w:numPr>
          <w:ilvl w:val="1"/>
          <w:numId w:val="4"/>
        </w:numPr>
        <w:tabs>
          <w:tab w:val="left" w:pos="720"/>
        </w:tabs>
        <w:spacing w:before="60"/>
        <w:ind w:left="714" w:hanging="288"/>
        <w:jc w:val="both"/>
      </w:pPr>
      <w:r>
        <w:t>v případě zániku příjemce s likvidací:</w:t>
      </w:r>
    </w:p>
    <w:p w14:paraId="4241ECE5" w14:textId="77777777" w:rsidR="006E1E82" w:rsidRDefault="00AA7F87">
      <w:pPr>
        <w:numPr>
          <w:ilvl w:val="0"/>
          <w:numId w:val="10"/>
        </w:numPr>
        <w:tabs>
          <w:tab w:val="left" w:pos="1440"/>
        </w:tabs>
        <w:spacing w:before="60"/>
        <w:ind w:left="1440" w:hanging="360"/>
        <w:jc w:val="both"/>
      </w:pPr>
      <w:r>
        <w:t>neprodleně vrátit nevyčerpané prostředky spolu s finančním vypořádání nejpozději do 30 dnů od oznámení dle písm. k) na účet poskytovatele,</w:t>
      </w:r>
    </w:p>
    <w:p w14:paraId="7629D438" w14:textId="77777777" w:rsidR="006E1E82" w:rsidRDefault="00AA7F87">
      <w:pPr>
        <w:numPr>
          <w:ilvl w:val="0"/>
          <w:numId w:val="10"/>
        </w:numPr>
        <w:tabs>
          <w:tab w:val="left" w:pos="1440"/>
        </w:tabs>
        <w:spacing w:before="60"/>
        <w:ind w:left="1440" w:hanging="360"/>
        <w:jc w:val="both"/>
      </w:pPr>
      <w:r>
        <w:t>poskytovatel rozhodne o dalším využití majetku pořízeného z dotace; právo příjemce nakládat s tímto majetkem je vázáno na písemný souhlas poskytovatele,</w:t>
      </w:r>
    </w:p>
    <w:p w14:paraId="3DBF700A" w14:textId="77777777" w:rsidR="006E1E82" w:rsidRDefault="00AA7F87">
      <w:pPr>
        <w:numPr>
          <w:ilvl w:val="1"/>
          <w:numId w:val="4"/>
        </w:numPr>
        <w:tabs>
          <w:tab w:val="left" w:pos="720"/>
        </w:tabs>
        <w:spacing w:before="60"/>
        <w:ind w:left="714" w:hanging="288"/>
        <w:jc w:val="both"/>
      </w:pPr>
      <w:r>
        <w:t>v případě, že příjemce činnost nezahájí, nebo ji přeruší z důvodů, že činnost</w:t>
      </w:r>
      <w:r>
        <w:rPr>
          <w:color w:val="FF6600"/>
        </w:rPr>
        <w:t xml:space="preserve"> </w:t>
      </w:r>
      <w:r>
        <w:t xml:space="preserve">nebude dále uskutečňovat, je povinen do 10 kalendářních dnů ohlásit tuto skutečnost poskytovateli písemně a následně vrátit dotaci zpět na účet poskytovatele v plně poskytnuté výši do 10 kalendářních dnů ode dne ohlášení, nejpozději </w:t>
      </w:r>
      <w:r>
        <w:lastRenderedPageBreak/>
        <w:t>však do 30 kalendářních dnů ode dne, kdy byl toto ohlášení povinen učinit. Rozhodným okamžikem vrácení finančních prostředků dotace zpět na účet poskytovatele je den jejich</w:t>
      </w:r>
      <w:r w:rsidR="00C8222C">
        <w:t xml:space="preserve"> připsání na účet poskytovatele,</w:t>
      </w:r>
    </w:p>
    <w:p w14:paraId="743A07AC" w14:textId="77777777" w:rsidR="006E1E82" w:rsidRPr="00C8222C" w:rsidRDefault="00AA7F87">
      <w:pPr>
        <w:numPr>
          <w:ilvl w:val="1"/>
          <w:numId w:val="4"/>
        </w:numPr>
        <w:tabs>
          <w:tab w:val="left" w:pos="720"/>
        </w:tabs>
        <w:spacing w:before="60"/>
        <w:ind w:left="714" w:hanging="288"/>
        <w:jc w:val="both"/>
      </w:pPr>
      <w:r w:rsidRPr="00C8222C">
        <w:t xml:space="preserve">nežádat o podporu na stejný projekt z jiného vyhlášeného dotačního programu města, </w:t>
      </w:r>
      <w:r w:rsidR="00C8222C">
        <w:t>případně přímo z rozpočtu města,</w:t>
      </w:r>
    </w:p>
    <w:p w14:paraId="596E27E4" w14:textId="2EDBCD6C" w:rsidR="008C0C5D" w:rsidRPr="009D5D27" w:rsidRDefault="008C0C5D" w:rsidP="008C0C5D">
      <w:pPr>
        <w:numPr>
          <w:ilvl w:val="1"/>
          <w:numId w:val="4"/>
        </w:numPr>
        <w:tabs>
          <w:tab w:val="left" w:pos="720"/>
        </w:tabs>
        <w:spacing w:before="60"/>
        <w:ind w:left="714" w:hanging="288"/>
        <w:jc w:val="both"/>
      </w:pPr>
      <w:bookmarkStart w:id="0" w:name="_Hlk125545214"/>
      <w:r w:rsidRPr="009D5D27">
        <w:t>vhodným a přiměřeným způsobem prezentovat město Česká Třebová, jako poskytovatele dotace</w:t>
      </w:r>
      <w:r w:rsidR="009D5D27" w:rsidRPr="009D5D27">
        <w:t>.</w:t>
      </w:r>
    </w:p>
    <w:bookmarkEnd w:id="0"/>
    <w:p w14:paraId="081164A8" w14:textId="77777777" w:rsidR="006E1E82" w:rsidRDefault="006E1E82" w:rsidP="008C0C5D">
      <w:pPr>
        <w:rPr>
          <w:b/>
          <w:sz w:val="24"/>
          <w:szCs w:val="24"/>
        </w:rPr>
      </w:pPr>
    </w:p>
    <w:p w14:paraId="1E4F2DEA" w14:textId="77777777" w:rsidR="006E1E82" w:rsidRDefault="00AA7F87">
      <w:pPr>
        <w:jc w:val="center"/>
        <w:rPr>
          <w:b/>
          <w:sz w:val="24"/>
          <w:szCs w:val="24"/>
        </w:rPr>
      </w:pPr>
      <w:r>
        <w:rPr>
          <w:b/>
          <w:sz w:val="24"/>
          <w:szCs w:val="24"/>
        </w:rPr>
        <w:t>V.</w:t>
      </w:r>
    </w:p>
    <w:p w14:paraId="5EA13C47" w14:textId="77777777" w:rsidR="006E1E82" w:rsidRDefault="00AA7F87">
      <w:pPr>
        <w:jc w:val="center"/>
        <w:rPr>
          <w:b/>
          <w:sz w:val="24"/>
          <w:szCs w:val="24"/>
        </w:rPr>
      </w:pPr>
      <w:r>
        <w:rPr>
          <w:b/>
          <w:sz w:val="24"/>
          <w:szCs w:val="24"/>
        </w:rPr>
        <w:t>UZNATELNÝ NÁKLAD</w:t>
      </w:r>
    </w:p>
    <w:p w14:paraId="6A925A90" w14:textId="77777777" w:rsidR="006E1E82" w:rsidRDefault="006E1E82"/>
    <w:p w14:paraId="0BA9404D" w14:textId="77777777" w:rsidR="006E1E82" w:rsidRDefault="00AA7F87">
      <w:pPr>
        <w:numPr>
          <w:ilvl w:val="0"/>
          <w:numId w:val="7"/>
        </w:numPr>
        <w:tabs>
          <w:tab w:val="clear" w:pos="720"/>
          <w:tab w:val="left" w:pos="425"/>
          <w:tab w:val="left" w:pos="540"/>
        </w:tabs>
        <w:ind w:left="360"/>
        <w:jc w:val="both"/>
      </w:pPr>
      <w:r>
        <w:t>„Uznatelným nákladem“ je náklad, který splňuje všechny níže uvedené podmínky:</w:t>
      </w:r>
    </w:p>
    <w:p w14:paraId="7714725B" w14:textId="7E10C256" w:rsidR="006E1E82" w:rsidRDefault="00AA7F87">
      <w:pPr>
        <w:numPr>
          <w:ilvl w:val="1"/>
          <w:numId w:val="7"/>
        </w:numPr>
        <w:tabs>
          <w:tab w:val="left" w:pos="720"/>
          <w:tab w:val="left" w:pos="1260"/>
        </w:tabs>
        <w:spacing w:before="60"/>
        <w:ind w:left="714" w:hanging="289"/>
        <w:jc w:val="both"/>
      </w:pPr>
      <w:r>
        <w:t xml:space="preserve">vznikl a byl příjemcem uhrazen v období od </w:t>
      </w:r>
      <w:r w:rsidR="00AC0717" w:rsidRPr="009D5D27">
        <w:t>01.0</w:t>
      </w:r>
      <w:r w:rsidR="008C5366">
        <w:t>4</w:t>
      </w:r>
      <w:r w:rsidR="00AF5FE3" w:rsidRPr="009D5D27">
        <w:t>.</w:t>
      </w:r>
      <w:r w:rsidR="00741366">
        <w:t>2024</w:t>
      </w:r>
      <w:r w:rsidR="00AF5FE3" w:rsidRPr="009D5D27">
        <w:t xml:space="preserve"> do </w:t>
      </w:r>
      <w:r w:rsidR="00E548B5" w:rsidRPr="009D5D27">
        <w:t>3</w:t>
      </w:r>
      <w:r w:rsidR="009D5D27" w:rsidRPr="009D5D27">
        <w:t>0</w:t>
      </w:r>
      <w:r w:rsidR="00AF5FE3" w:rsidRPr="009D5D27">
        <w:t>.</w:t>
      </w:r>
      <w:r w:rsidR="008B03B5" w:rsidRPr="009D5D27">
        <w:t>1</w:t>
      </w:r>
      <w:r w:rsidR="009D5D27" w:rsidRPr="009D5D27">
        <w:t>1</w:t>
      </w:r>
      <w:r w:rsidR="00AF5FE3" w:rsidRPr="009D5D27">
        <w:t>.</w:t>
      </w:r>
      <w:r w:rsidR="00741366">
        <w:t>2024</w:t>
      </w:r>
      <w:r w:rsidRPr="009D5D27">
        <w:t>,</w:t>
      </w:r>
    </w:p>
    <w:p w14:paraId="66740996" w14:textId="77777777" w:rsidR="006E1E82" w:rsidRDefault="00AA7F87">
      <w:pPr>
        <w:numPr>
          <w:ilvl w:val="1"/>
          <w:numId w:val="7"/>
        </w:numPr>
        <w:tabs>
          <w:tab w:val="left" w:pos="720"/>
          <w:tab w:val="left" w:pos="1260"/>
        </w:tabs>
        <w:spacing w:before="60"/>
        <w:ind w:left="714" w:hanging="289"/>
        <w:jc w:val="both"/>
      </w:pPr>
      <w:r>
        <w:t xml:space="preserve">byl vynaložen v souladu s účelovým určením dle čl. III. této smlouvy, </w:t>
      </w:r>
    </w:p>
    <w:p w14:paraId="0CA0BB81" w14:textId="77777777" w:rsidR="006E1E82" w:rsidRDefault="00AA7F87">
      <w:pPr>
        <w:numPr>
          <w:ilvl w:val="1"/>
          <w:numId w:val="7"/>
        </w:numPr>
        <w:tabs>
          <w:tab w:val="left" w:pos="720"/>
          <w:tab w:val="left" w:pos="1260"/>
        </w:tabs>
        <w:ind w:left="714" w:hanging="289"/>
        <w:jc w:val="both"/>
      </w:pPr>
      <w:r>
        <w:t xml:space="preserve">vyhovuje zásadám účelnosti, efektivnosti a hospodárnosti dle zákona o finanční kontrole. </w:t>
      </w:r>
    </w:p>
    <w:p w14:paraId="0D45E895" w14:textId="77777777" w:rsidR="006E1E82" w:rsidRDefault="006E1E82">
      <w:pPr>
        <w:tabs>
          <w:tab w:val="left" w:pos="1260"/>
        </w:tabs>
        <w:ind w:left="714"/>
        <w:jc w:val="both"/>
      </w:pPr>
    </w:p>
    <w:p w14:paraId="4DF84FC1" w14:textId="77777777" w:rsidR="006E1E82" w:rsidRDefault="00AA7F87">
      <w:pPr>
        <w:numPr>
          <w:ilvl w:val="0"/>
          <w:numId w:val="7"/>
        </w:numPr>
        <w:tabs>
          <w:tab w:val="left" w:pos="360"/>
          <w:tab w:val="left" w:pos="720"/>
          <w:tab w:val="left" w:pos="1260"/>
        </w:tabs>
        <w:ind w:left="360"/>
        <w:jc w:val="both"/>
      </w:pPr>
      <w:r>
        <w:t xml:space="preserve">Účetní doklady musí obsahovat jasnou specifikaci pořízeného zboží, nakoupené služby nebo práce (včetně pořízeného množství a jednotkové ceny). Obecně formulované doklady jako např. „kancelářské potřeby“, </w:t>
      </w:r>
      <w:r w:rsidRPr="00C8222C">
        <w:t xml:space="preserve">„dárkové balíčky“ </w:t>
      </w:r>
      <w:r>
        <w:t>nebudou považovány za uznatelné.</w:t>
      </w:r>
    </w:p>
    <w:p w14:paraId="4A187EB9" w14:textId="77777777" w:rsidR="006E1E82" w:rsidRPr="00C8222C" w:rsidRDefault="006E1E82">
      <w:pPr>
        <w:tabs>
          <w:tab w:val="left" w:pos="720"/>
          <w:tab w:val="left" w:pos="1260"/>
        </w:tabs>
        <w:ind w:left="360"/>
        <w:jc w:val="both"/>
      </w:pPr>
    </w:p>
    <w:p w14:paraId="28C2505B" w14:textId="77777777" w:rsidR="006E1E82" w:rsidRPr="00C8222C" w:rsidRDefault="00AA7F87">
      <w:pPr>
        <w:numPr>
          <w:ilvl w:val="0"/>
          <w:numId w:val="7"/>
        </w:numPr>
        <w:tabs>
          <w:tab w:val="left" w:pos="360"/>
          <w:tab w:val="left" w:pos="720"/>
          <w:tab w:val="left" w:pos="1260"/>
        </w:tabs>
        <w:ind w:left="360"/>
        <w:jc w:val="both"/>
      </w:pPr>
      <w:r w:rsidRPr="00C8222C">
        <w:t>Doprava je uznatelným nákladem, pokud je doložena fakturou dopravce nebo jízdenkou hromadného dopravního prostředku. V případě použití soukromého vozidla, jsou uznatelným nákladem pouze náklady za prokazatelně spotřebované pohonné hmoty, doložené účetním dokladem a kopií technického průkazu použitého vozidla. Při nedoložení účetního dokladu o nákupu PHM bude průměrná cena pohonných hmot určena dle platné vyhlášky MPSV. Za uznatelný náklad se nepovažuje základní náhrada za 1 km jízdy při použití vozidla příjemce.</w:t>
      </w:r>
    </w:p>
    <w:p w14:paraId="41918209" w14:textId="77777777" w:rsidR="006E1E82" w:rsidRDefault="006E1E82">
      <w:pPr>
        <w:tabs>
          <w:tab w:val="left" w:pos="1260"/>
        </w:tabs>
        <w:ind w:left="360"/>
        <w:jc w:val="both"/>
      </w:pPr>
    </w:p>
    <w:p w14:paraId="063657FC" w14:textId="77777777" w:rsidR="006E1E82" w:rsidRDefault="00AA7F87">
      <w:pPr>
        <w:numPr>
          <w:ilvl w:val="0"/>
          <w:numId w:val="7"/>
        </w:numPr>
        <w:tabs>
          <w:tab w:val="clear" w:pos="720"/>
          <w:tab w:val="left" w:pos="360"/>
        </w:tabs>
        <w:ind w:left="357" w:hanging="357"/>
        <w:jc w:val="both"/>
      </w:pPr>
      <w:r>
        <w:t>Daň z přidané hodnoty vztahující se k uznatelným nákladům je uznatelným nákladem, pokud příjemce není plátcem této daně nebo pokud mu nevzniká nárok na odpočet této daně.</w:t>
      </w:r>
    </w:p>
    <w:p w14:paraId="6DDA0150" w14:textId="77777777" w:rsidR="006E1E82" w:rsidRDefault="006E1E82">
      <w:pPr>
        <w:pStyle w:val="Odstavecseseznamem"/>
      </w:pPr>
    </w:p>
    <w:p w14:paraId="5F713EB1" w14:textId="77777777" w:rsidR="006E1E82" w:rsidRDefault="00AA7F87">
      <w:pPr>
        <w:numPr>
          <w:ilvl w:val="0"/>
          <w:numId w:val="7"/>
        </w:numPr>
        <w:tabs>
          <w:tab w:val="clear" w:pos="720"/>
          <w:tab w:val="left" w:pos="360"/>
        </w:tabs>
        <w:ind w:left="357" w:hanging="357"/>
        <w:jc w:val="both"/>
      </w:pPr>
      <w:r>
        <w:t>Neuznatelným nákladem jsou bankovní poplatky, nákup alkoholických a tabákových výrobků.</w:t>
      </w:r>
    </w:p>
    <w:p w14:paraId="167EE40B" w14:textId="77777777" w:rsidR="006E1E82" w:rsidRDefault="006E1E82">
      <w:pPr>
        <w:tabs>
          <w:tab w:val="left" w:pos="360"/>
        </w:tabs>
        <w:ind w:left="357"/>
        <w:jc w:val="both"/>
      </w:pPr>
    </w:p>
    <w:p w14:paraId="1CFF4860" w14:textId="77777777" w:rsidR="006E1E82" w:rsidRDefault="00AA7F87">
      <w:pPr>
        <w:numPr>
          <w:ilvl w:val="0"/>
          <w:numId w:val="7"/>
        </w:numPr>
        <w:tabs>
          <w:tab w:val="clear" w:pos="720"/>
          <w:tab w:val="left" w:pos="360"/>
          <w:tab w:val="left" w:pos="900"/>
        </w:tabs>
        <w:ind w:left="357" w:hanging="357"/>
      </w:pPr>
      <w:r>
        <w:t>Všechny ostatní náklady vynaložené příjemcem jsou považovány za náklady neuznatelné.</w:t>
      </w:r>
    </w:p>
    <w:p w14:paraId="08883E34" w14:textId="77777777" w:rsidR="006E1E82" w:rsidRDefault="006E1E82">
      <w:pPr>
        <w:spacing w:before="60"/>
        <w:rPr>
          <w:b/>
        </w:rPr>
      </w:pPr>
    </w:p>
    <w:p w14:paraId="6DC714A0" w14:textId="77777777" w:rsidR="006E1E82" w:rsidRDefault="00AA7F87">
      <w:pPr>
        <w:spacing w:before="60"/>
        <w:jc w:val="center"/>
        <w:rPr>
          <w:b/>
          <w:sz w:val="24"/>
          <w:szCs w:val="24"/>
        </w:rPr>
      </w:pPr>
      <w:r>
        <w:rPr>
          <w:b/>
          <w:sz w:val="24"/>
          <w:szCs w:val="24"/>
        </w:rPr>
        <w:t xml:space="preserve">VI. </w:t>
      </w:r>
    </w:p>
    <w:p w14:paraId="096F1FC3" w14:textId="77777777" w:rsidR="006E1E82" w:rsidRDefault="00AA7F87">
      <w:pPr>
        <w:spacing w:before="60"/>
        <w:jc w:val="center"/>
        <w:rPr>
          <w:b/>
          <w:sz w:val="24"/>
          <w:szCs w:val="24"/>
        </w:rPr>
      </w:pPr>
      <w:r>
        <w:rPr>
          <w:b/>
          <w:sz w:val="24"/>
          <w:szCs w:val="24"/>
        </w:rPr>
        <w:t>KONTROLA, SANKCE</w:t>
      </w:r>
    </w:p>
    <w:p w14:paraId="07222308" w14:textId="77777777" w:rsidR="006E1E82" w:rsidRDefault="006E1E82">
      <w:pPr>
        <w:rPr>
          <w:sz w:val="24"/>
          <w:szCs w:val="24"/>
        </w:rPr>
      </w:pPr>
    </w:p>
    <w:p w14:paraId="43A69D4F" w14:textId="77777777" w:rsidR="006E1E82" w:rsidRDefault="00AA7F87">
      <w:pPr>
        <w:pStyle w:val="Zkladntext2"/>
        <w:numPr>
          <w:ilvl w:val="0"/>
          <w:numId w:val="8"/>
        </w:numPr>
        <w:tabs>
          <w:tab w:val="clear" w:pos="720"/>
        </w:tabs>
        <w:ind w:left="425" w:hanging="425"/>
      </w:pPr>
      <w:r>
        <w:t>Každé neoprávněné použití dotace nebo zadržení poskytnutých finančních prostředků je považováno za porušení rozpočtové kázně podle § 22 zákona č. 250/2000 Sb. V případě porušení rozpočtové kázně bude postupováno dle zákona č. 250/2000 Sb.</w:t>
      </w:r>
    </w:p>
    <w:p w14:paraId="69EDAA67" w14:textId="77777777" w:rsidR="006E1E82" w:rsidRDefault="00AA7F87">
      <w:pPr>
        <w:ind w:left="425"/>
      </w:pPr>
      <w:r>
        <w:t xml:space="preserve">     </w:t>
      </w:r>
    </w:p>
    <w:p w14:paraId="5DAF0EED" w14:textId="77777777" w:rsidR="006E1E82" w:rsidRDefault="00AA7F87">
      <w:pPr>
        <w:numPr>
          <w:ilvl w:val="0"/>
          <w:numId w:val="8"/>
        </w:numPr>
        <w:tabs>
          <w:tab w:val="clear" w:pos="720"/>
        </w:tabs>
        <w:ind w:left="425" w:hanging="425"/>
        <w:jc w:val="both"/>
        <w:rPr>
          <w:b/>
          <w:sz w:val="24"/>
          <w:szCs w:val="24"/>
        </w:rPr>
      </w:pPr>
      <w:r>
        <w:t>Porušení povinností stanovených v čl. IV. odst. 2 písm. f) a k) je považováno za méně závažné porušení rozpočtové kázně ve smyslu § 10a odst. 6 zákona č. 250/2000 Sb. Odvod za tato porušení rozpočtové kázně se stanoví následujícím rozmezím:</w:t>
      </w:r>
    </w:p>
    <w:p w14:paraId="1FDC8E50" w14:textId="77777777" w:rsidR="006E1E82" w:rsidRDefault="00AA7F87">
      <w:pPr>
        <w:numPr>
          <w:ilvl w:val="1"/>
          <w:numId w:val="8"/>
        </w:numPr>
        <w:tabs>
          <w:tab w:val="left" w:pos="720"/>
        </w:tabs>
        <w:spacing w:before="60"/>
        <w:ind w:left="714" w:hanging="289"/>
        <w:jc w:val="both"/>
        <w:rPr>
          <w:b/>
          <w:sz w:val="24"/>
          <w:szCs w:val="24"/>
        </w:rPr>
      </w:pPr>
      <w:r>
        <w:t>Předložení finančního vypořádání podle čl. IV. odst. 2 písm. f) po stanovené lhůtě:</w:t>
      </w:r>
    </w:p>
    <w:p w14:paraId="6B4C6256" w14:textId="77777777" w:rsidR="006E1E82" w:rsidRDefault="00AA7F87">
      <w:pPr>
        <w:tabs>
          <w:tab w:val="left" w:pos="5580"/>
        </w:tabs>
        <w:spacing w:before="60"/>
        <w:ind w:left="720"/>
        <w:jc w:val="both"/>
        <w:rPr>
          <w:bCs/>
        </w:rPr>
      </w:pPr>
      <w:r>
        <w:rPr>
          <w:bCs/>
        </w:rPr>
        <w:t>do 7 kalendářních dnů</w:t>
      </w:r>
      <w:r>
        <w:rPr>
          <w:bCs/>
        </w:rPr>
        <w:tab/>
        <w:t xml:space="preserve"> </w:t>
      </w:r>
      <w:r>
        <w:rPr>
          <w:bCs/>
        </w:rPr>
        <w:tab/>
      </w:r>
      <w:proofErr w:type="gramStart"/>
      <w:r>
        <w:rPr>
          <w:bCs/>
        </w:rPr>
        <w:tab/>
        <w:t xml:space="preserve">  5</w:t>
      </w:r>
      <w:proofErr w:type="gramEnd"/>
      <w:r>
        <w:rPr>
          <w:bCs/>
        </w:rPr>
        <w:t> % poskytnuté dotace,</w:t>
      </w:r>
    </w:p>
    <w:p w14:paraId="6C655DD3" w14:textId="77777777" w:rsidR="006E1E82" w:rsidRDefault="00AA7F87">
      <w:pPr>
        <w:tabs>
          <w:tab w:val="left" w:pos="5580"/>
        </w:tabs>
        <w:spacing w:before="60"/>
        <w:ind w:left="720"/>
        <w:jc w:val="both"/>
        <w:rPr>
          <w:bCs/>
        </w:rPr>
      </w:pPr>
      <w:r>
        <w:rPr>
          <w:bCs/>
        </w:rPr>
        <w:t>od 8 do 30 kalendářních dnů</w:t>
      </w:r>
      <w:r>
        <w:rPr>
          <w:bCs/>
        </w:rPr>
        <w:tab/>
      </w:r>
      <w:r>
        <w:rPr>
          <w:bCs/>
        </w:rPr>
        <w:tab/>
      </w:r>
      <w:r>
        <w:rPr>
          <w:bCs/>
        </w:rPr>
        <w:tab/>
        <w:t>10 % poskytnuté dotace,</w:t>
      </w:r>
    </w:p>
    <w:p w14:paraId="07CD46BD" w14:textId="77777777" w:rsidR="006E1E82" w:rsidRDefault="00AA7F87">
      <w:pPr>
        <w:spacing w:before="60"/>
        <w:ind w:firstLine="708"/>
        <w:jc w:val="both"/>
        <w:rPr>
          <w:b/>
          <w:sz w:val="24"/>
          <w:szCs w:val="24"/>
        </w:rPr>
      </w:pPr>
      <w:r>
        <w:rPr>
          <w:bCs/>
        </w:rPr>
        <w:t>od 31 do 50 kalendářních dnů</w:t>
      </w:r>
      <w:r>
        <w:rPr>
          <w:bCs/>
        </w:rPr>
        <w:tab/>
      </w:r>
      <w:r>
        <w:rPr>
          <w:bCs/>
        </w:rPr>
        <w:tab/>
      </w:r>
      <w:r>
        <w:rPr>
          <w:bCs/>
        </w:rPr>
        <w:tab/>
      </w:r>
      <w:r>
        <w:rPr>
          <w:bCs/>
        </w:rPr>
        <w:tab/>
      </w:r>
      <w:r>
        <w:rPr>
          <w:bCs/>
        </w:rPr>
        <w:tab/>
        <w:t>20 % poskytnuté dotace.</w:t>
      </w:r>
    </w:p>
    <w:p w14:paraId="691F8777" w14:textId="77777777" w:rsidR="006E1E82" w:rsidRDefault="00AA7F87">
      <w:pPr>
        <w:numPr>
          <w:ilvl w:val="1"/>
          <w:numId w:val="8"/>
        </w:numPr>
        <w:tabs>
          <w:tab w:val="left" w:pos="720"/>
        </w:tabs>
        <w:spacing w:before="60"/>
        <w:ind w:left="714" w:hanging="289"/>
        <w:jc w:val="both"/>
        <w:rPr>
          <w:b/>
          <w:sz w:val="24"/>
          <w:szCs w:val="24"/>
        </w:rPr>
      </w:pPr>
      <w:r>
        <w:t>Porušení povinnosti stanovené v čl. IV. odst. 2 písm. k)</w:t>
      </w:r>
      <w:r>
        <w:tab/>
      </w:r>
      <w:proofErr w:type="gramStart"/>
      <w:r>
        <w:tab/>
        <w:t xml:space="preserve">  2</w:t>
      </w:r>
      <w:proofErr w:type="gramEnd"/>
      <w:r>
        <w:rPr>
          <w:bCs/>
        </w:rPr>
        <w:t> % poskytnuté dotace.</w:t>
      </w:r>
    </w:p>
    <w:p w14:paraId="799CD304" w14:textId="77777777" w:rsidR="006E1E82" w:rsidRDefault="006E1E82"/>
    <w:p w14:paraId="10584B26" w14:textId="78181B17" w:rsidR="006E1E82" w:rsidRDefault="00AA7F87">
      <w:pPr>
        <w:numPr>
          <w:ilvl w:val="0"/>
          <w:numId w:val="8"/>
        </w:numPr>
        <w:tabs>
          <w:tab w:val="clear" w:pos="720"/>
        </w:tabs>
        <w:spacing w:before="60"/>
        <w:ind w:left="425" w:hanging="425"/>
        <w:jc w:val="both"/>
        <w:rPr>
          <w:b/>
          <w:sz w:val="24"/>
          <w:szCs w:val="24"/>
        </w:rPr>
      </w:pPr>
      <w:r>
        <w:t xml:space="preserve">Poskytovatel neprodleně po zjištění porušení některého ustanovení této smlouvy zahájí řízení o odvodu poskytnutých finančních prostředků zpět do jeho rozpočtu z titulu porušení rozpočtové kázně, </w:t>
      </w:r>
      <w:r w:rsidR="002614A6">
        <w:t>a to </w:t>
      </w:r>
      <w:r>
        <w:t>v souladu s ustanovením § 22 zákona č. 250/2000 Sb. Výše odvodu za porušení rozpočtové kázně se stanoví v souladu s ustanovením § 22 odst. 5 zákona č. 250/2000 Sb.</w:t>
      </w:r>
    </w:p>
    <w:p w14:paraId="2647ACAD" w14:textId="77777777" w:rsidR="006E1E82" w:rsidRPr="00C8222C" w:rsidRDefault="00AA7F87">
      <w:pPr>
        <w:numPr>
          <w:ilvl w:val="0"/>
          <w:numId w:val="8"/>
        </w:numPr>
        <w:tabs>
          <w:tab w:val="clear" w:pos="720"/>
        </w:tabs>
        <w:spacing w:before="60"/>
        <w:ind w:left="425" w:hanging="425"/>
        <w:jc w:val="both"/>
        <w:rPr>
          <w:b/>
          <w:sz w:val="24"/>
          <w:szCs w:val="24"/>
        </w:rPr>
      </w:pPr>
      <w:r w:rsidRPr="00C8222C">
        <w:t xml:space="preserve">Při porušení více povinností se částky jednotlivých odvodů sčítají nejvýše však do výše peněžních prostředků poskytnutých ke dni porušení rozpočtové kázně. </w:t>
      </w:r>
    </w:p>
    <w:p w14:paraId="26B82158" w14:textId="77777777" w:rsidR="006E1E82" w:rsidRPr="00C8222C" w:rsidRDefault="00AA7F87">
      <w:pPr>
        <w:numPr>
          <w:ilvl w:val="0"/>
          <w:numId w:val="8"/>
        </w:numPr>
        <w:tabs>
          <w:tab w:val="clear" w:pos="720"/>
        </w:tabs>
        <w:spacing w:before="60"/>
        <w:ind w:left="425" w:hanging="425"/>
        <w:jc w:val="both"/>
        <w:rPr>
          <w:b/>
          <w:sz w:val="24"/>
          <w:szCs w:val="24"/>
        </w:rPr>
      </w:pPr>
      <w:r w:rsidRPr="00C8222C">
        <w:t>Odvod za porušení rozpočtové kázně se neuloží, pokud jeho celková výše za všechna porušení rozpočtové kázně při použití téže dotace nepř</w:t>
      </w:r>
      <w:r w:rsidR="004E3EC9" w:rsidRPr="00C8222C">
        <w:t>esáhne 1 000 Kč dle § 22 odst. 7</w:t>
      </w:r>
      <w:r w:rsidRPr="00C8222C">
        <w:t xml:space="preserve"> zákona č. 250/2000 Sb.</w:t>
      </w:r>
    </w:p>
    <w:p w14:paraId="00E4052A" w14:textId="77777777" w:rsidR="006E1E82" w:rsidRPr="00C8222C" w:rsidRDefault="00AA7F87">
      <w:pPr>
        <w:numPr>
          <w:ilvl w:val="0"/>
          <w:numId w:val="8"/>
        </w:numPr>
        <w:tabs>
          <w:tab w:val="clear" w:pos="720"/>
        </w:tabs>
        <w:spacing w:before="60"/>
        <w:ind w:left="425" w:hanging="425"/>
        <w:jc w:val="both"/>
        <w:rPr>
          <w:b/>
          <w:sz w:val="24"/>
          <w:szCs w:val="24"/>
        </w:rPr>
      </w:pPr>
      <w:r w:rsidRPr="00C8222C">
        <w:t xml:space="preserve">V případě prodlení s odvodem za porušení rozpočtové kázně je ten, kdo rozpočtovou kázeň porušil, povinen zaplatit penále dle § 22 odst. 8 zákona č. 250/2000 Sb. ve výši 1 promile z částky odvodu za každý den prodlení, nejvýše však do výše tohoto odvodu. </w:t>
      </w:r>
    </w:p>
    <w:p w14:paraId="46A6C7B7" w14:textId="77777777" w:rsidR="006E1E82" w:rsidRDefault="006E1E82"/>
    <w:p w14:paraId="07489ED0" w14:textId="77777777" w:rsidR="006E1E82" w:rsidRDefault="00AA7F87">
      <w:pPr>
        <w:spacing w:before="60"/>
        <w:jc w:val="center"/>
        <w:rPr>
          <w:b/>
          <w:sz w:val="24"/>
          <w:szCs w:val="24"/>
        </w:rPr>
      </w:pPr>
      <w:r>
        <w:rPr>
          <w:b/>
          <w:sz w:val="24"/>
          <w:szCs w:val="24"/>
        </w:rPr>
        <w:t xml:space="preserve">VII. </w:t>
      </w:r>
    </w:p>
    <w:p w14:paraId="08013CA6" w14:textId="77777777" w:rsidR="006E1E82" w:rsidRDefault="00AA7F87">
      <w:pPr>
        <w:spacing w:before="60"/>
        <w:jc w:val="center"/>
        <w:rPr>
          <w:b/>
          <w:sz w:val="24"/>
          <w:szCs w:val="24"/>
        </w:rPr>
      </w:pPr>
      <w:r>
        <w:rPr>
          <w:b/>
          <w:sz w:val="24"/>
          <w:szCs w:val="24"/>
        </w:rPr>
        <w:t>UKONČENÍ SMLOUVY</w:t>
      </w:r>
    </w:p>
    <w:p w14:paraId="328070CA" w14:textId="77777777" w:rsidR="006E1E82" w:rsidRDefault="006E1E82">
      <w:pPr>
        <w:rPr>
          <w:sz w:val="24"/>
          <w:szCs w:val="24"/>
        </w:rPr>
      </w:pPr>
    </w:p>
    <w:p w14:paraId="0473CFFA" w14:textId="77777777" w:rsidR="006E1E82" w:rsidRDefault="00AA7F87">
      <w:pPr>
        <w:pStyle w:val="Zkladntext2"/>
        <w:numPr>
          <w:ilvl w:val="0"/>
          <w:numId w:val="9"/>
        </w:numPr>
        <w:tabs>
          <w:tab w:val="clear" w:pos="720"/>
          <w:tab w:val="left" w:pos="425"/>
        </w:tabs>
        <w:ind w:left="425" w:hanging="425"/>
      </w:pPr>
      <w:r>
        <w:t xml:space="preserve">Poruší-li příjemce některou z povinností, která je uvedena v této smlouvě, je poskytovatel oprávněn tuto smlouvu vypovědět. Výpověď musí mít písemnou formu a musí být prokazatelně doručena příjemci. Výpovědní lhůta činí 1 měsíc a počíná běžet dnem následujícím po dni, kdy mu byla prokazatelně doručena. Poruší-li příjemce zvlášť hrubým způsobem povinnosti vyplývající mu z této smlouvy, je poskytovatel oprávněn od této smlouvy odstoupit. Za zvlášť hrubé porušení se považuje porušení povinnosti uvedené v čl. IV. odst. 2 písm. b), d) e) a j). </w:t>
      </w:r>
    </w:p>
    <w:p w14:paraId="69FE4E15" w14:textId="77777777" w:rsidR="006E1E82" w:rsidRDefault="00AA7F87">
      <w:pPr>
        <w:numPr>
          <w:ilvl w:val="0"/>
          <w:numId w:val="9"/>
        </w:numPr>
        <w:tabs>
          <w:tab w:val="clear" w:pos="720"/>
          <w:tab w:val="left" w:pos="425"/>
        </w:tabs>
        <w:spacing w:before="120"/>
        <w:ind w:left="425" w:hanging="425"/>
        <w:jc w:val="both"/>
      </w:pPr>
      <w:r>
        <w:t>V případě, že poskytovatel odstoupí od smlouvy, je příjemce povinen přijatou dotaci vrátit zpět na účet poskytovatele, a to v plně poskytnuté výši.</w:t>
      </w:r>
    </w:p>
    <w:p w14:paraId="5C067888" w14:textId="77777777" w:rsidR="006E1E82" w:rsidRDefault="006E1E82">
      <w:pPr>
        <w:pStyle w:val="Zkladntext2"/>
        <w:tabs>
          <w:tab w:val="left" w:pos="425"/>
        </w:tabs>
      </w:pPr>
    </w:p>
    <w:p w14:paraId="7F4AF1BD" w14:textId="77777777" w:rsidR="006E1E82" w:rsidRDefault="00AA7F87">
      <w:pPr>
        <w:pStyle w:val="Zkladntext2"/>
        <w:numPr>
          <w:ilvl w:val="0"/>
          <w:numId w:val="9"/>
        </w:numPr>
        <w:tabs>
          <w:tab w:val="clear" w:pos="720"/>
          <w:tab w:val="left" w:pos="425"/>
        </w:tabs>
        <w:ind w:left="425" w:hanging="425"/>
      </w:pPr>
      <w:r>
        <w:t>Uvedení nepravdivých údajů v předloženém finančním vypořádání je důvodem pro odstoupení od smlouvy o poskytnutí dotace a důvodem k trvalému vyloučení příjemce z finanční podpory poskytovatele v této i v dalších oblastech.</w:t>
      </w:r>
    </w:p>
    <w:p w14:paraId="7928D4EB" w14:textId="77777777" w:rsidR="006E1E82" w:rsidRDefault="006E1E82">
      <w:pPr>
        <w:pStyle w:val="Zkladntext2"/>
        <w:tabs>
          <w:tab w:val="left" w:pos="425"/>
        </w:tabs>
        <w:ind w:left="360" w:hanging="360"/>
      </w:pPr>
    </w:p>
    <w:p w14:paraId="2E7D45EA" w14:textId="77777777" w:rsidR="006E1E82" w:rsidRDefault="00AA7F87">
      <w:pPr>
        <w:pStyle w:val="Zkladntext2"/>
        <w:numPr>
          <w:ilvl w:val="0"/>
          <w:numId w:val="9"/>
        </w:numPr>
        <w:tabs>
          <w:tab w:val="clear" w:pos="720"/>
          <w:tab w:val="left" w:pos="425"/>
        </w:tabs>
        <w:ind w:left="425" w:hanging="425"/>
      </w:pPr>
      <w:r>
        <w:t>Zneužití dotace může být stíháno jako trestný čin dotačního podvodu podle § 212 zákona č. 40/2009 Sb., trestní zákoník, ve znění pozdějších předpisů.</w:t>
      </w:r>
    </w:p>
    <w:p w14:paraId="16EFF64E" w14:textId="77777777" w:rsidR="006E1E82" w:rsidRDefault="006E1E82">
      <w:pPr>
        <w:rPr>
          <w:sz w:val="24"/>
          <w:szCs w:val="24"/>
        </w:rPr>
      </w:pPr>
    </w:p>
    <w:p w14:paraId="0EC8CF14" w14:textId="77777777" w:rsidR="006E1E82" w:rsidRDefault="00AA7F87">
      <w:pPr>
        <w:jc w:val="center"/>
        <w:rPr>
          <w:b/>
          <w:sz w:val="24"/>
          <w:szCs w:val="24"/>
        </w:rPr>
      </w:pPr>
      <w:r>
        <w:rPr>
          <w:b/>
          <w:sz w:val="24"/>
          <w:szCs w:val="24"/>
        </w:rPr>
        <w:t>VIII.</w:t>
      </w:r>
    </w:p>
    <w:p w14:paraId="48BCE358" w14:textId="77777777" w:rsidR="006E1E82" w:rsidRDefault="00AA7F87">
      <w:pPr>
        <w:jc w:val="center"/>
        <w:rPr>
          <w:b/>
          <w:sz w:val="24"/>
          <w:szCs w:val="24"/>
        </w:rPr>
      </w:pPr>
      <w:r>
        <w:rPr>
          <w:b/>
          <w:sz w:val="24"/>
          <w:szCs w:val="24"/>
        </w:rPr>
        <w:t>ZÁVĚREČNÁ USTANOVENÍ</w:t>
      </w:r>
    </w:p>
    <w:p w14:paraId="116A7FD6" w14:textId="77777777" w:rsidR="006E1E82" w:rsidRDefault="006E1E82">
      <w:pPr>
        <w:rPr>
          <w:sz w:val="24"/>
          <w:szCs w:val="24"/>
        </w:rPr>
      </w:pPr>
    </w:p>
    <w:p w14:paraId="3DB6F88E" w14:textId="77777777" w:rsidR="006E1E82" w:rsidRDefault="00AA7F87">
      <w:pPr>
        <w:numPr>
          <w:ilvl w:val="0"/>
          <w:numId w:val="6"/>
        </w:numPr>
        <w:tabs>
          <w:tab w:val="left" w:pos="426"/>
        </w:tabs>
        <w:ind w:left="426" w:hanging="426"/>
        <w:jc w:val="both"/>
      </w:pPr>
      <w:r>
        <w:t>Tato smlouva se vyhotovuje ve dvou stejnopisech s platností originálu, z nichž každá strana obdrží jeden.</w:t>
      </w:r>
    </w:p>
    <w:p w14:paraId="2F6A21D3" w14:textId="77777777" w:rsidR="006E1E82" w:rsidRDefault="006E1E82"/>
    <w:p w14:paraId="15A06503" w14:textId="77777777" w:rsidR="006E1E82" w:rsidRDefault="00AA7F87">
      <w:pPr>
        <w:numPr>
          <w:ilvl w:val="0"/>
          <w:numId w:val="6"/>
        </w:numPr>
        <w:tabs>
          <w:tab w:val="left" w:pos="426"/>
        </w:tabs>
        <w:jc w:val="both"/>
      </w:pPr>
      <w:r>
        <w:t>Případné změny a doplňky této smlouvy budou smluvní strany řešit písemnými, vzestupně číslovanými dodatky k této smlouvě, které budou výslovně za dodatky této smlouvy označeny.</w:t>
      </w:r>
    </w:p>
    <w:p w14:paraId="454FD0E6" w14:textId="77777777" w:rsidR="006E1E82" w:rsidRDefault="006E1E82"/>
    <w:p w14:paraId="220DD2DC" w14:textId="77777777" w:rsidR="006E1E82" w:rsidRDefault="00AA7F87">
      <w:pPr>
        <w:numPr>
          <w:ilvl w:val="0"/>
          <w:numId w:val="6"/>
        </w:numPr>
        <w:tabs>
          <w:tab w:val="left" w:pos="426"/>
        </w:tabs>
        <w:jc w:val="both"/>
        <w:rPr>
          <w:strike/>
          <w:color w:val="70AD47" w:themeColor="accent6"/>
        </w:rPr>
      </w:pPr>
      <w:r>
        <w:t>Příjemce souhlasí se zveřejněním svého názvu, sídla, dotačního titulu, výše poskytnuté dotace a této smlouvy.</w:t>
      </w:r>
    </w:p>
    <w:p w14:paraId="075F0A75" w14:textId="77777777" w:rsidR="006E1E82" w:rsidRPr="00C8222C" w:rsidRDefault="006E1E82">
      <w:pPr>
        <w:tabs>
          <w:tab w:val="left" w:pos="426"/>
        </w:tabs>
        <w:ind w:left="360"/>
        <w:jc w:val="both"/>
        <w:rPr>
          <w:strike/>
        </w:rPr>
      </w:pPr>
    </w:p>
    <w:p w14:paraId="6420D762" w14:textId="22AEFCF2" w:rsidR="006E1E82" w:rsidRPr="00C8222C" w:rsidRDefault="00AA7F87">
      <w:pPr>
        <w:numPr>
          <w:ilvl w:val="0"/>
          <w:numId w:val="6"/>
        </w:numPr>
        <w:tabs>
          <w:tab w:val="left" w:pos="426"/>
        </w:tabs>
        <w:jc w:val="both"/>
      </w:pPr>
      <w:r w:rsidRPr="00C8222C">
        <w:t>Osobní údaj příjemce je poskytovatel oprávněn dál zpracovávat, nebo</w:t>
      </w:r>
      <w:r w:rsidR="00365CFA">
        <w:t>ť je</w:t>
      </w:r>
      <w:r w:rsidR="00063A53">
        <w:t xml:space="preserve"> to</w:t>
      </w:r>
      <w:r w:rsidR="00365CFA">
        <w:t xml:space="preserve"> ve smyslu ustanovení čl. 6 </w:t>
      </w:r>
      <w:r w:rsidRPr="00C8222C">
        <w:t>Nařízení evropského parlamentu a Rady (EU) č. 2016/</w:t>
      </w:r>
      <w:r w:rsidR="00741366">
        <w:t>6</w:t>
      </w:r>
      <w:r w:rsidRPr="00C8222C">
        <w:t>79 ze dne 27. dubna 2016 o ochraně fyzických osob v souvislosti se zpracováním osobních údajů a o volném pohybu těchto údajů a o zrušení směrnice 95/46/ES (GDPR), nezbytné pro provedení opatření přijatých před uzavřením s</w:t>
      </w:r>
      <w:r w:rsidR="00C8222C" w:rsidRPr="00C8222C">
        <w:t>mlouvy na žádost subjektu údajů</w:t>
      </w:r>
      <w:r w:rsidRPr="00C8222C">
        <w:t>.</w:t>
      </w:r>
    </w:p>
    <w:p w14:paraId="5AF3C33C" w14:textId="77777777" w:rsidR="006E1E82" w:rsidRDefault="006E1E82">
      <w:pPr>
        <w:pStyle w:val="Odstavecseseznamem"/>
        <w:rPr>
          <w:color w:val="FF0000"/>
        </w:rPr>
      </w:pPr>
    </w:p>
    <w:p w14:paraId="5495BF92" w14:textId="77777777" w:rsidR="006E1E82" w:rsidRDefault="00AA7F87">
      <w:pPr>
        <w:numPr>
          <w:ilvl w:val="0"/>
          <w:numId w:val="6"/>
        </w:numPr>
        <w:tabs>
          <w:tab w:val="left" w:pos="720"/>
        </w:tabs>
        <w:jc w:val="both"/>
      </w:pPr>
      <w:r>
        <w:t>Poskytovatel uděluje dle § 34a odst. 3 zákona č. 128/2000 Sb., o obcích (obecní zřízení), ve znění pozdějších předpisů příjemci souhlas s užíváním znaku města pro účely a v rozsahu této smlouvy.</w:t>
      </w:r>
    </w:p>
    <w:p w14:paraId="0FE317AA" w14:textId="77777777" w:rsidR="006E1E82" w:rsidRDefault="006E1E82">
      <w:pPr>
        <w:tabs>
          <w:tab w:val="left" w:pos="720"/>
        </w:tabs>
        <w:ind w:left="360"/>
        <w:jc w:val="both"/>
      </w:pPr>
    </w:p>
    <w:p w14:paraId="160F7D26" w14:textId="77777777" w:rsidR="006E1E82" w:rsidRPr="00C8222C" w:rsidRDefault="00AA7F87">
      <w:pPr>
        <w:numPr>
          <w:ilvl w:val="0"/>
          <w:numId w:val="6"/>
        </w:numPr>
        <w:tabs>
          <w:tab w:val="left" w:pos="426"/>
          <w:tab w:val="left" w:pos="720"/>
        </w:tabs>
        <w:jc w:val="both"/>
      </w:pPr>
      <w:r w:rsidRPr="00C8222C">
        <w:rPr>
          <w:bCs/>
        </w:rPr>
        <w:t>Smluvní strany prohlašují, že žádná část smlouvy nenaplňuje znaky obchod</w:t>
      </w:r>
      <w:r w:rsidR="00365CFA">
        <w:rPr>
          <w:bCs/>
        </w:rPr>
        <w:t>ního tajemství (§ 504 zákona č. </w:t>
      </w:r>
      <w:r w:rsidRPr="00C8222C">
        <w:rPr>
          <w:bCs/>
        </w:rPr>
        <w:t xml:space="preserve">89/2012 Sb., občanský zákoník, ve znění pozdějších předpisů). </w:t>
      </w:r>
    </w:p>
    <w:p w14:paraId="6B40CA9B" w14:textId="77777777" w:rsidR="006E1E82" w:rsidRDefault="006E1E82">
      <w:pPr>
        <w:tabs>
          <w:tab w:val="left" w:pos="426"/>
        </w:tabs>
        <w:ind w:left="360"/>
        <w:jc w:val="both"/>
      </w:pPr>
    </w:p>
    <w:p w14:paraId="2FA9982B" w14:textId="77777777" w:rsidR="006E1E82" w:rsidRDefault="00AA7F87">
      <w:pPr>
        <w:numPr>
          <w:ilvl w:val="0"/>
          <w:numId w:val="6"/>
        </w:numPr>
        <w:tabs>
          <w:tab w:val="left" w:pos="426"/>
        </w:tabs>
        <w:jc w:val="both"/>
      </w:pPr>
      <w:r>
        <w:t>Smluvní strany shodně prohlašují, že si smlouvu před jejím podpisem přečetly a že byla uzavřena po vzájemném projednání podle jejich pravé a svobodné vůle, určitě, vážně a srozumitelně, nikoliv v tísni za nápadně nevýhodných podmínek, a že se dohodly o celém jejím obsahu, což stvrzují svými podpisy.</w:t>
      </w:r>
    </w:p>
    <w:p w14:paraId="183F66D7" w14:textId="77777777" w:rsidR="006E1E82" w:rsidRDefault="006E1E82">
      <w:pPr>
        <w:tabs>
          <w:tab w:val="left" w:pos="426"/>
        </w:tabs>
        <w:ind w:left="360"/>
        <w:jc w:val="both"/>
      </w:pPr>
    </w:p>
    <w:p w14:paraId="535908F1" w14:textId="77777777" w:rsidR="006E1E82" w:rsidRDefault="00AA7F87">
      <w:pPr>
        <w:numPr>
          <w:ilvl w:val="0"/>
          <w:numId w:val="6"/>
        </w:numPr>
        <w:tabs>
          <w:tab w:val="left" w:pos="426"/>
        </w:tabs>
        <w:jc w:val="both"/>
      </w:pPr>
      <w:r>
        <w:t>Tato smlouva nabývá účinnosti nejdříve dnem zveřejnění v registru smluv. Zveřejnění smlouvy zajistí v souladu se zákonem č. 340/2015 Sb. poskytovatel dotace.</w:t>
      </w:r>
    </w:p>
    <w:p w14:paraId="19B8E04B" w14:textId="77777777" w:rsidR="006E1E82" w:rsidRDefault="006E1E82">
      <w:pPr>
        <w:tabs>
          <w:tab w:val="left" w:pos="426"/>
        </w:tabs>
        <w:ind w:left="360"/>
        <w:jc w:val="both"/>
      </w:pPr>
    </w:p>
    <w:p w14:paraId="64814F72" w14:textId="77777777" w:rsidR="006E1E82" w:rsidRDefault="00AA7F87">
      <w:pPr>
        <w:numPr>
          <w:ilvl w:val="0"/>
          <w:numId w:val="6"/>
        </w:numPr>
        <w:tabs>
          <w:tab w:val="left" w:pos="426"/>
        </w:tabs>
        <w:jc w:val="both"/>
      </w:pPr>
      <w:r>
        <w:t xml:space="preserve">Doložka platnosti právního jednání dle § 41 zákona č. 128/2000 Sb., o obcích (obecní zřízení), ve znění pozdějších předpisů: </w:t>
      </w:r>
    </w:p>
    <w:p w14:paraId="4FD1BD14" w14:textId="77777777" w:rsidR="006E1E82" w:rsidRDefault="006E1E82">
      <w:pPr>
        <w:tabs>
          <w:tab w:val="left" w:pos="426"/>
        </w:tabs>
        <w:spacing w:before="120"/>
        <w:jc w:val="both"/>
      </w:pPr>
    </w:p>
    <w:p w14:paraId="3C4F7AFD" w14:textId="65B7EC23" w:rsidR="006E1E82" w:rsidRDefault="00AA7F87">
      <w:pPr>
        <w:tabs>
          <w:tab w:val="left" w:pos="426"/>
        </w:tabs>
        <w:spacing w:before="120"/>
        <w:jc w:val="both"/>
      </w:pPr>
      <w:r>
        <w:t xml:space="preserve">Uzavření této smlouvy bylo projednáno a </w:t>
      </w:r>
      <w:r w:rsidRPr="008C5366">
        <w:t>schváleno</w:t>
      </w:r>
      <w:r w:rsidR="000E5A03" w:rsidRPr="008C5366">
        <w:t xml:space="preserve"> </w:t>
      </w:r>
      <w:r w:rsidR="008F604C" w:rsidRPr="008C5366">
        <w:t>radou</w:t>
      </w:r>
      <w:r w:rsidRPr="008C5366">
        <w:t xml:space="preserve"> </w:t>
      </w:r>
      <w:r>
        <w:t>města dne</w:t>
      </w:r>
      <w:r w:rsidR="00826F8E">
        <w:t xml:space="preserve"> </w:t>
      </w:r>
      <w:r w:rsidR="00A450EF">
        <w:t>22.01.2024</w:t>
      </w:r>
      <w:r w:rsidR="00741366">
        <w:t xml:space="preserve"> </w:t>
      </w:r>
      <w:r w:rsidR="00471ED3">
        <w:t>usnesením č.</w:t>
      </w:r>
      <w:r w:rsidR="00A450EF">
        <w:t xml:space="preserve"> 28</w:t>
      </w:r>
      <w:r>
        <w:t>.</w:t>
      </w:r>
    </w:p>
    <w:p w14:paraId="502E03C4" w14:textId="77777777" w:rsidR="006E1E82" w:rsidRDefault="006E1E82">
      <w:pPr>
        <w:jc w:val="both"/>
      </w:pPr>
    </w:p>
    <w:p w14:paraId="10535777" w14:textId="77777777" w:rsidR="006E1E82" w:rsidRDefault="006E1E82">
      <w:pPr>
        <w:jc w:val="both"/>
      </w:pPr>
    </w:p>
    <w:p w14:paraId="684F1ADD" w14:textId="69DAB8EB" w:rsidR="006E1E82" w:rsidRDefault="00AA7F87">
      <w:pPr>
        <w:jc w:val="both"/>
      </w:pPr>
      <w:r>
        <w:t>Česká Třebová</w:t>
      </w:r>
      <w:r>
        <w:tab/>
      </w:r>
      <w:r>
        <w:tab/>
      </w:r>
      <w:r w:rsidR="00B13795">
        <w:t>16.02.2024</w:t>
      </w:r>
      <w:r>
        <w:tab/>
      </w:r>
      <w:r>
        <w:tab/>
      </w:r>
      <w:r>
        <w:tab/>
      </w:r>
      <w:r>
        <w:tab/>
        <w:t xml:space="preserve">Česká Třebová </w:t>
      </w:r>
      <w:r w:rsidR="00B13795">
        <w:tab/>
      </w:r>
      <w:r w:rsidR="00B13795">
        <w:tab/>
        <w:t>30.01.2024</w:t>
      </w:r>
    </w:p>
    <w:p w14:paraId="3DC677B0" w14:textId="77777777" w:rsidR="006E1E82" w:rsidRDefault="006E1E82">
      <w:pPr>
        <w:jc w:val="both"/>
      </w:pPr>
    </w:p>
    <w:p w14:paraId="01EA67E5" w14:textId="77777777" w:rsidR="006E1E82" w:rsidRDefault="006E1E82">
      <w:pPr>
        <w:jc w:val="both"/>
      </w:pPr>
    </w:p>
    <w:p w14:paraId="18A05E36" w14:textId="77777777" w:rsidR="006E1E82" w:rsidRDefault="006E1E82">
      <w:pPr>
        <w:jc w:val="both"/>
      </w:pPr>
    </w:p>
    <w:p w14:paraId="5B4B02ED" w14:textId="77777777" w:rsidR="006E1E82" w:rsidRDefault="00AA7F87">
      <w:pPr>
        <w:jc w:val="both"/>
      </w:pPr>
      <w:r>
        <w:t>………………………………</w:t>
      </w:r>
      <w:r>
        <w:tab/>
      </w:r>
      <w:r>
        <w:tab/>
      </w:r>
      <w:r>
        <w:tab/>
      </w:r>
      <w:r>
        <w:tab/>
      </w:r>
      <w:r>
        <w:tab/>
        <w:t>………………………………</w:t>
      </w:r>
    </w:p>
    <w:p w14:paraId="67BC2F9D" w14:textId="3C2685A8" w:rsidR="006E1E82" w:rsidRDefault="008B03B5">
      <w:pPr>
        <w:jc w:val="both"/>
      </w:pPr>
      <w:r w:rsidRPr="00423C5C">
        <w:t>Pro vás od nás, z. s.</w:t>
      </w:r>
      <w:r w:rsidR="00AA7F87">
        <w:tab/>
      </w:r>
      <w:r w:rsidR="00AA7F87">
        <w:tab/>
      </w:r>
      <w:r w:rsidR="00AA7F87">
        <w:tab/>
      </w:r>
      <w:r w:rsidR="00AA7F87">
        <w:tab/>
      </w:r>
      <w:r>
        <w:tab/>
      </w:r>
      <w:r>
        <w:tab/>
      </w:r>
      <w:r w:rsidR="00AA7F87">
        <w:t>Město Česká Třebová</w:t>
      </w:r>
    </w:p>
    <w:p w14:paraId="397B7AFE" w14:textId="1F093389" w:rsidR="006E1E82" w:rsidRDefault="008B03B5">
      <w:pPr>
        <w:jc w:val="both"/>
      </w:pPr>
      <w:r>
        <w:t>Tomáš Kupka</w:t>
      </w:r>
      <w:r w:rsidR="00AA7F87">
        <w:tab/>
      </w:r>
      <w:r w:rsidR="00AA7F87">
        <w:tab/>
      </w:r>
      <w:r w:rsidR="00AA7F87">
        <w:tab/>
      </w:r>
      <w:r w:rsidR="00AA7F87">
        <w:tab/>
      </w:r>
      <w:r w:rsidR="00AA7F87">
        <w:tab/>
      </w:r>
      <w:r w:rsidR="00AA7F87">
        <w:tab/>
      </w:r>
      <w:r w:rsidR="00AA7F87">
        <w:tab/>
      </w:r>
      <w:r w:rsidR="00DB7DA3" w:rsidRPr="008B03B5">
        <w:t>Zdeněk Řehák</w:t>
      </w:r>
    </w:p>
    <w:p w14:paraId="512A3DC3" w14:textId="43DAEA70" w:rsidR="006E1E82" w:rsidRDefault="00AA7F87">
      <w:pPr>
        <w:jc w:val="both"/>
        <w:rPr>
          <w:bCs/>
        </w:rPr>
      </w:pPr>
      <w:r>
        <w:rPr>
          <w:bCs/>
        </w:rPr>
        <w:t>předseda</w:t>
      </w:r>
      <w:r>
        <w:rPr>
          <w:bCs/>
        </w:rPr>
        <w:tab/>
      </w:r>
      <w:r>
        <w:rPr>
          <w:bCs/>
        </w:rPr>
        <w:tab/>
      </w:r>
      <w:r>
        <w:rPr>
          <w:bCs/>
        </w:rPr>
        <w:tab/>
      </w:r>
      <w:r>
        <w:rPr>
          <w:bCs/>
        </w:rPr>
        <w:tab/>
      </w:r>
      <w:r w:rsidR="008B03B5">
        <w:rPr>
          <w:bCs/>
        </w:rPr>
        <w:tab/>
      </w:r>
      <w:r w:rsidR="008B03B5">
        <w:rPr>
          <w:bCs/>
        </w:rPr>
        <w:tab/>
      </w:r>
      <w:r w:rsidR="008B03B5">
        <w:rPr>
          <w:bCs/>
        </w:rPr>
        <w:tab/>
      </w:r>
      <w:r>
        <w:rPr>
          <w:bCs/>
        </w:rPr>
        <w:t>starost</w:t>
      </w:r>
      <w:r w:rsidR="00DB7DA3">
        <w:rPr>
          <w:bCs/>
        </w:rPr>
        <w:t xml:space="preserve">a </w:t>
      </w:r>
      <w:r>
        <w:rPr>
          <w:bCs/>
        </w:rPr>
        <w:t xml:space="preserve">                                           </w:t>
      </w:r>
    </w:p>
    <w:sectPr w:rsidR="006E1E82">
      <w:headerReference w:type="default" r:id="rId8"/>
      <w:footerReference w:type="default" r:id="rId9"/>
      <w:pgSz w:w="11906" w:h="16838"/>
      <w:pgMar w:top="1417" w:right="1417" w:bottom="1417" w:left="1417" w:header="708" w:footer="708"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AA7CA" w14:textId="77777777" w:rsidR="0043282C" w:rsidRDefault="00AA7F87">
      <w:r>
        <w:separator/>
      </w:r>
    </w:p>
  </w:endnote>
  <w:endnote w:type="continuationSeparator" w:id="0">
    <w:p w14:paraId="31CCEB2B" w14:textId="77777777" w:rsidR="0043282C" w:rsidRDefault="00AA7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6BE30" w14:textId="77777777" w:rsidR="006E1E82" w:rsidRDefault="00AA7F87">
    <w:pPr>
      <w:pStyle w:val="Zpat"/>
      <w:ind w:right="360"/>
    </w:pPr>
    <w:r>
      <w:rPr>
        <w:noProof/>
      </w:rPr>
      <mc:AlternateContent>
        <mc:Choice Requires="wps">
          <w:drawing>
            <wp:anchor distT="0" distB="0" distL="0" distR="0" simplePos="0" relativeHeight="6" behindDoc="1" locked="0" layoutInCell="0" allowOverlap="1" wp14:anchorId="1BA83279" wp14:editId="1EA50BA6">
              <wp:simplePos x="0" y="0"/>
              <wp:positionH relativeFrom="margin">
                <wp:align>right</wp:align>
              </wp:positionH>
              <wp:positionV relativeFrom="paragraph">
                <wp:posOffset>635</wp:posOffset>
              </wp:positionV>
              <wp:extent cx="64770" cy="146050"/>
              <wp:effectExtent l="0" t="0" r="0" b="0"/>
              <wp:wrapSquare wrapText="bothSides"/>
              <wp:docPr id="1" name="Rámec1"/>
              <wp:cNvGraphicFramePr/>
              <a:graphic xmlns:a="http://schemas.openxmlformats.org/drawingml/2006/main">
                <a:graphicData uri="http://schemas.microsoft.com/office/word/2010/wordprocessingShape">
                  <wps:wsp>
                    <wps:cNvSpPr/>
                    <wps:spPr>
                      <a:xfrm>
                        <a:off x="0" y="0"/>
                        <a:ext cx="64080" cy="145440"/>
                      </a:xfrm>
                      <a:prstGeom prst="rect">
                        <a:avLst/>
                      </a:prstGeom>
                      <a:noFill/>
                      <a:ln w="0">
                        <a:noFill/>
                      </a:ln>
                    </wps:spPr>
                    <wps:style>
                      <a:lnRef idx="0">
                        <a:scrgbClr r="0" g="0" b="0"/>
                      </a:lnRef>
                      <a:fillRef idx="0">
                        <a:scrgbClr r="0" g="0" b="0"/>
                      </a:fillRef>
                      <a:effectRef idx="0">
                        <a:scrgbClr r="0" g="0" b="0"/>
                      </a:effectRef>
                      <a:fontRef idx="minor"/>
                    </wps:style>
                    <wps:txbx>
                      <w:txbxContent>
                        <w:p w14:paraId="3CBCA1EB" w14:textId="77777777" w:rsidR="006E1E82" w:rsidRDefault="00AA7F87">
                          <w:pPr>
                            <w:pStyle w:val="Zpat"/>
                            <w:rPr>
                              <w:rStyle w:val="slostrnky"/>
                            </w:rPr>
                          </w:pPr>
                          <w:r>
                            <w:rPr>
                              <w:rStyle w:val="slostrnky"/>
                            </w:rPr>
                            <w:fldChar w:fldCharType="begin"/>
                          </w:r>
                          <w:r>
                            <w:rPr>
                              <w:rStyle w:val="slostrnky"/>
                            </w:rPr>
                            <w:instrText>PAGE</w:instrText>
                          </w:r>
                          <w:r>
                            <w:rPr>
                              <w:rStyle w:val="slostrnky"/>
                            </w:rPr>
                            <w:fldChar w:fldCharType="separate"/>
                          </w:r>
                          <w:r w:rsidR="00471ED3">
                            <w:rPr>
                              <w:rStyle w:val="slostrnky"/>
                              <w:noProof/>
                            </w:rPr>
                            <w:t>1</w:t>
                          </w:r>
                          <w:r>
                            <w:rPr>
                              <w:rStyle w:val="slostrnky"/>
                            </w:rPr>
                            <w:fldChar w:fldCharType="end"/>
                          </w:r>
                        </w:p>
                      </w:txbxContent>
                    </wps:txbx>
                    <wps:bodyPr lIns="0" tIns="0" rIns="0" bIns="0">
                      <a:spAutoFit/>
                    </wps:bodyPr>
                  </wps:wsp>
                </a:graphicData>
              </a:graphic>
            </wp:anchor>
          </w:drawing>
        </mc:Choice>
        <mc:Fallback>
          <w:pict>
            <v:rect w14:anchorId="1BA83279" id="Rámec1" o:spid="_x0000_s1026" style="position:absolute;margin-left:-46.1pt;margin-top:.05pt;width:5.1pt;height:11.5pt;z-index:-50331647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" o:allowincell="f" filled="f" stroked="f" strokeweight="0">
              <v:textbox style="mso-fit-shape-to-text:t" inset="0,0,0,0">
                <w:txbxContent>
                  <w:p w14:paraId="3CBCA1EB" w14:textId="77777777" w:rsidR="006E1E82" w:rsidRDefault="00AA7F87">
                    <w:pPr>
                      <w:pStyle w:val="Zpat"/>
                      <w:rPr>
                        <w:rStyle w:val="slostrnky"/>
                      </w:rPr>
                    </w:pPr>
                    <w:r>
                      <w:rPr>
                        <w:rStyle w:val="slostrnky"/>
                      </w:rPr>
                      <w:fldChar w:fldCharType="begin"/>
                    </w:r>
                    <w:r>
                      <w:rPr>
                        <w:rStyle w:val="slostrnky"/>
                      </w:rPr>
                      <w:instrText>PAGE</w:instrText>
                    </w:r>
                    <w:r>
                      <w:rPr>
                        <w:rStyle w:val="slostrnky"/>
                      </w:rPr>
                      <w:fldChar w:fldCharType="separate"/>
                    </w:r>
                    <w:r w:rsidR="00471ED3">
                      <w:rPr>
                        <w:rStyle w:val="slostrnky"/>
                        <w:noProof/>
                      </w:rPr>
                      <w:t>1</w:t>
                    </w:r>
                    <w:r>
                      <w:rPr>
                        <w:rStyle w:val="slostrnky"/>
                      </w:rPr>
                      <w:fldChar w:fldCharType="end"/>
                    </w:r>
                  </w:p>
                </w:txbxContent>
              </v:textbox>
              <w10:wrap type="square"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0335C" w14:textId="77777777" w:rsidR="0043282C" w:rsidRDefault="00AA7F87">
      <w:r>
        <w:separator/>
      </w:r>
    </w:p>
  </w:footnote>
  <w:footnote w:type="continuationSeparator" w:id="0">
    <w:p w14:paraId="1B6CF4A1" w14:textId="77777777" w:rsidR="0043282C" w:rsidRDefault="00AA7F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7E331" w14:textId="4118D69C" w:rsidR="006E1E82" w:rsidRDefault="00AA7F87">
    <w:pPr>
      <w:pStyle w:val="Nadpis1"/>
      <w:jc w:val="right"/>
      <w:rPr>
        <w:b w:val="0"/>
        <w:spacing w:val="0"/>
        <w:sz w:val="20"/>
        <w:szCs w:val="32"/>
      </w:rPr>
    </w:pPr>
    <w:r>
      <w:rPr>
        <w:b w:val="0"/>
        <w:spacing w:val="0"/>
        <w:sz w:val="20"/>
        <w:szCs w:val="32"/>
      </w:rPr>
      <w:t>Evidenční číslo smlouvy:</w:t>
    </w:r>
    <w:r w:rsidR="00A450EF" w:rsidRPr="00A450EF">
      <w:t xml:space="preserve"> </w:t>
    </w:r>
    <w:r w:rsidR="00A450EF" w:rsidRPr="00A450EF">
      <w:rPr>
        <w:b w:val="0"/>
        <w:spacing w:val="0"/>
        <w:sz w:val="20"/>
        <w:szCs w:val="32"/>
      </w:rPr>
      <w:t>MUCT/2016/2024/ORMS/REJ/SMLD/3</w:t>
    </w:r>
    <w:r w:rsidR="00F63929" w:rsidRPr="00F63929">
      <w:t xml:space="preserve"> </w:t>
    </w:r>
  </w:p>
  <w:p w14:paraId="0BF37013" w14:textId="77777777" w:rsidR="006E1E82" w:rsidRDefault="006E1E8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775F3"/>
    <w:multiLevelType w:val="multilevel"/>
    <w:tmpl w:val="960CE4D0"/>
    <w:lvl w:ilvl="0">
      <w:start w:val="1"/>
      <w:numFmt w:val="decimal"/>
      <w:lvlText w:val="%1."/>
      <w:lvlJc w:val="left"/>
      <w:pPr>
        <w:tabs>
          <w:tab w:val="num" w:pos="720"/>
        </w:tabs>
        <w:ind w:left="720" w:hanging="360"/>
      </w:pPr>
      <w:rPr>
        <w:b w:val="0"/>
        <w:sz w:val="20"/>
        <w:szCs w:val="20"/>
      </w:rPr>
    </w:lvl>
    <w:lvl w:ilvl="1">
      <w:start w:val="1"/>
      <w:numFmt w:val="lowerLetter"/>
      <w:lvlText w:val="%2)"/>
      <w:lvlJc w:val="left"/>
      <w:pPr>
        <w:tabs>
          <w:tab w:val="num" w:pos="1440"/>
        </w:tabs>
        <w:ind w:left="1440" w:hanging="360"/>
      </w:pPr>
      <w:rPr>
        <w:b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9E7214A"/>
    <w:multiLevelType w:val="multilevel"/>
    <w:tmpl w:val="B4268350"/>
    <w:lvl w:ilvl="0">
      <w:start w:val="1"/>
      <w:numFmt w:val="decimal"/>
      <w:lvlText w:val="%1."/>
      <w:lvlJc w:val="left"/>
      <w:pPr>
        <w:tabs>
          <w:tab w:val="num" w:pos="360"/>
        </w:tabs>
        <w:ind w:left="360" w:hanging="360"/>
      </w:pPr>
      <w:rPr>
        <w:strike w:val="0"/>
        <w:dstrike w:val="0"/>
        <w:color w:val="auto"/>
      </w:rPr>
    </w:lvl>
    <w:lvl w:ilvl="1">
      <w:start w:val="1"/>
      <w:numFmt w:val="lowerLetter"/>
      <w:lvlText w:val="%2)"/>
      <w:lvlJc w:val="left"/>
      <w:pPr>
        <w:tabs>
          <w:tab w:val="num" w:pos="1440"/>
        </w:tabs>
        <w:ind w:left="1420" w:hanging="34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DF16B76"/>
    <w:multiLevelType w:val="multilevel"/>
    <w:tmpl w:val="A9084B7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1E252912"/>
    <w:multiLevelType w:val="multilevel"/>
    <w:tmpl w:val="AC0E3592"/>
    <w:lvl w:ilvl="0">
      <w:start w:val="1"/>
      <w:numFmt w:val="decimal"/>
      <w:lvlText w:val="%1."/>
      <w:lvlJc w:val="left"/>
      <w:pPr>
        <w:tabs>
          <w:tab w:val="num" w:pos="735"/>
        </w:tabs>
        <w:ind w:left="735" w:hanging="375"/>
      </w:p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A14437F"/>
    <w:multiLevelType w:val="multilevel"/>
    <w:tmpl w:val="563EED08"/>
    <w:lvl w:ilvl="0">
      <w:numFmt w:val="bullet"/>
      <w:lvlText w:val="-"/>
      <w:lvlJc w:val="left"/>
      <w:pPr>
        <w:tabs>
          <w:tab w:val="num" w:pos="1800"/>
        </w:tabs>
        <w:ind w:left="1800" w:hanging="360"/>
      </w:pPr>
      <w:rPr>
        <w:rFonts w:ascii="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5" w15:restartNumberingAfterBreak="0">
    <w:nsid w:val="3FAB4E5E"/>
    <w:multiLevelType w:val="multilevel"/>
    <w:tmpl w:val="59B4C4D2"/>
    <w:lvl w:ilvl="0">
      <w:start w:val="1"/>
      <w:numFmt w:val="decimal"/>
      <w:lvlText w:val="%1."/>
      <w:lvlJc w:val="left"/>
      <w:pPr>
        <w:tabs>
          <w:tab w:val="num" w:pos="1070"/>
        </w:tabs>
        <w:ind w:left="1070" w:hanging="360"/>
      </w:pPr>
    </w:lvl>
    <w:lvl w:ilvl="1">
      <w:start w:val="1"/>
      <w:numFmt w:val="lowerLetter"/>
      <w:lvlText w:val="%2."/>
      <w:lvlJc w:val="left"/>
      <w:pPr>
        <w:tabs>
          <w:tab w:val="num" w:pos="1790"/>
        </w:tabs>
        <w:ind w:left="1790" w:hanging="360"/>
      </w:pPr>
    </w:lvl>
    <w:lvl w:ilvl="2">
      <w:start w:val="1"/>
      <w:numFmt w:val="lowerRoman"/>
      <w:lvlText w:val="%3."/>
      <w:lvlJc w:val="right"/>
      <w:pPr>
        <w:tabs>
          <w:tab w:val="num" w:pos="2510"/>
        </w:tabs>
        <w:ind w:left="2510" w:hanging="180"/>
      </w:pPr>
    </w:lvl>
    <w:lvl w:ilvl="3">
      <w:start w:val="1"/>
      <w:numFmt w:val="decimal"/>
      <w:lvlText w:val="%4."/>
      <w:lvlJc w:val="left"/>
      <w:pPr>
        <w:tabs>
          <w:tab w:val="num" w:pos="3230"/>
        </w:tabs>
        <w:ind w:left="3230" w:hanging="360"/>
      </w:pPr>
    </w:lvl>
    <w:lvl w:ilvl="4">
      <w:start w:val="1"/>
      <w:numFmt w:val="lowerLetter"/>
      <w:lvlText w:val="%5."/>
      <w:lvlJc w:val="left"/>
      <w:pPr>
        <w:tabs>
          <w:tab w:val="num" w:pos="3950"/>
        </w:tabs>
        <w:ind w:left="3950" w:hanging="360"/>
      </w:pPr>
    </w:lvl>
    <w:lvl w:ilvl="5">
      <w:start w:val="1"/>
      <w:numFmt w:val="lowerRoman"/>
      <w:lvlText w:val="%6."/>
      <w:lvlJc w:val="right"/>
      <w:pPr>
        <w:tabs>
          <w:tab w:val="num" w:pos="4670"/>
        </w:tabs>
        <w:ind w:left="4670" w:hanging="180"/>
      </w:pPr>
    </w:lvl>
    <w:lvl w:ilvl="6">
      <w:start w:val="1"/>
      <w:numFmt w:val="decimal"/>
      <w:lvlText w:val="%7."/>
      <w:lvlJc w:val="left"/>
      <w:pPr>
        <w:tabs>
          <w:tab w:val="num" w:pos="5390"/>
        </w:tabs>
        <w:ind w:left="5390" w:hanging="360"/>
      </w:pPr>
    </w:lvl>
    <w:lvl w:ilvl="7">
      <w:start w:val="1"/>
      <w:numFmt w:val="lowerLetter"/>
      <w:lvlText w:val="%8."/>
      <w:lvlJc w:val="left"/>
      <w:pPr>
        <w:tabs>
          <w:tab w:val="num" w:pos="6110"/>
        </w:tabs>
        <w:ind w:left="6110" w:hanging="360"/>
      </w:pPr>
    </w:lvl>
    <w:lvl w:ilvl="8">
      <w:start w:val="1"/>
      <w:numFmt w:val="lowerRoman"/>
      <w:lvlText w:val="%9."/>
      <w:lvlJc w:val="right"/>
      <w:pPr>
        <w:tabs>
          <w:tab w:val="num" w:pos="6830"/>
        </w:tabs>
        <w:ind w:left="6830" w:hanging="180"/>
      </w:pPr>
    </w:lvl>
  </w:abstractNum>
  <w:abstractNum w:abstractNumId="6" w15:restartNumberingAfterBreak="0">
    <w:nsid w:val="41440E1B"/>
    <w:multiLevelType w:val="multilevel"/>
    <w:tmpl w:val="C5AA88C0"/>
    <w:lvl w:ilvl="0">
      <w:start w:val="1"/>
      <w:numFmt w:val="decimal"/>
      <w:lvlText w:val="%1."/>
      <w:lvlJc w:val="left"/>
      <w:pPr>
        <w:tabs>
          <w:tab w:val="num" w:pos="720"/>
        </w:tabs>
        <w:ind w:left="720" w:hanging="360"/>
      </w:pPr>
      <w:rPr>
        <w:b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CBC6B36"/>
    <w:multiLevelType w:val="multilevel"/>
    <w:tmpl w:val="63F08062"/>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60B9737C"/>
    <w:multiLevelType w:val="multilevel"/>
    <w:tmpl w:val="7216470E"/>
    <w:lvl w:ilvl="0">
      <w:start w:val="1"/>
      <w:numFmt w:val="decimal"/>
      <w:lvlText w:val="%1."/>
      <w:lvlJc w:val="left"/>
      <w:pPr>
        <w:tabs>
          <w:tab w:val="num" w:pos="1741"/>
        </w:tabs>
        <w:ind w:left="1741" w:hanging="1032"/>
      </w:p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9" w15:restartNumberingAfterBreak="0">
    <w:nsid w:val="68FD78DA"/>
    <w:multiLevelType w:val="multilevel"/>
    <w:tmpl w:val="3E722A34"/>
    <w:lvl w:ilvl="0">
      <w:start w:val="1"/>
      <w:numFmt w:val="decimal"/>
      <w:lvlText w:val="%1."/>
      <w:lvlJc w:val="left"/>
      <w:pPr>
        <w:tabs>
          <w:tab w:val="num" w:pos="1070"/>
        </w:tabs>
        <w:ind w:left="1070" w:hanging="360"/>
      </w:pPr>
    </w:lvl>
    <w:lvl w:ilvl="1">
      <w:start w:val="1"/>
      <w:numFmt w:val="bullet"/>
      <w:lvlText w:val=""/>
      <w:lvlJc w:val="left"/>
      <w:pPr>
        <w:tabs>
          <w:tab w:val="num" w:pos="1800"/>
        </w:tabs>
        <w:ind w:left="1800" w:hanging="360"/>
      </w:pPr>
      <w:rPr>
        <w:rFonts w:ascii="Symbol" w:hAnsi="Symbol" w:cs="Symbol" w:hint="default"/>
      </w:rPr>
    </w:lvl>
    <w:lvl w:ilvl="2">
      <w:numFmt w:val="bullet"/>
      <w:lvlText w:val="-"/>
      <w:lvlJc w:val="left"/>
      <w:pPr>
        <w:tabs>
          <w:tab w:val="num" w:pos="0"/>
        </w:tabs>
        <w:ind w:left="2700" w:hanging="360"/>
      </w:pPr>
      <w:rPr>
        <w:rFonts w:ascii="Times New Roman" w:hAnsi="Times New Roman" w:cs="Times New Roman"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7C1035E9"/>
    <w:multiLevelType w:val="multilevel"/>
    <w:tmpl w:val="BC3CBD4E"/>
    <w:lvl w:ilvl="0">
      <w:start w:val="1"/>
      <w:numFmt w:val="decimal"/>
      <w:lvlText w:val="%1."/>
      <w:lvlJc w:val="left"/>
      <w:pPr>
        <w:tabs>
          <w:tab w:val="num" w:pos="720"/>
        </w:tabs>
        <w:ind w:left="720" w:hanging="360"/>
      </w:pPr>
    </w:lvl>
    <w:lvl w:ilvl="1">
      <w:start w:val="1"/>
      <w:numFmt w:val="lowerLetter"/>
      <w:lvlText w:val="%2)"/>
      <w:lvlJc w:val="left"/>
      <w:pPr>
        <w:tabs>
          <w:tab w:val="num" w:pos="1770"/>
        </w:tabs>
        <w:ind w:left="1770" w:hanging="69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983729296">
    <w:abstractNumId w:val="7"/>
  </w:num>
  <w:num w:numId="2" w16cid:durableId="1898272675">
    <w:abstractNumId w:val="9"/>
  </w:num>
  <w:num w:numId="3" w16cid:durableId="1130856418">
    <w:abstractNumId w:val="5"/>
  </w:num>
  <w:num w:numId="4" w16cid:durableId="2117213344">
    <w:abstractNumId w:val="3"/>
  </w:num>
  <w:num w:numId="5" w16cid:durableId="1972051996">
    <w:abstractNumId w:val="4"/>
  </w:num>
  <w:num w:numId="6" w16cid:durableId="508178216">
    <w:abstractNumId w:val="1"/>
  </w:num>
  <w:num w:numId="7" w16cid:durableId="871185600">
    <w:abstractNumId w:val="10"/>
  </w:num>
  <w:num w:numId="8" w16cid:durableId="865411720">
    <w:abstractNumId w:val="0"/>
  </w:num>
  <w:num w:numId="9" w16cid:durableId="29110312">
    <w:abstractNumId w:val="6"/>
  </w:num>
  <w:num w:numId="10" w16cid:durableId="1470049879">
    <w:abstractNumId w:val="8"/>
  </w:num>
  <w:num w:numId="11" w16cid:durableId="8248594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82"/>
    <w:rsid w:val="00063A53"/>
    <w:rsid w:val="000E5A03"/>
    <w:rsid w:val="002614A6"/>
    <w:rsid w:val="00365CFA"/>
    <w:rsid w:val="003F2714"/>
    <w:rsid w:val="0043282C"/>
    <w:rsid w:val="00471ED3"/>
    <w:rsid w:val="00473BB6"/>
    <w:rsid w:val="004E3EC9"/>
    <w:rsid w:val="004E5666"/>
    <w:rsid w:val="004F52D6"/>
    <w:rsid w:val="00522103"/>
    <w:rsid w:val="0052796C"/>
    <w:rsid w:val="00681CBA"/>
    <w:rsid w:val="00682953"/>
    <w:rsid w:val="00694BA2"/>
    <w:rsid w:val="006E1E82"/>
    <w:rsid w:val="00741366"/>
    <w:rsid w:val="00826F8E"/>
    <w:rsid w:val="008B03B5"/>
    <w:rsid w:val="008C0C5D"/>
    <w:rsid w:val="008C5366"/>
    <w:rsid w:val="008F604C"/>
    <w:rsid w:val="009D4EFA"/>
    <w:rsid w:val="009D5D27"/>
    <w:rsid w:val="00A450EF"/>
    <w:rsid w:val="00AA7F87"/>
    <w:rsid w:val="00AC0717"/>
    <w:rsid w:val="00AF5FE3"/>
    <w:rsid w:val="00B13795"/>
    <w:rsid w:val="00BD72BA"/>
    <w:rsid w:val="00C00E64"/>
    <w:rsid w:val="00C50F16"/>
    <w:rsid w:val="00C8222C"/>
    <w:rsid w:val="00DB7DA3"/>
    <w:rsid w:val="00E548B5"/>
    <w:rsid w:val="00F63929"/>
    <w:rsid w:val="00F8492F"/>
    <w:rsid w:val="00FE7706"/>
    <w:rsid w:val="00FF1040"/>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408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939FC"/>
  </w:style>
  <w:style w:type="paragraph" w:styleId="Nadpis1">
    <w:name w:val="heading 1"/>
    <w:basedOn w:val="Normln"/>
    <w:next w:val="Normln"/>
    <w:qFormat/>
    <w:rsid w:val="00A939FC"/>
    <w:pPr>
      <w:keepNext/>
      <w:jc w:val="center"/>
      <w:outlineLvl w:val="0"/>
    </w:pPr>
    <w:rPr>
      <w:b/>
      <w:spacing w:val="30"/>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qFormat/>
    <w:rsid w:val="00E720A1"/>
  </w:style>
  <w:style w:type="character" w:customStyle="1" w:styleId="ZhlavChar">
    <w:name w:val="Záhlaví Char"/>
    <w:basedOn w:val="Standardnpsmoodstavce"/>
    <w:link w:val="Zhlav"/>
    <w:qFormat/>
    <w:rsid w:val="00B660A0"/>
  </w:style>
  <w:style w:type="character" w:styleId="Odkaznakoment">
    <w:name w:val="annotation reference"/>
    <w:basedOn w:val="Standardnpsmoodstavce"/>
    <w:semiHidden/>
    <w:unhideWhenUsed/>
    <w:qFormat/>
    <w:rsid w:val="00783D40"/>
    <w:rPr>
      <w:sz w:val="16"/>
      <w:szCs w:val="16"/>
    </w:rPr>
  </w:style>
  <w:style w:type="character" w:customStyle="1" w:styleId="TextkomenteChar">
    <w:name w:val="Text komentáře Char"/>
    <w:basedOn w:val="Standardnpsmoodstavce"/>
    <w:link w:val="Textkomente"/>
    <w:semiHidden/>
    <w:qFormat/>
    <w:rsid w:val="00783D40"/>
  </w:style>
  <w:style w:type="character" w:customStyle="1" w:styleId="PedmtkomenteChar">
    <w:name w:val="Předmět komentáře Char"/>
    <w:basedOn w:val="TextkomenteChar"/>
    <w:link w:val="Pedmtkomente"/>
    <w:semiHidden/>
    <w:qFormat/>
    <w:rsid w:val="00783D40"/>
    <w:rPr>
      <w:b/>
      <w:bCs/>
    </w:rPr>
  </w:style>
  <w:style w:type="paragraph" w:customStyle="1" w:styleId="Nadpis">
    <w:name w:val="Nadpis"/>
    <w:basedOn w:val="Normln"/>
    <w:next w:val="Zkladntext"/>
    <w:qFormat/>
    <w:pPr>
      <w:keepNext/>
      <w:spacing w:before="240" w:after="120"/>
    </w:pPr>
    <w:rPr>
      <w:rFonts w:ascii="Liberation Sans" w:eastAsia="Microsoft YaHei" w:hAnsi="Liberation Sans" w:cs="Mangal"/>
      <w:sz w:val="28"/>
      <w:szCs w:val="28"/>
    </w:rPr>
  </w:style>
  <w:style w:type="paragraph" w:styleId="Zkladntext">
    <w:name w:val="Body Text"/>
    <w:basedOn w:val="Normln"/>
    <w:rsid w:val="00A939FC"/>
    <w:pPr>
      <w:jc w:val="center"/>
    </w:pPr>
    <w:rPr>
      <w:b/>
      <w:sz w:val="24"/>
    </w:r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Zkladntext2">
    <w:name w:val="Body Text 2"/>
    <w:basedOn w:val="Normln"/>
    <w:qFormat/>
    <w:rsid w:val="00A939FC"/>
    <w:pPr>
      <w:jc w:val="both"/>
    </w:pPr>
  </w:style>
  <w:style w:type="paragraph" w:customStyle="1" w:styleId="Default">
    <w:name w:val="Default"/>
    <w:qFormat/>
    <w:rsid w:val="006B1090"/>
    <w:rPr>
      <w:color w:val="000000"/>
      <w:sz w:val="24"/>
      <w:szCs w:val="24"/>
      <w:lang w:eastAsia="en-US"/>
    </w:rPr>
  </w:style>
  <w:style w:type="paragraph" w:customStyle="1" w:styleId="Odstavecseseznamem1">
    <w:name w:val="Odstavec se seznamem1"/>
    <w:basedOn w:val="Normln"/>
    <w:qFormat/>
    <w:rsid w:val="006B1090"/>
    <w:pPr>
      <w:spacing w:after="160" w:line="259" w:lineRule="auto"/>
      <w:ind w:left="720"/>
      <w:contextualSpacing/>
    </w:pPr>
    <w:rPr>
      <w:rFonts w:ascii="Calibri" w:hAnsi="Calibri"/>
      <w:sz w:val="22"/>
      <w:szCs w:val="22"/>
      <w:lang w:eastAsia="en-US"/>
    </w:rPr>
  </w:style>
  <w:style w:type="paragraph" w:customStyle="1" w:styleId="Zhlavazpat">
    <w:name w:val="Záhlaví a zápatí"/>
    <w:basedOn w:val="Normln"/>
    <w:qFormat/>
  </w:style>
  <w:style w:type="paragraph" w:styleId="Zpat">
    <w:name w:val="footer"/>
    <w:basedOn w:val="Normln"/>
    <w:rsid w:val="00E720A1"/>
    <w:pPr>
      <w:tabs>
        <w:tab w:val="center" w:pos="4536"/>
        <w:tab w:val="right" w:pos="9072"/>
      </w:tabs>
    </w:pPr>
  </w:style>
  <w:style w:type="paragraph" w:styleId="Textbubliny">
    <w:name w:val="Balloon Text"/>
    <w:basedOn w:val="Normln"/>
    <w:semiHidden/>
    <w:qFormat/>
    <w:rsid w:val="0085710F"/>
    <w:rPr>
      <w:rFonts w:ascii="Tahoma" w:hAnsi="Tahoma" w:cs="Tahoma"/>
      <w:sz w:val="16"/>
      <w:szCs w:val="16"/>
    </w:rPr>
  </w:style>
  <w:style w:type="paragraph" w:styleId="Odstavecseseznamem">
    <w:name w:val="List Paragraph"/>
    <w:basedOn w:val="Normln"/>
    <w:uiPriority w:val="34"/>
    <w:qFormat/>
    <w:rsid w:val="00687514"/>
    <w:pPr>
      <w:ind w:left="708"/>
    </w:pPr>
  </w:style>
  <w:style w:type="paragraph" w:styleId="Zhlav">
    <w:name w:val="header"/>
    <w:basedOn w:val="Normln"/>
    <w:link w:val="ZhlavChar"/>
    <w:rsid w:val="00B660A0"/>
    <w:pPr>
      <w:tabs>
        <w:tab w:val="center" w:pos="4536"/>
        <w:tab w:val="right" w:pos="9072"/>
      </w:tabs>
    </w:pPr>
  </w:style>
  <w:style w:type="paragraph" w:styleId="Textkomente">
    <w:name w:val="annotation text"/>
    <w:basedOn w:val="Normln"/>
    <w:link w:val="TextkomenteChar"/>
    <w:semiHidden/>
    <w:unhideWhenUsed/>
    <w:qFormat/>
    <w:rsid w:val="00783D40"/>
  </w:style>
  <w:style w:type="paragraph" w:styleId="Pedmtkomente">
    <w:name w:val="annotation subject"/>
    <w:basedOn w:val="Textkomente"/>
    <w:next w:val="Textkomente"/>
    <w:link w:val="PedmtkomenteChar"/>
    <w:semiHidden/>
    <w:unhideWhenUsed/>
    <w:qFormat/>
    <w:rsid w:val="00783D40"/>
    <w:rPr>
      <w:b/>
      <w:bCs/>
    </w:rPr>
  </w:style>
  <w:style w:type="paragraph" w:customStyle="1" w:styleId="Obsahrmce">
    <w:name w:val="Obsah rámce"/>
    <w:basedOn w:val="Normln"/>
    <w:qFormat/>
  </w:style>
  <w:style w:type="table" w:styleId="Mkatabulky">
    <w:name w:val="Table Grid"/>
    <w:basedOn w:val="Normlntabulka"/>
    <w:rsid w:val="00E73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17BB6-26D2-4713-A8B0-321C91446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1895</Words>
  <Characters>11181</Characters>
  <Application>Microsoft Office Word</Application>
  <DocSecurity>0</DocSecurity>
  <Lines>93</Lines>
  <Paragraphs>26</Paragraphs>
  <ScaleCrop>false</ScaleCrop>
  <Company/>
  <LinksUpToDate>false</LinksUpToDate>
  <CharactersWithSpaces>13050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2024-02-19T07:22:00Z</dcterms:created>
  <dcterms:modified xsi:type="dcterms:W3CDTF">2024-02-19T07:22:00Z</dcterms:modified>
  <dc:language/>
</cp:coreProperties>
</file>