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C8" w:rsidRDefault="000A2FC8" w:rsidP="000A2FC8">
      <w:pPr>
        <w:rPr>
          <w:rFonts w:ascii="Calibri" w:hAnsi="Calibri"/>
        </w:rPr>
      </w:pPr>
      <w:r w:rsidRPr="000A2FC8">
        <w:rPr>
          <w:rFonts w:ascii="Calibri" w:hAnsi="Calibri"/>
        </w:rPr>
        <w:t>KS   2233/2024</w:t>
      </w:r>
    </w:p>
    <w:p w:rsidR="000A2FC8" w:rsidRDefault="000A2FC8" w:rsidP="000A2FC8">
      <w:pPr>
        <w:rPr>
          <w:rFonts w:ascii="Calibri" w:hAnsi="Calibri"/>
        </w:rPr>
      </w:pPr>
      <w:r w:rsidRPr="000A2FC8">
        <w:rPr>
          <w:rFonts w:ascii="Calibri" w:hAnsi="Calibri"/>
        </w:rPr>
        <w:t>MUNAC 11751/2024</w:t>
      </w:r>
    </w:p>
    <w:p w:rsidR="000A2FC8" w:rsidRPr="000A2FC8" w:rsidRDefault="000A2FC8" w:rsidP="000A2FC8">
      <w:pPr>
        <w:rPr>
          <w:rFonts w:ascii="Calibri" w:hAnsi="Calibri"/>
        </w:rPr>
      </w:pPr>
      <w:r w:rsidRPr="000A2FC8">
        <w:rPr>
          <w:rFonts w:ascii="Calibri" w:hAnsi="Calibri"/>
        </w:rPr>
        <w:t>MUNAX00ZRUAU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C67854">
        <w:rPr>
          <w:rFonts w:ascii="Calibri" w:hAnsi="Calibri" w:cs="Calibri"/>
          <w:sz w:val="24"/>
          <w:szCs w:val="24"/>
        </w:rPr>
        <w:t>1</w:t>
      </w:r>
      <w:r w:rsidR="00AD07F1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AD07F1" w:rsidRPr="00DB35F2" w:rsidRDefault="00AD07F1" w:rsidP="00AD07F1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bCs/>
          <w:szCs w:val="24"/>
        </w:rPr>
        <w:t>Základní umělecká škola, Náchod, Tyršova 247</w:t>
      </w:r>
    </w:p>
    <w:p w:rsidR="00AD07F1" w:rsidRPr="00DB35F2" w:rsidRDefault="00AD07F1" w:rsidP="00AD07F1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07F1" w:rsidRPr="00DB35F2" w:rsidTr="00C747D3">
        <w:trPr>
          <w:trHeight w:val="401"/>
        </w:trPr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Tyršova 247, 547 01 Náchod</w:t>
            </w:r>
          </w:p>
        </w:tc>
      </w:tr>
      <w:tr w:rsidR="00AD07F1" w:rsidRPr="00DB35F2" w:rsidTr="00C747D3">
        <w:trPr>
          <w:trHeight w:val="370"/>
        </w:trPr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Mgr. Zbyněk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Mokrejš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ředitel</w:t>
            </w:r>
          </w:p>
        </w:tc>
      </w:tr>
      <w:tr w:rsidR="00AD07F1" w:rsidRPr="00DB35F2" w:rsidTr="00C747D3">
        <w:trPr>
          <w:trHeight w:val="352"/>
        </w:trPr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67439241</w:t>
            </w:r>
          </w:p>
        </w:tc>
      </w:tr>
      <w:tr w:rsidR="00AD07F1" w:rsidRPr="00DB35F2" w:rsidTr="00C747D3">
        <w:trPr>
          <w:trHeight w:val="348"/>
        </w:trPr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ČSOB a.s., pobočka Náchod</w:t>
            </w:r>
          </w:p>
        </w:tc>
      </w:tr>
      <w:tr w:rsidR="00AD07F1" w:rsidRPr="00DB35F2" w:rsidTr="00C747D3">
        <w:trPr>
          <w:trHeight w:val="372"/>
        </w:trPr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DB35F2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AD07F1" w:rsidRPr="00DB35F2" w:rsidRDefault="00AD07F1" w:rsidP="00C747D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274272003/0300</w:t>
            </w:r>
          </w:p>
        </w:tc>
      </w:tr>
    </w:tbl>
    <w:p w:rsidR="00AD07F1" w:rsidRPr="00DB35F2" w:rsidRDefault="00AD07F1" w:rsidP="00AD07F1">
      <w:pPr>
        <w:rPr>
          <w:rFonts w:ascii="Calibri" w:hAnsi="Calibri" w:cs="Calibri"/>
          <w:sz w:val="24"/>
          <w:szCs w:val="24"/>
        </w:rPr>
      </w:pPr>
    </w:p>
    <w:p w:rsidR="00AD07F1" w:rsidRDefault="00AD07F1" w:rsidP="00AD07F1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(dále též jako „Příjemce“)</w:t>
      </w:r>
    </w:p>
    <w:p w:rsidR="00783C9B" w:rsidRPr="00DB35F2" w:rsidRDefault="00783C9B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AD07F1" w:rsidRPr="00AD07F1" w:rsidRDefault="00AD07F1" w:rsidP="00AD07F1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  <w:r w:rsidRPr="00AD07F1">
        <w:rPr>
          <w:rFonts w:ascii="Calibri" w:hAnsi="Calibri" w:cs="Calibri"/>
          <w:sz w:val="24"/>
          <w:szCs w:val="24"/>
        </w:rPr>
        <w:t xml:space="preserve">Poskytnutá dotace je účelově určena na </w:t>
      </w:r>
      <w:r w:rsidRPr="00AD07F1">
        <w:rPr>
          <w:rFonts w:ascii="Calibri" w:hAnsi="Calibri"/>
          <w:sz w:val="24"/>
          <w:szCs w:val="24"/>
        </w:rPr>
        <w:t xml:space="preserve">úhradu mezd, sociálního a zdravotního pojištění </w:t>
      </w:r>
      <w:r w:rsidRPr="00AD07F1">
        <w:rPr>
          <w:rFonts w:ascii="Calibri" w:hAnsi="Calibri" w:cs="Calibri"/>
          <w:sz w:val="24"/>
          <w:szCs w:val="24"/>
        </w:rPr>
        <w:t>včetně ostatních mzdových nákladů s tím spojených a dále na úhradu nákladů spojených s realizací výuky Akademie 60+.</w:t>
      </w:r>
    </w:p>
    <w:p w:rsidR="007318FE" w:rsidRPr="007318FE" w:rsidRDefault="007318FE" w:rsidP="007318FE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3B4A0F">
        <w:rPr>
          <w:rFonts w:ascii="Calibri" w:hAnsi="Calibri" w:cs="Calibri"/>
          <w:sz w:val="24"/>
          <w:szCs w:val="24"/>
        </w:rPr>
        <w:t>50</w:t>
      </w:r>
      <w:r w:rsidR="007318FE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C43D8E" w:rsidRPr="005C6882" w:rsidRDefault="00E7054C" w:rsidP="00C43D8E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5C6882" w:rsidRPr="00BC6272" w:rsidRDefault="005C6882" w:rsidP="005C6882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5C6882" w:rsidRPr="00BC6272" w:rsidRDefault="005C6882" w:rsidP="005C6882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5C6882" w:rsidRPr="00BC6272" w:rsidRDefault="005C6882" w:rsidP="005C6882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5C6882" w:rsidRPr="00BC6272" w:rsidRDefault="003B4A0F" w:rsidP="005C6882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50</w:t>
      </w:r>
      <w:r w:rsidR="005C6882">
        <w:rPr>
          <w:rFonts w:ascii="Calibri" w:hAnsi="Calibri"/>
          <w:b/>
          <w:sz w:val="24"/>
          <w:szCs w:val="24"/>
        </w:rPr>
        <w:t>0</w:t>
      </w:r>
      <w:r w:rsidR="005C6882" w:rsidRPr="00BC6272">
        <w:rPr>
          <w:rFonts w:ascii="Calibri" w:hAnsi="Calibri"/>
          <w:b/>
          <w:sz w:val="24"/>
          <w:szCs w:val="24"/>
        </w:rPr>
        <w:t>.000,-</w:t>
      </w:r>
      <w:r w:rsidR="005C6882" w:rsidRPr="00BC6272">
        <w:rPr>
          <w:rFonts w:ascii="Calibri" w:hAnsi="Calibri"/>
          <w:sz w:val="24"/>
          <w:szCs w:val="24"/>
        </w:rPr>
        <w:t xml:space="preserve">  </w:t>
      </w:r>
      <w:proofErr w:type="gramStart"/>
      <w:r w:rsidR="005C6882" w:rsidRPr="00C466FA">
        <w:rPr>
          <w:rFonts w:ascii="Calibri" w:hAnsi="Calibri"/>
          <w:b/>
          <w:sz w:val="24"/>
          <w:szCs w:val="24"/>
        </w:rPr>
        <w:t>Kč</w:t>
      </w:r>
      <w:r w:rsidR="005C6882" w:rsidRPr="00BC6272">
        <w:rPr>
          <w:rFonts w:ascii="Calibri" w:hAnsi="Calibri"/>
          <w:sz w:val="24"/>
          <w:szCs w:val="24"/>
        </w:rPr>
        <w:t xml:space="preserve">  (slovy</w:t>
      </w:r>
      <w:proofErr w:type="gramEnd"/>
      <w:r w:rsidR="005C6882" w:rsidRPr="00BC6272"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Pětset</w:t>
      </w:r>
      <w:r w:rsidR="005C6882"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="005C6882" w:rsidRPr="00BC6272">
        <w:rPr>
          <w:rFonts w:ascii="Calibri" w:hAnsi="Calibri"/>
          <w:sz w:val="24"/>
          <w:szCs w:val="24"/>
        </w:rPr>
        <w:t>)</w:t>
      </w:r>
      <w:r w:rsidR="005C6882">
        <w:rPr>
          <w:rFonts w:ascii="Calibri" w:hAnsi="Calibri"/>
          <w:sz w:val="24"/>
          <w:szCs w:val="24"/>
        </w:rPr>
        <w:t>.</w:t>
      </w:r>
    </w:p>
    <w:p w:rsidR="005C6882" w:rsidRPr="003D5085" w:rsidRDefault="005C6882" w:rsidP="005C6882">
      <w:pPr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937519">
        <w:rPr>
          <w:rFonts w:ascii="Calibri" w:hAnsi="Calibri" w:cs="Calibri"/>
          <w:sz w:val="24"/>
          <w:szCs w:val="24"/>
        </w:rPr>
        <w:t xml:space="preserve">Poskytovatel se zavazuje celou výši dotace </w:t>
      </w:r>
      <w:r w:rsidR="003B4A0F">
        <w:rPr>
          <w:rFonts w:ascii="Calibri" w:hAnsi="Calibri" w:cs="Calibri"/>
          <w:sz w:val="24"/>
          <w:szCs w:val="24"/>
        </w:rPr>
        <w:t>50</w:t>
      </w:r>
      <w:r>
        <w:rPr>
          <w:rFonts w:ascii="Calibri" w:hAnsi="Calibri" w:cs="Calibri"/>
          <w:sz w:val="24"/>
          <w:szCs w:val="24"/>
        </w:rPr>
        <w:t>0</w:t>
      </w:r>
      <w:r w:rsidRPr="00937519">
        <w:rPr>
          <w:rFonts w:ascii="Calibri" w:hAnsi="Calibri" w:cs="Calibri"/>
          <w:sz w:val="24"/>
          <w:szCs w:val="24"/>
        </w:rPr>
        <w:t>.000,- Kč poukázat jednorázově bankovním převodem na účet Příjemce uvedený v záhlaví smlouvy, a to nejpozději do konce června 2024, ne však dříve než do 60 dnů od nabytí účinnosti této</w:t>
      </w:r>
      <w:r>
        <w:rPr>
          <w:rFonts w:ascii="Calibri" w:hAnsi="Calibri" w:cs="Calibri"/>
          <w:sz w:val="24"/>
          <w:szCs w:val="24"/>
        </w:rPr>
        <w:t xml:space="preserve"> smlouvy.</w:t>
      </w:r>
    </w:p>
    <w:p w:rsidR="005C6882" w:rsidRDefault="005C6882" w:rsidP="005C6882">
      <w:pPr>
        <w:spacing w:after="120"/>
        <w:jc w:val="both"/>
        <w:rPr>
          <w:rFonts w:ascii="Calibri" w:hAnsi="Calibri"/>
          <w:sz w:val="24"/>
          <w:szCs w:val="24"/>
        </w:rPr>
      </w:pPr>
    </w:p>
    <w:p w:rsidR="003B4A0F" w:rsidRPr="0041719C" w:rsidRDefault="003B4A0F" w:rsidP="005C6882">
      <w:pPr>
        <w:spacing w:after="120"/>
        <w:jc w:val="both"/>
        <w:rPr>
          <w:rFonts w:ascii="Calibri" w:hAnsi="Calibri"/>
          <w:sz w:val="24"/>
          <w:szCs w:val="24"/>
        </w:rPr>
      </w:pPr>
    </w:p>
    <w:p w:rsidR="005C6882" w:rsidRPr="00DB35F2" w:rsidRDefault="005C6882" w:rsidP="005C6882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7E4B39" w:rsidRDefault="007E4B39" w:rsidP="007E4B39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783C9B" w:rsidRPr="005C6882" w:rsidRDefault="00E7054C" w:rsidP="005C6882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0A2FC8" w:rsidRDefault="00E7054C" w:rsidP="000A2FC8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0A2FC8" w:rsidRDefault="000A2FC8" w:rsidP="000A2FC8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0A2FC8" w:rsidRPr="000A2FC8" w:rsidRDefault="000A2FC8" w:rsidP="000A2FC8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057C02" w:rsidRPr="00C34BF4" w:rsidRDefault="00057C02" w:rsidP="00057C0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057C02" w:rsidRPr="00C34BF4" w:rsidRDefault="00057C02" w:rsidP="00057C0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057C02" w:rsidRPr="000C4AA7" w:rsidRDefault="00057C02" w:rsidP="00057C0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E7166D" w:rsidRDefault="00E7166D" w:rsidP="00E7166D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11. zasedání konaném dne </w:t>
      </w:r>
      <w:proofErr w:type="gramStart"/>
      <w:r>
        <w:rPr>
          <w:rFonts w:ascii="Calibri" w:hAnsi="Calibri" w:cs="Calibri"/>
          <w:sz w:val="24"/>
          <w:szCs w:val="24"/>
        </w:rPr>
        <w:t>12.02.2024</w:t>
      </w:r>
      <w:proofErr w:type="gramEnd"/>
      <w:r>
        <w:rPr>
          <w:rFonts w:ascii="Calibri" w:hAnsi="Calibri" w:cs="Calibri"/>
          <w:sz w:val="24"/>
          <w:szCs w:val="24"/>
        </w:rPr>
        <w:t xml:space="preserve"> usnesením č. </w:t>
      </w:r>
      <w:proofErr w:type="spellStart"/>
      <w:r>
        <w:rPr>
          <w:rFonts w:ascii="Calibri" w:hAnsi="Calibri" w:cs="Calibri"/>
          <w:sz w:val="24"/>
          <w:szCs w:val="24"/>
        </w:rPr>
        <w:t>II.c</w:t>
      </w:r>
      <w:proofErr w:type="spellEnd"/>
      <w:r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783C9B" w:rsidRDefault="00783C9B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436FD7">
        <w:rPr>
          <w:rFonts w:ascii="Calibri" w:hAnsi="Calibri" w:cs="Calibri"/>
          <w:sz w:val="24"/>
          <w:szCs w:val="24"/>
        </w:rPr>
        <w:t>14.02.2024</w:t>
      </w:r>
      <w:r w:rsidR="00436FD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436FD7">
        <w:rPr>
          <w:rFonts w:ascii="Calibri" w:hAnsi="Calibri" w:cs="Calibri"/>
          <w:sz w:val="24"/>
          <w:szCs w:val="24"/>
        </w:rPr>
        <w:t>16.02.2024</w:t>
      </w:r>
      <w:bookmarkStart w:id="4" w:name="_GoBack"/>
      <w:bookmarkEnd w:id="4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3B4A0F" w:rsidRPr="00D8114D" w:rsidRDefault="003B4A0F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3B4A0F" w:rsidRPr="00DB35F2" w:rsidRDefault="003B4A0F" w:rsidP="003B4A0F">
      <w:pPr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Poskytovatel</w:t>
      </w:r>
      <w:r w:rsidRPr="00DB35F2">
        <w:rPr>
          <w:rFonts w:ascii="Calibri" w:hAnsi="Calibri" w:cs="Calibri"/>
          <w:b/>
          <w:sz w:val="24"/>
          <w:szCs w:val="24"/>
        </w:rPr>
        <w:tab/>
      </w:r>
      <w:r w:rsidRPr="00DB35F2">
        <w:rPr>
          <w:rFonts w:ascii="Calibri" w:hAnsi="Calibri" w:cs="Calibri"/>
          <w:b/>
          <w:sz w:val="24"/>
          <w:szCs w:val="24"/>
        </w:rPr>
        <w:tab/>
      </w:r>
      <w:r w:rsidRPr="00DB35F2">
        <w:rPr>
          <w:rFonts w:ascii="Calibri" w:hAnsi="Calibri" w:cs="Calibri"/>
          <w:b/>
          <w:sz w:val="24"/>
          <w:szCs w:val="24"/>
        </w:rPr>
        <w:tab/>
      </w:r>
      <w:r w:rsidRPr="00DB35F2">
        <w:rPr>
          <w:rFonts w:ascii="Calibri" w:hAnsi="Calibri" w:cs="Calibri"/>
          <w:b/>
          <w:sz w:val="24"/>
          <w:szCs w:val="24"/>
        </w:rPr>
        <w:tab/>
      </w:r>
      <w:r w:rsidRPr="00DB35F2">
        <w:rPr>
          <w:rFonts w:ascii="Calibri" w:hAnsi="Calibri" w:cs="Calibri"/>
          <w:b/>
          <w:sz w:val="24"/>
          <w:szCs w:val="24"/>
        </w:rPr>
        <w:tab/>
        <w:t>Příjemce</w:t>
      </w:r>
    </w:p>
    <w:p w:rsidR="003B4A0F" w:rsidRPr="00DB35F2" w:rsidRDefault="003B4A0F" w:rsidP="003B4A0F">
      <w:pPr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město Náchod </w:t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  <w:t>Základní umělecká škola, Náchod, Tyršova 247</w:t>
      </w:r>
    </w:p>
    <w:p w:rsidR="003B4A0F" w:rsidRPr="00DB35F2" w:rsidRDefault="003B4A0F" w:rsidP="003B4A0F">
      <w:pPr>
        <w:rPr>
          <w:rFonts w:ascii="Calibri" w:hAnsi="Calibri" w:cs="Calibri"/>
          <w:sz w:val="24"/>
          <w:szCs w:val="24"/>
        </w:rPr>
      </w:pPr>
      <w:proofErr w:type="spellStart"/>
      <w:r w:rsidRPr="00DB35F2">
        <w:rPr>
          <w:rFonts w:ascii="Calibri" w:hAnsi="Calibri" w:cs="Calibri"/>
          <w:sz w:val="24"/>
          <w:szCs w:val="24"/>
        </w:rPr>
        <w:t>zast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starostou Janem </w:t>
      </w:r>
      <w:proofErr w:type="spellStart"/>
      <w:r w:rsidRPr="00DB35F2">
        <w:rPr>
          <w:rFonts w:ascii="Calibri" w:hAnsi="Calibri" w:cs="Calibri"/>
          <w:sz w:val="24"/>
          <w:szCs w:val="24"/>
        </w:rPr>
        <w:t>Birke</w:t>
      </w:r>
      <w:proofErr w:type="spellEnd"/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proofErr w:type="spellStart"/>
      <w:r w:rsidRPr="00DB35F2">
        <w:rPr>
          <w:rFonts w:ascii="Calibri" w:hAnsi="Calibri" w:cs="Calibri"/>
          <w:sz w:val="24"/>
          <w:szCs w:val="24"/>
        </w:rPr>
        <w:t>zast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Mgr. Zbyňkem </w:t>
      </w:r>
      <w:proofErr w:type="spellStart"/>
      <w:r w:rsidRPr="00DB35F2">
        <w:rPr>
          <w:rFonts w:ascii="Calibri" w:hAnsi="Calibri" w:cs="Calibri"/>
          <w:sz w:val="24"/>
          <w:szCs w:val="24"/>
        </w:rPr>
        <w:t>Mokrejšem</w:t>
      </w:r>
      <w:proofErr w:type="spellEnd"/>
      <w:r w:rsidRPr="00DB35F2">
        <w:rPr>
          <w:rFonts w:ascii="Calibri" w:hAnsi="Calibri" w:cs="Calibri"/>
          <w:sz w:val="24"/>
          <w:szCs w:val="24"/>
        </w:rPr>
        <w:t>, ředitelem</w:t>
      </w:r>
    </w:p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E7054C" w:rsidRDefault="00E7054C" w:rsidP="00E7054C"/>
    <w:p w:rsidR="00254C4F" w:rsidRDefault="00254C4F"/>
    <w:sectPr w:rsidR="00254C4F" w:rsidSect="005C688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15" w:rsidRDefault="00F63A15">
      <w:r>
        <w:separator/>
      </w:r>
    </w:p>
  </w:endnote>
  <w:endnote w:type="continuationSeparator" w:id="0">
    <w:p w:rsidR="00F63A15" w:rsidRDefault="00F6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6FD7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36FD7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F63A15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15" w:rsidRDefault="00F63A15">
      <w:r>
        <w:separator/>
      </w:r>
    </w:p>
  </w:footnote>
  <w:footnote w:type="continuationSeparator" w:id="0">
    <w:p w:rsidR="00F63A15" w:rsidRDefault="00F6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5B2982"/>
    <w:multiLevelType w:val="hybridMultilevel"/>
    <w:tmpl w:val="10E45C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57C02"/>
    <w:rsid w:val="000A2FC8"/>
    <w:rsid w:val="00192F81"/>
    <w:rsid w:val="001E5F5F"/>
    <w:rsid w:val="001F4AF8"/>
    <w:rsid w:val="00254C4F"/>
    <w:rsid w:val="00265187"/>
    <w:rsid w:val="0027544A"/>
    <w:rsid w:val="002828DE"/>
    <w:rsid w:val="002946FF"/>
    <w:rsid w:val="002A72B4"/>
    <w:rsid w:val="003B4A0F"/>
    <w:rsid w:val="00436FD7"/>
    <w:rsid w:val="00483B92"/>
    <w:rsid w:val="004A0953"/>
    <w:rsid w:val="005527A6"/>
    <w:rsid w:val="00554529"/>
    <w:rsid w:val="005C6882"/>
    <w:rsid w:val="006774A2"/>
    <w:rsid w:val="007318FE"/>
    <w:rsid w:val="007470AE"/>
    <w:rsid w:val="00783C9B"/>
    <w:rsid w:val="00797225"/>
    <w:rsid w:val="007E4B39"/>
    <w:rsid w:val="007F174A"/>
    <w:rsid w:val="00873B61"/>
    <w:rsid w:val="008C7362"/>
    <w:rsid w:val="00900FBE"/>
    <w:rsid w:val="009057FA"/>
    <w:rsid w:val="00AD07F1"/>
    <w:rsid w:val="00B31CB0"/>
    <w:rsid w:val="00B4787D"/>
    <w:rsid w:val="00B72A57"/>
    <w:rsid w:val="00C43D8E"/>
    <w:rsid w:val="00C67854"/>
    <w:rsid w:val="00E120B8"/>
    <w:rsid w:val="00E7054C"/>
    <w:rsid w:val="00E7166D"/>
    <w:rsid w:val="00EB74AC"/>
    <w:rsid w:val="00F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2313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dcterms:created xsi:type="dcterms:W3CDTF">2024-02-16T11:06:00Z</dcterms:created>
  <dcterms:modified xsi:type="dcterms:W3CDTF">2024-02-16T11:06:00Z</dcterms:modified>
</cp:coreProperties>
</file>